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9C1DFD" w14:textId="77777777" w:rsidR="000F5E95" w:rsidRDefault="000F5E95" w:rsidP="000F5E95">
      <w:pPr>
        <w:spacing w:before="0" w:after="200" w:line="276" w:lineRule="auto"/>
        <w:jc w:val="both"/>
        <w:rPr>
          <w:color w:val="7B7B7B" w:themeColor="accent3" w:themeShade="BF"/>
          <w:sz w:val="36"/>
          <w:szCs w:val="36"/>
        </w:rPr>
      </w:pPr>
      <w:bookmarkStart w:id="0" w:name="_Toc9795713"/>
      <w:bookmarkStart w:id="1" w:name="_Toc9795743"/>
    </w:p>
    <w:p w14:paraId="7E372555" w14:textId="77777777" w:rsidR="000F5E95" w:rsidRDefault="000F5E95" w:rsidP="000F5E95">
      <w:pPr>
        <w:spacing w:before="0" w:after="200" w:line="276" w:lineRule="auto"/>
        <w:jc w:val="both"/>
        <w:rPr>
          <w:color w:val="7B7B7B" w:themeColor="accent3" w:themeShade="BF"/>
          <w:sz w:val="36"/>
          <w:szCs w:val="36"/>
        </w:rPr>
      </w:pPr>
    </w:p>
    <w:p w14:paraId="24A03773" w14:textId="77777777" w:rsidR="000F5E95" w:rsidRDefault="000F5E95" w:rsidP="000F5E95">
      <w:pPr>
        <w:spacing w:before="0" w:after="200" w:line="276" w:lineRule="auto"/>
        <w:jc w:val="both"/>
        <w:rPr>
          <w:color w:val="7B7B7B" w:themeColor="accent3" w:themeShade="BF"/>
          <w:sz w:val="36"/>
          <w:szCs w:val="36"/>
        </w:rPr>
      </w:pPr>
    </w:p>
    <w:p w14:paraId="317BFD23" w14:textId="77777777" w:rsidR="000F5E95" w:rsidRDefault="000F5E95" w:rsidP="000F5E95">
      <w:pPr>
        <w:spacing w:before="0" w:after="200" w:line="276" w:lineRule="auto"/>
        <w:jc w:val="both"/>
        <w:rPr>
          <w:color w:val="7B7B7B" w:themeColor="accent3" w:themeShade="BF"/>
          <w:sz w:val="36"/>
          <w:szCs w:val="36"/>
        </w:rPr>
      </w:pPr>
    </w:p>
    <w:p w14:paraId="7CAAF0B1" w14:textId="77777777" w:rsidR="000F5E95" w:rsidRPr="00742A14" w:rsidRDefault="000F5E95" w:rsidP="000F5E95">
      <w:pPr>
        <w:pStyle w:val="Title"/>
      </w:pPr>
      <w:r w:rsidRPr="00DD1B41">
        <w:rPr>
          <w:color w:val="4A66AC"/>
        </w:rPr>
        <w:t>Academic</w:t>
      </w:r>
      <w:r w:rsidRPr="00742A14">
        <w:t xml:space="preserve"> confiden</w:t>
      </w:r>
      <w:r>
        <w:t>c</w:t>
      </w:r>
      <w:r w:rsidRPr="00742A14">
        <w:t>e and dyslexia at university</w:t>
      </w:r>
    </w:p>
    <w:p w14:paraId="44E0B35B" w14:textId="77777777" w:rsidR="000F5E95" w:rsidRDefault="000F5E95" w:rsidP="000F5E95">
      <w:pPr>
        <w:spacing w:before="0" w:after="200" w:line="276" w:lineRule="auto"/>
        <w:jc w:val="both"/>
        <w:rPr>
          <w:color w:val="7B7B7B" w:themeColor="accent3" w:themeShade="BF"/>
          <w:sz w:val="36"/>
          <w:szCs w:val="36"/>
        </w:rPr>
      </w:pPr>
    </w:p>
    <w:p w14:paraId="7B4D8A0A" w14:textId="77777777" w:rsidR="000F5E95" w:rsidRPr="009B1B3A" w:rsidRDefault="000F5E95" w:rsidP="000F5E95">
      <w:pPr>
        <w:spacing w:before="0" w:after="200" w:line="276" w:lineRule="auto"/>
        <w:jc w:val="both"/>
        <w:rPr>
          <w:color w:val="4472C4" w:themeColor="accent1"/>
          <w:sz w:val="24"/>
          <w:szCs w:val="24"/>
        </w:rPr>
      </w:pPr>
      <w:r w:rsidRPr="009B1B3A">
        <w:rPr>
          <w:b/>
          <w:color w:val="4472C4" w:themeColor="accent1"/>
          <w:sz w:val="28"/>
          <w:szCs w:val="28"/>
        </w:rPr>
        <w:t>Andrew Dykes</w:t>
      </w:r>
      <w:r w:rsidRPr="009B1B3A">
        <w:rPr>
          <w:color w:val="4472C4" w:themeColor="accent1"/>
          <w:sz w:val="28"/>
          <w:szCs w:val="28"/>
        </w:rPr>
        <w:t xml:space="preserve"> </w:t>
      </w:r>
      <w:r w:rsidRPr="009B1B3A">
        <w:rPr>
          <w:color w:val="4472C4" w:themeColor="accent1"/>
          <w:sz w:val="24"/>
          <w:szCs w:val="24"/>
        </w:rPr>
        <w:t>B.Ed., M.A., M.Sc., CELTA, FHEA</w:t>
      </w:r>
    </w:p>
    <w:p w14:paraId="68B5959F" w14:textId="77777777" w:rsidR="000F5E95" w:rsidRPr="009B1B3A" w:rsidRDefault="000F5E95" w:rsidP="000F5E95">
      <w:pPr>
        <w:spacing w:before="0" w:after="200" w:line="276" w:lineRule="auto"/>
        <w:jc w:val="both"/>
        <w:rPr>
          <w:color w:val="4472C4" w:themeColor="accent1"/>
          <w:sz w:val="36"/>
          <w:szCs w:val="36"/>
        </w:rPr>
      </w:pPr>
      <w:r w:rsidRPr="009B1B3A">
        <w:rPr>
          <w:color w:val="4472C4" w:themeColor="accent1"/>
          <w:sz w:val="24"/>
          <w:szCs w:val="24"/>
        </w:rPr>
        <w:t>M00506111</w:t>
      </w:r>
    </w:p>
    <w:p w14:paraId="1939D57F" w14:textId="77777777" w:rsidR="000F5E95" w:rsidRPr="009B1B3A" w:rsidRDefault="000F5E95" w:rsidP="000F5E95">
      <w:pPr>
        <w:spacing w:before="0" w:after="200" w:line="276" w:lineRule="auto"/>
        <w:jc w:val="both"/>
        <w:rPr>
          <w:color w:val="4472C4" w:themeColor="accent1"/>
          <w:sz w:val="36"/>
          <w:szCs w:val="36"/>
        </w:rPr>
      </w:pPr>
    </w:p>
    <w:p w14:paraId="5AC02FB8" w14:textId="77777777" w:rsidR="000F5E95" w:rsidRPr="003F1C03" w:rsidRDefault="000F5E95" w:rsidP="000F5E95">
      <w:pPr>
        <w:spacing w:before="0" w:after="200" w:line="276" w:lineRule="auto"/>
        <w:jc w:val="both"/>
        <w:rPr>
          <w:color w:val="2F5496" w:themeColor="accent1" w:themeShade="BF"/>
        </w:rPr>
      </w:pPr>
      <w:r w:rsidRPr="003F1C03">
        <w:rPr>
          <w:color w:val="2F5496" w:themeColor="accent1" w:themeShade="BF"/>
        </w:rPr>
        <w:t>A thesis submitted to Middlesex University in partial fulfilment of the requirements for the degree of Doctor of Philosophy.</w:t>
      </w:r>
    </w:p>
    <w:p w14:paraId="19F383BB" w14:textId="77777777" w:rsidR="000F5E95" w:rsidRPr="003F1C03" w:rsidRDefault="000F5E95" w:rsidP="000F5E95">
      <w:pPr>
        <w:spacing w:before="0" w:after="200" w:line="276" w:lineRule="auto"/>
        <w:jc w:val="both"/>
        <w:rPr>
          <w:color w:val="2F5496" w:themeColor="accent1" w:themeShade="BF"/>
        </w:rPr>
      </w:pPr>
    </w:p>
    <w:p w14:paraId="2E116744" w14:textId="77777777" w:rsidR="000F5E95" w:rsidRPr="003F1C03" w:rsidRDefault="000F5E95" w:rsidP="000F5E95">
      <w:pPr>
        <w:spacing w:before="0" w:after="0" w:line="276" w:lineRule="auto"/>
        <w:jc w:val="both"/>
        <w:rPr>
          <w:color w:val="2F5496" w:themeColor="accent1" w:themeShade="BF"/>
        </w:rPr>
      </w:pPr>
      <w:r w:rsidRPr="003F1C03">
        <w:rPr>
          <w:color w:val="2F5496" w:themeColor="accent1" w:themeShade="BF"/>
        </w:rPr>
        <w:t>Faculty of Professional and Social Studies</w:t>
      </w:r>
    </w:p>
    <w:p w14:paraId="6CB3565F" w14:textId="77777777" w:rsidR="000F5E95" w:rsidRPr="003F1C03" w:rsidRDefault="000F5E95" w:rsidP="000F5E95">
      <w:pPr>
        <w:spacing w:before="0" w:after="200" w:line="276" w:lineRule="auto"/>
        <w:jc w:val="both"/>
        <w:rPr>
          <w:color w:val="2F5496" w:themeColor="accent1" w:themeShade="BF"/>
        </w:rPr>
      </w:pPr>
      <w:r w:rsidRPr="003F1C03">
        <w:rPr>
          <w:color w:val="2F5496" w:themeColor="accent1" w:themeShade="BF"/>
        </w:rPr>
        <w:t>School of Health and Education</w:t>
      </w:r>
    </w:p>
    <w:p w14:paraId="37055CF8" w14:textId="77777777" w:rsidR="000F5E95" w:rsidRPr="003F1C03" w:rsidRDefault="000F5E95" w:rsidP="000F5E95">
      <w:pPr>
        <w:spacing w:before="0" w:after="200" w:line="276" w:lineRule="auto"/>
        <w:jc w:val="both"/>
        <w:rPr>
          <w:color w:val="2F5496" w:themeColor="accent1" w:themeShade="BF"/>
        </w:rPr>
      </w:pPr>
    </w:p>
    <w:p w14:paraId="63CC63A5" w14:textId="0C0DEEEA" w:rsidR="000F5E95" w:rsidRDefault="00A10B3D" w:rsidP="000F5E95">
      <w:pPr>
        <w:spacing w:before="0" w:after="200" w:line="276" w:lineRule="auto"/>
        <w:jc w:val="both"/>
        <w:rPr>
          <w:color w:val="2F5496" w:themeColor="accent1" w:themeShade="BF"/>
        </w:rPr>
      </w:pPr>
      <w:r>
        <w:rPr>
          <w:color w:val="2F5496" w:themeColor="accent1" w:themeShade="BF"/>
        </w:rPr>
        <w:t>October 2020</w:t>
      </w:r>
    </w:p>
    <w:p w14:paraId="33178AB5" w14:textId="5690F86C" w:rsidR="000F5E95" w:rsidRPr="00DD1B41" w:rsidRDefault="004418D0" w:rsidP="000F5E95">
      <w:pPr>
        <w:spacing w:before="0" w:after="200" w:line="276" w:lineRule="auto"/>
        <w:jc w:val="both"/>
        <w:rPr>
          <w:color w:val="2F5496" w:themeColor="accent1" w:themeShade="BF"/>
        </w:rPr>
      </w:pPr>
      <w:r>
        <w:rPr>
          <w:color w:val="2F5496" w:themeColor="accent1" w:themeShade="BF"/>
        </w:rPr>
        <w:t>R</w:t>
      </w:r>
      <w:r w:rsidR="000F5E95">
        <w:rPr>
          <w:color w:val="2F5496" w:themeColor="accent1" w:themeShade="BF"/>
        </w:rPr>
        <w:t xml:space="preserve">evised, December 2019 – </w:t>
      </w:r>
      <w:r>
        <w:rPr>
          <w:color w:val="2F5496" w:themeColor="accent1" w:themeShade="BF"/>
        </w:rPr>
        <w:t>August</w:t>
      </w:r>
      <w:r w:rsidR="000F5E95">
        <w:rPr>
          <w:color w:val="2F5496" w:themeColor="accent1" w:themeShade="BF"/>
        </w:rPr>
        <w:t xml:space="preserve"> 2020</w:t>
      </w:r>
    </w:p>
    <w:p w14:paraId="59B7C203" w14:textId="41A9837B" w:rsidR="000F5E95" w:rsidRPr="00DD1B41" w:rsidRDefault="000F5E95" w:rsidP="000F5E95">
      <w:pPr>
        <w:rPr>
          <w:color w:val="4A66AC"/>
          <w:sz w:val="32"/>
          <w:szCs w:val="32"/>
        </w:rPr>
      </w:pPr>
      <w:r w:rsidRPr="00DD1B41">
        <w:rPr>
          <w:color w:val="4A66AC"/>
          <w:sz w:val="32"/>
          <w:szCs w:val="32"/>
        </w:rPr>
        <w:br w:type="page"/>
      </w:r>
    </w:p>
    <w:p w14:paraId="799AE14D" w14:textId="77777777" w:rsidR="000F5E95" w:rsidRDefault="000F5E95" w:rsidP="000F5E95"/>
    <w:p w14:paraId="45C23C9C" w14:textId="77777777" w:rsidR="000F5E95" w:rsidRDefault="000F5E95" w:rsidP="000F5E95"/>
    <w:p w14:paraId="479C0D67" w14:textId="77777777" w:rsidR="000F5E95" w:rsidRPr="00EF7B7A" w:rsidRDefault="000F5E95" w:rsidP="000F5E95"/>
    <w:p w14:paraId="48BB155D" w14:textId="77777777" w:rsidR="000F5E95" w:rsidRPr="00825D82" w:rsidRDefault="000F5E95" w:rsidP="000F5E95">
      <w:pPr>
        <w:pStyle w:val="Title"/>
      </w:pPr>
      <w:r w:rsidRPr="00825D82">
        <w:t>Academic confidence and dyslexia at university</w:t>
      </w:r>
    </w:p>
    <w:p w14:paraId="4C2F6EAB" w14:textId="77777777" w:rsidR="000F5E95" w:rsidRDefault="000F5E95" w:rsidP="000F5E95">
      <w:bookmarkStart w:id="2" w:name="top"/>
      <w:bookmarkStart w:id="3" w:name="_Hlk522268354"/>
      <w:bookmarkEnd w:id="2"/>
    </w:p>
    <w:p w14:paraId="52B586D0" w14:textId="77777777" w:rsidR="000F5E95" w:rsidRDefault="000F5E95" w:rsidP="000F5E95"/>
    <w:p w14:paraId="1901BA99" w14:textId="6E443F1E" w:rsidR="000F5E95" w:rsidRDefault="000F5E95" w:rsidP="000F5E95">
      <w:r>
        <w:t xml:space="preserve">This thesis is </w:t>
      </w:r>
      <w:r w:rsidR="00DF2DC4">
        <w:t>an</w:t>
      </w:r>
      <w:r>
        <w:t xml:space="preserve"> </w:t>
      </w:r>
      <w:r w:rsidRPr="00B566EC">
        <w:t>account of th</w:t>
      </w:r>
      <w:r>
        <w:t xml:space="preserve">e study, research processes, data analysis and discussion </w:t>
      </w:r>
      <w:r w:rsidRPr="00B566EC">
        <w:t>of a</w:t>
      </w:r>
      <w:r>
        <w:t xml:space="preserve">n </w:t>
      </w:r>
      <w:r w:rsidRPr="00B566EC">
        <w:t>attempt to understand more abou</w:t>
      </w:r>
      <w:r>
        <w:t xml:space="preserve">t how the </w:t>
      </w:r>
      <w:r w:rsidRPr="00B566EC">
        <w:t xml:space="preserve">academic confidence of university students </w:t>
      </w:r>
      <w:r>
        <w:t xml:space="preserve">with dyslexia </w:t>
      </w:r>
      <w:r w:rsidRPr="00B566EC">
        <w:t>in the UK</w:t>
      </w:r>
      <w:r>
        <w:t xml:space="preserve"> is affected by </w:t>
      </w:r>
      <w:r w:rsidR="00EA27BD">
        <w:t xml:space="preserve">the identification of </w:t>
      </w:r>
      <w:r>
        <w:t>their dyslexia</w:t>
      </w:r>
      <w:r w:rsidRPr="00B566EC">
        <w:t>.</w:t>
      </w:r>
    </w:p>
    <w:p w14:paraId="4B365763" w14:textId="5D501764" w:rsidR="00B41A56" w:rsidRPr="008B0243" w:rsidRDefault="00B41A56" w:rsidP="008B0243">
      <w:pPr>
        <w:pStyle w:val="Heading5"/>
        <w:rPr>
          <w:b w:val="0"/>
          <w:bCs/>
        </w:rPr>
      </w:pPr>
      <w:r w:rsidRPr="008B0243">
        <w:rPr>
          <w:b w:val="0"/>
          <w:bCs/>
        </w:rPr>
        <w:t>May 2019</w:t>
      </w:r>
    </w:p>
    <w:p w14:paraId="649E4013" w14:textId="7F7D643C" w:rsidR="00B41A56" w:rsidRPr="008B0243" w:rsidRDefault="00B41A56" w:rsidP="008B0243">
      <w:pPr>
        <w:pStyle w:val="Heading5"/>
        <w:rPr>
          <w:b w:val="0"/>
          <w:bCs/>
        </w:rPr>
      </w:pPr>
      <w:r w:rsidRPr="008B0243">
        <w:rPr>
          <w:b w:val="0"/>
          <w:bCs/>
        </w:rPr>
        <w:t>Revised, October 2020</w:t>
      </w:r>
    </w:p>
    <w:p w14:paraId="087B5BAB" w14:textId="35D09557" w:rsidR="00B41A56" w:rsidRPr="00B566EC" w:rsidRDefault="00B41A56" w:rsidP="008B0243">
      <w:pPr>
        <w:pStyle w:val="Heading5"/>
      </w:pPr>
      <w:r w:rsidRPr="008B0243">
        <w:rPr>
          <w:b w:val="0"/>
          <w:bCs/>
        </w:rPr>
        <w:t xml:space="preserve">Available online at </w:t>
      </w:r>
      <w:hyperlink r:id="rId8" w:history="1">
        <w:r w:rsidRPr="008B0243">
          <w:rPr>
            <w:rStyle w:val="Hyperlink"/>
            <w:b w:val="0"/>
            <w:bCs/>
          </w:rPr>
          <w:t>www.ad1281.uk</w:t>
        </w:r>
      </w:hyperlink>
      <w:r>
        <w:t xml:space="preserve"> </w:t>
      </w:r>
    </w:p>
    <w:bookmarkEnd w:id="3"/>
    <w:p w14:paraId="15E14828" w14:textId="77777777" w:rsidR="000F5E95" w:rsidRDefault="000F5E95" w:rsidP="000F5E95">
      <w:pPr>
        <w:spacing w:before="0" w:after="200" w:line="276" w:lineRule="auto"/>
        <w:jc w:val="both"/>
        <w:rPr>
          <w:b/>
          <w:smallCaps/>
          <w:color w:val="4472C4" w:themeColor="accent1"/>
          <w:spacing w:val="5"/>
          <w:sz w:val="26"/>
          <w:szCs w:val="28"/>
        </w:rPr>
      </w:pPr>
      <w:r>
        <w:br w:type="page"/>
      </w:r>
    </w:p>
    <w:p w14:paraId="7E99DA27" w14:textId="77777777" w:rsidR="000F5E95" w:rsidRDefault="000F5E95" w:rsidP="000F5E95">
      <w:pPr>
        <w:pStyle w:val="Heading1"/>
        <w:tabs>
          <w:tab w:val="left" w:pos="5655"/>
        </w:tabs>
      </w:pPr>
      <w:r>
        <w:lastRenderedPageBreak/>
        <w:tab/>
      </w:r>
    </w:p>
    <w:p w14:paraId="6F531023" w14:textId="32166B7D" w:rsidR="000F5E95" w:rsidRPr="00B566EC" w:rsidRDefault="000F5E95" w:rsidP="000F5E95">
      <w:pPr>
        <w:pStyle w:val="Heading1"/>
      </w:pPr>
      <w:bookmarkStart w:id="4" w:name="_ResearchParts3_2"/>
      <w:bookmarkStart w:id="5" w:name="_DataCollection3_3"/>
      <w:bookmarkStart w:id="6" w:name="_I_BackgroundRationale"/>
      <w:bookmarkStart w:id="7" w:name="_Toc9795712"/>
      <w:bookmarkStart w:id="8" w:name="_Toc57035872"/>
      <w:bookmarkEnd w:id="4"/>
      <w:bookmarkEnd w:id="5"/>
      <w:bookmarkEnd w:id="6"/>
      <w:r>
        <w:t>Acknowledgements</w:t>
      </w:r>
      <w:bookmarkEnd w:id="7"/>
      <w:bookmarkEnd w:id="8"/>
    </w:p>
    <w:p w14:paraId="609F0639" w14:textId="77777777" w:rsidR="000F5E95" w:rsidRDefault="000F5E95" w:rsidP="000F5E95">
      <w:r w:rsidRPr="0007351F">
        <w:t>I acknowledge with thanks, the study support and academic guidance provided by the research community at Middlesex University, the Research Degrees Administration Team at the Department of Education a</w:t>
      </w:r>
      <w:r>
        <w:t>nd in particular, the advice,</w:t>
      </w:r>
      <w:r w:rsidRPr="0007351F">
        <w:t xml:space="preserve"> interest </w:t>
      </w:r>
      <w:r>
        <w:t xml:space="preserve">and encouragement </w:t>
      </w:r>
      <w:r w:rsidRPr="0007351F">
        <w:t>of the supervisory team of Dr Victoria de Rijke</w:t>
      </w:r>
      <w:r>
        <w:t xml:space="preserve"> </w:t>
      </w:r>
      <w:r w:rsidRPr="0007351F">
        <w:t xml:space="preserve">and Dr Nicola </w:t>
      </w:r>
      <w:r>
        <w:t>Brunswick.</w:t>
      </w:r>
    </w:p>
    <w:p w14:paraId="4FBEAE1E" w14:textId="77777777" w:rsidR="000F5E95" w:rsidRDefault="000F5E95" w:rsidP="000F5E95">
      <w:r>
        <w:t>I also express grat</w:t>
      </w:r>
      <w:r w:rsidRPr="0007351F">
        <w:t>itude to Middlesex University for the 3-year Research Stu</w:t>
      </w:r>
      <w:r>
        <w:t>dentship funding without which</w:t>
      </w:r>
      <w:r w:rsidRPr="0007351F">
        <w:t xml:space="preserve"> this research project would not have been possible.</w:t>
      </w:r>
    </w:p>
    <w:p w14:paraId="612AA6F0" w14:textId="77777777" w:rsidR="000F5E95" w:rsidRDefault="000F5E95" w:rsidP="000F5E95">
      <w:r>
        <w:br w:type="page"/>
      </w:r>
    </w:p>
    <w:sdt>
      <w:sdtPr>
        <w:rPr>
          <w:rFonts w:ascii="Gill Sans MT" w:hAnsi="Gill Sans MT"/>
          <w:b w:val="0"/>
          <w:smallCaps w:val="0"/>
          <w:color w:val="auto"/>
          <w:spacing w:val="0"/>
          <w:sz w:val="20"/>
          <w:szCs w:val="20"/>
        </w:rPr>
        <w:id w:val="342673287"/>
        <w:docPartObj>
          <w:docPartGallery w:val="Table of Contents"/>
          <w:docPartUnique/>
        </w:docPartObj>
      </w:sdtPr>
      <w:sdtEndPr>
        <w:rPr>
          <w:noProof/>
        </w:rPr>
      </w:sdtEndPr>
      <w:sdtContent>
        <w:p w14:paraId="7DB205BC" w14:textId="77777777" w:rsidR="00884C95" w:rsidRPr="009C2BEE" w:rsidRDefault="00884C95" w:rsidP="00CA48C2">
          <w:pPr>
            <w:pStyle w:val="TOCHeading"/>
            <w:tabs>
              <w:tab w:val="left" w:pos="567"/>
              <w:tab w:val="left" w:pos="1134"/>
              <w:tab w:val="left" w:pos="1701"/>
            </w:tabs>
            <w:rPr>
              <w:rFonts w:ascii="Gill Sans MT" w:hAnsi="Gill Sans MT"/>
              <w:b w:val="0"/>
              <w:smallCaps w:val="0"/>
              <w:color w:val="auto"/>
              <w:spacing w:val="0"/>
              <w:sz w:val="20"/>
              <w:szCs w:val="20"/>
            </w:rPr>
          </w:pPr>
        </w:p>
        <w:p w14:paraId="0425FFCC" w14:textId="32AC6043" w:rsidR="00884C95" w:rsidRPr="009C2BEE" w:rsidRDefault="00884C95" w:rsidP="00CA48C2">
          <w:pPr>
            <w:pStyle w:val="Heading1"/>
            <w:tabs>
              <w:tab w:val="left" w:pos="567"/>
              <w:tab w:val="left" w:pos="1134"/>
              <w:tab w:val="left" w:pos="1701"/>
            </w:tabs>
          </w:pPr>
          <w:bookmarkStart w:id="9" w:name="_Toc57035873"/>
          <w:r w:rsidRPr="009C2BEE">
            <w:t>Contents</w:t>
          </w:r>
          <w:bookmarkEnd w:id="9"/>
        </w:p>
        <w:p w14:paraId="19F5C7EE" w14:textId="77777777" w:rsidR="009C2BEE" w:rsidRPr="009C2BEE" w:rsidRDefault="009C2BEE" w:rsidP="00CA48C2">
          <w:pPr>
            <w:tabs>
              <w:tab w:val="left" w:pos="567"/>
              <w:tab w:val="left" w:pos="1134"/>
              <w:tab w:val="left" w:pos="1701"/>
            </w:tabs>
            <w:rPr>
              <w:rFonts w:ascii="Gill Sans MT" w:hAnsi="Gill Sans MT"/>
            </w:rPr>
          </w:pPr>
        </w:p>
        <w:p w14:paraId="6B48AF54" w14:textId="5D4CFC5C" w:rsidR="00CB0AB7" w:rsidRDefault="00884C95" w:rsidP="00CB0AB7">
          <w:pPr>
            <w:pStyle w:val="TOC1"/>
            <w:tabs>
              <w:tab w:val="left" w:pos="993"/>
              <w:tab w:val="right" w:leader="dot" w:pos="8779"/>
            </w:tabs>
            <w:rPr>
              <w:rFonts w:cstheme="minorBidi"/>
              <w:b w:val="0"/>
              <w:bCs w:val="0"/>
              <w:i w:val="0"/>
              <w:iCs w:val="0"/>
              <w:noProof/>
              <w:lang w:eastAsia="en-GB"/>
            </w:rPr>
          </w:pPr>
          <w:r w:rsidRPr="009C2BEE">
            <w:rPr>
              <w:rFonts w:ascii="Gill Sans MT" w:hAnsi="Gill Sans MT"/>
              <w:b w:val="0"/>
              <w:bCs w:val="0"/>
              <w:i w:val="0"/>
              <w:iCs w:val="0"/>
              <w:smallCaps/>
              <w:noProof/>
              <w:sz w:val="20"/>
              <w:szCs w:val="20"/>
            </w:rPr>
            <w:fldChar w:fldCharType="begin"/>
          </w:r>
          <w:r w:rsidRPr="009C2BEE">
            <w:rPr>
              <w:rFonts w:ascii="Gill Sans MT" w:hAnsi="Gill Sans MT"/>
              <w:b w:val="0"/>
              <w:bCs w:val="0"/>
              <w:i w:val="0"/>
              <w:iCs w:val="0"/>
              <w:noProof/>
              <w:sz w:val="20"/>
              <w:szCs w:val="20"/>
            </w:rPr>
            <w:instrText xml:space="preserve"> TOC \o "1-3" \h \z \u </w:instrText>
          </w:r>
          <w:r w:rsidRPr="009C2BEE">
            <w:rPr>
              <w:rFonts w:ascii="Gill Sans MT" w:hAnsi="Gill Sans MT"/>
              <w:b w:val="0"/>
              <w:bCs w:val="0"/>
              <w:i w:val="0"/>
              <w:iCs w:val="0"/>
              <w:smallCaps/>
              <w:noProof/>
              <w:sz w:val="20"/>
              <w:szCs w:val="20"/>
            </w:rPr>
            <w:fldChar w:fldCharType="separate"/>
          </w:r>
          <w:hyperlink w:anchor="_Toc57035872" w:history="1">
            <w:r w:rsidR="00CB0AB7" w:rsidRPr="008819BD">
              <w:rPr>
                <w:rStyle w:val="Hyperlink"/>
                <w:noProof/>
              </w:rPr>
              <w:t>Acknowledgements</w:t>
            </w:r>
            <w:r w:rsidR="00CB0AB7">
              <w:rPr>
                <w:noProof/>
                <w:webHidden/>
              </w:rPr>
              <w:tab/>
            </w:r>
            <w:r w:rsidR="00CB0AB7">
              <w:rPr>
                <w:noProof/>
                <w:webHidden/>
              </w:rPr>
              <w:fldChar w:fldCharType="begin"/>
            </w:r>
            <w:r w:rsidR="00CB0AB7">
              <w:rPr>
                <w:noProof/>
                <w:webHidden/>
              </w:rPr>
              <w:instrText xml:space="preserve"> PAGEREF _Toc57035872 \h </w:instrText>
            </w:r>
            <w:r w:rsidR="00CB0AB7">
              <w:rPr>
                <w:noProof/>
                <w:webHidden/>
              </w:rPr>
            </w:r>
            <w:r w:rsidR="00CB0AB7">
              <w:rPr>
                <w:noProof/>
                <w:webHidden/>
              </w:rPr>
              <w:fldChar w:fldCharType="separate"/>
            </w:r>
            <w:r w:rsidR="00CB0D8F">
              <w:rPr>
                <w:noProof/>
                <w:webHidden/>
              </w:rPr>
              <w:t>3</w:t>
            </w:r>
            <w:r w:rsidR="00CB0AB7">
              <w:rPr>
                <w:noProof/>
                <w:webHidden/>
              </w:rPr>
              <w:fldChar w:fldCharType="end"/>
            </w:r>
          </w:hyperlink>
        </w:p>
        <w:p w14:paraId="5E7B2286" w14:textId="647144E0" w:rsidR="00CB0AB7" w:rsidRDefault="00B568C9" w:rsidP="00CB0AB7">
          <w:pPr>
            <w:pStyle w:val="TOC1"/>
            <w:tabs>
              <w:tab w:val="left" w:pos="993"/>
              <w:tab w:val="right" w:leader="dot" w:pos="8779"/>
            </w:tabs>
            <w:rPr>
              <w:rFonts w:cstheme="minorBidi"/>
              <w:b w:val="0"/>
              <w:bCs w:val="0"/>
              <w:i w:val="0"/>
              <w:iCs w:val="0"/>
              <w:noProof/>
              <w:lang w:eastAsia="en-GB"/>
            </w:rPr>
          </w:pPr>
          <w:hyperlink w:anchor="_Toc57035873" w:history="1">
            <w:r w:rsidR="00CB0AB7" w:rsidRPr="008819BD">
              <w:rPr>
                <w:rStyle w:val="Hyperlink"/>
                <w:noProof/>
              </w:rPr>
              <w:t>Contents</w:t>
            </w:r>
            <w:r w:rsidR="00CB0AB7">
              <w:rPr>
                <w:noProof/>
                <w:webHidden/>
              </w:rPr>
              <w:tab/>
            </w:r>
            <w:r w:rsidR="001039E6">
              <w:rPr>
                <w:noProof/>
                <w:webHidden/>
              </w:rPr>
              <w:tab/>
            </w:r>
            <w:r w:rsidR="00CB0AB7">
              <w:rPr>
                <w:noProof/>
                <w:webHidden/>
              </w:rPr>
              <w:fldChar w:fldCharType="begin"/>
            </w:r>
            <w:r w:rsidR="00CB0AB7">
              <w:rPr>
                <w:noProof/>
                <w:webHidden/>
              </w:rPr>
              <w:instrText xml:space="preserve"> PAGEREF _Toc57035873 \h </w:instrText>
            </w:r>
            <w:r w:rsidR="00CB0AB7">
              <w:rPr>
                <w:noProof/>
                <w:webHidden/>
              </w:rPr>
            </w:r>
            <w:r w:rsidR="00CB0AB7">
              <w:rPr>
                <w:noProof/>
                <w:webHidden/>
              </w:rPr>
              <w:fldChar w:fldCharType="separate"/>
            </w:r>
            <w:r w:rsidR="00CB0D8F">
              <w:rPr>
                <w:noProof/>
                <w:webHidden/>
              </w:rPr>
              <w:t>4</w:t>
            </w:r>
            <w:r w:rsidR="00CB0AB7">
              <w:rPr>
                <w:noProof/>
                <w:webHidden/>
              </w:rPr>
              <w:fldChar w:fldCharType="end"/>
            </w:r>
          </w:hyperlink>
        </w:p>
        <w:p w14:paraId="34E85602" w14:textId="0B97773B" w:rsidR="00CB0AB7" w:rsidRDefault="00B568C9" w:rsidP="00CB0AB7">
          <w:pPr>
            <w:pStyle w:val="TOC1"/>
            <w:tabs>
              <w:tab w:val="left" w:pos="993"/>
              <w:tab w:val="right" w:leader="dot" w:pos="8779"/>
            </w:tabs>
            <w:rPr>
              <w:rFonts w:cstheme="minorBidi"/>
              <w:b w:val="0"/>
              <w:bCs w:val="0"/>
              <w:i w:val="0"/>
              <w:iCs w:val="0"/>
              <w:noProof/>
              <w:lang w:eastAsia="en-GB"/>
            </w:rPr>
          </w:pPr>
          <w:hyperlink w:anchor="_Toc57035874" w:history="1">
            <w:r w:rsidR="00CB0AB7" w:rsidRPr="008819BD">
              <w:rPr>
                <w:rStyle w:val="Hyperlink"/>
                <w:noProof/>
              </w:rPr>
              <w:t>List of Figures</w:t>
            </w:r>
            <w:r w:rsidR="00CB0AB7">
              <w:rPr>
                <w:noProof/>
                <w:webHidden/>
              </w:rPr>
              <w:tab/>
            </w:r>
            <w:r w:rsidR="00CB0AB7">
              <w:rPr>
                <w:noProof/>
                <w:webHidden/>
              </w:rPr>
              <w:fldChar w:fldCharType="begin"/>
            </w:r>
            <w:r w:rsidR="00CB0AB7">
              <w:rPr>
                <w:noProof/>
                <w:webHidden/>
              </w:rPr>
              <w:instrText xml:space="preserve"> PAGEREF _Toc57035874 \h </w:instrText>
            </w:r>
            <w:r w:rsidR="00CB0AB7">
              <w:rPr>
                <w:noProof/>
                <w:webHidden/>
              </w:rPr>
            </w:r>
            <w:r w:rsidR="00CB0AB7">
              <w:rPr>
                <w:noProof/>
                <w:webHidden/>
              </w:rPr>
              <w:fldChar w:fldCharType="separate"/>
            </w:r>
            <w:r w:rsidR="00CB0D8F">
              <w:rPr>
                <w:noProof/>
                <w:webHidden/>
              </w:rPr>
              <w:t>7</w:t>
            </w:r>
            <w:r w:rsidR="00CB0AB7">
              <w:rPr>
                <w:noProof/>
                <w:webHidden/>
              </w:rPr>
              <w:fldChar w:fldCharType="end"/>
            </w:r>
          </w:hyperlink>
        </w:p>
        <w:p w14:paraId="503850B5" w14:textId="42AEB5DB" w:rsidR="00CB0AB7" w:rsidRDefault="00B568C9" w:rsidP="00CB0AB7">
          <w:pPr>
            <w:pStyle w:val="TOC1"/>
            <w:tabs>
              <w:tab w:val="left" w:pos="993"/>
              <w:tab w:val="right" w:leader="dot" w:pos="8779"/>
            </w:tabs>
            <w:rPr>
              <w:rFonts w:cstheme="minorBidi"/>
              <w:b w:val="0"/>
              <w:bCs w:val="0"/>
              <w:i w:val="0"/>
              <w:iCs w:val="0"/>
              <w:noProof/>
              <w:lang w:eastAsia="en-GB"/>
            </w:rPr>
          </w:pPr>
          <w:hyperlink w:anchor="_Toc57035875" w:history="1">
            <w:r w:rsidR="00CB0AB7" w:rsidRPr="008819BD">
              <w:rPr>
                <w:rStyle w:val="Hyperlink"/>
                <w:noProof/>
              </w:rPr>
              <w:t>List of Tables</w:t>
            </w:r>
            <w:r w:rsidR="00CB0AB7">
              <w:rPr>
                <w:noProof/>
                <w:webHidden/>
              </w:rPr>
              <w:tab/>
            </w:r>
            <w:r w:rsidR="00CB0AB7">
              <w:rPr>
                <w:noProof/>
                <w:webHidden/>
              </w:rPr>
              <w:fldChar w:fldCharType="begin"/>
            </w:r>
            <w:r w:rsidR="00CB0AB7">
              <w:rPr>
                <w:noProof/>
                <w:webHidden/>
              </w:rPr>
              <w:instrText xml:space="preserve"> PAGEREF _Toc57035875 \h </w:instrText>
            </w:r>
            <w:r w:rsidR="00CB0AB7">
              <w:rPr>
                <w:noProof/>
                <w:webHidden/>
              </w:rPr>
            </w:r>
            <w:r w:rsidR="00CB0AB7">
              <w:rPr>
                <w:noProof/>
                <w:webHidden/>
              </w:rPr>
              <w:fldChar w:fldCharType="separate"/>
            </w:r>
            <w:r w:rsidR="00CB0D8F">
              <w:rPr>
                <w:noProof/>
                <w:webHidden/>
              </w:rPr>
              <w:t>9</w:t>
            </w:r>
            <w:r w:rsidR="00CB0AB7">
              <w:rPr>
                <w:noProof/>
                <w:webHidden/>
              </w:rPr>
              <w:fldChar w:fldCharType="end"/>
            </w:r>
          </w:hyperlink>
        </w:p>
        <w:p w14:paraId="1B7D229F" w14:textId="31402A26" w:rsidR="00CB0AB7" w:rsidRDefault="00B568C9" w:rsidP="00CB0AB7">
          <w:pPr>
            <w:pStyle w:val="TOC1"/>
            <w:tabs>
              <w:tab w:val="left" w:pos="993"/>
              <w:tab w:val="right" w:leader="dot" w:pos="8779"/>
            </w:tabs>
            <w:rPr>
              <w:rFonts w:cstheme="minorBidi"/>
              <w:b w:val="0"/>
              <w:bCs w:val="0"/>
              <w:i w:val="0"/>
              <w:iCs w:val="0"/>
              <w:noProof/>
              <w:lang w:eastAsia="en-GB"/>
            </w:rPr>
          </w:pPr>
          <w:hyperlink w:anchor="_Toc57035876" w:history="1">
            <w:r w:rsidR="00CB0AB7" w:rsidRPr="008819BD">
              <w:rPr>
                <w:rStyle w:val="Hyperlink"/>
                <w:noProof/>
              </w:rPr>
              <w:t>Abstract</w:t>
            </w:r>
            <w:r w:rsidR="00CB0AB7">
              <w:rPr>
                <w:noProof/>
                <w:webHidden/>
              </w:rPr>
              <w:tab/>
            </w:r>
            <w:r w:rsidR="001039E6">
              <w:rPr>
                <w:noProof/>
                <w:webHidden/>
              </w:rPr>
              <w:tab/>
            </w:r>
            <w:r w:rsidR="00CB0AB7">
              <w:rPr>
                <w:noProof/>
                <w:webHidden/>
              </w:rPr>
              <w:fldChar w:fldCharType="begin"/>
            </w:r>
            <w:r w:rsidR="00CB0AB7">
              <w:rPr>
                <w:noProof/>
                <w:webHidden/>
              </w:rPr>
              <w:instrText xml:space="preserve"> PAGEREF _Toc57035876 \h </w:instrText>
            </w:r>
            <w:r w:rsidR="00CB0AB7">
              <w:rPr>
                <w:noProof/>
                <w:webHidden/>
              </w:rPr>
            </w:r>
            <w:r w:rsidR="00CB0AB7">
              <w:rPr>
                <w:noProof/>
                <w:webHidden/>
              </w:rPr>
              <w:fldChar w:fldCharType="separate"/>
            </w:r>
            <w:r w:rsidR="00CB0D8F">
              <w:rPr>
                <w:noProof/>
                <w:webHidden/>
              </w:rPr>
              <w:t>11</w:t>
            </w:r>
            <w:r w:rsidR="00CB0AB7">
              <w:rPr>
                <w:noProof/>
                <w:webHidden/>
              </w:rPr>
              <w:fldChar w:fldCharType="end"/>
            </w:r>
          </w:hyperlink>
        </w:p>
        <w:p w14:paraId="2AA5F2B3" w14:textId="6689B751" w:rsidR="00CB0AB7" w:rsidRDefault="00B568C9" w:rsidP="00CB0AB7">
          <w:pPr>
            <w:pStyle w:val="TOC1"/>
            <w:tabs>
              <w:tab w:val="left" w:pos="993"/>
              <w:tab w:val="right" w:leader="dot" w:pos="8779"/>
            </w:tabs>
            <w:rPr>
              <w:rFonts w:cstheme="minorBidi"/>
              <w:b w:val="0"/>
              <w:bCs w:val="0"/>
              <w:i w:val="0"/>
              <w:iCs w:val="0"/>
              <w:noProof/>
              <w:lang w:eastAsia="en-GB"/>
            </w:rPr>
          </w:pPr>
          <w:hyperlink w:anchor="_Toc57035877" w:history="1">
            <w:r w:rsidR="00CB0AB7" w:rsidRPr="008819BD">
              <w:rPr>
                <w:rStyle w:val="Hyperlink"/>
                <w:noProof/>
              </w:rPr>
              <w:t>List of Abbreviations</w:t>
            </w:r>
            <w:r w:rsidR="00CB0AB7">
              <w:rPr>
                <w:noProof/>
                <w:webHidden/>
              </w:rPr>
              <w:tab/>
            </w:r>
            <w:r w:rsidR="00CB0AB7">
              <w:rPr>
                <w:noProof/>
                <w:webHidden/>
              </w:rPr>
              <w:fldChar w:fldCharType="begin"/>
            </w:r>
            <w:r w:rsidR="00CB0AB7">
              <w:rPr>
                <w:noProof/>
                <w:webHidden/>
              </w:rPr>
              <w:instrText xml:space="preserve"> PAGEREF _Toc57035877 \h </w:instrText>
            </w:r>
            <w:r w:rsidR="00CB0AB7">
              <w:rPr>
                <w:noProof/>
                <w:webHidden/>
              </w:rPr>
            </w:r>
            <w:r w:rsidR="00CB0AB7">
              <w:rPr>
                <w:noProof/>
                <w:webHidden/>
              </w:rPr>
              <w:fldChar w:fldCharType="separate"/>
            </w:r>
            <w:r w:rsidR="00CB0D8F">
              <w:rPr>
                <w:noProof/>
                <w:webHidden/>
              </w:rPr>
              <w:t>13</w:t>
            </w:r>
            <w:r w:rsidR="00CB0AB7">
              <w:rPr>
                <w:noProof/>
                <w:webHidden/>
              </w:rPr>
              <w:fldChar w:fldCharType="end"/>
            </w:r>
          </w:hyperlink>
        </w:p>
        <w:p w14:paraId="3B5C74B3" w14:textId="00957FAE" w:rsidR="00CB0AB7" w:rsidRDefault="00B568C9" w:rsidP="00CB0AB7">
          <w:pPr>
            <w:pStyle w:val="TOC1"/>
            <w:tabs>
              <w:tab w:val="left" w:pos="400"/>
              <w:tab w:val="left" w:pos="993"/>
              <w:tab w:val="right" w:leader="dot" w:pos="8779"/>
            </w:tabs>
            <w:rPr>
              <w:rFonts w:cstheme="minorBidi"/>
              <w:b w:val="0"/>
              <w:bCs w:val="0"/>
              <w:i w:val="0"/>
              <w:iCs w:val="0"/>
              <w:noProof/>
              <w:lang w:eastAsia="en-GB"/>
            </w:rPr>
          </w:pPr>
          <w:hyperlink w:anchor="_Toc57035878" w:history="1">
            <w:r w:rsidR="00CB0AB7" w:rsidRPr="008819BD">
              <w:rPr>
                <w:rStyle w:val="Hyperlink"/>
                <w:noProof/>
              </w:rPr>
              <w:t>1</w:t>
            </w:r>
            <w:r w:rsidR="00CB0AB7">
              <w:rPr>
                <w:rFonts w:cstheme="minorBidi"/>
                <w:b w:val="0"/>
                <w:bCs w:val="0"/>
                <w:i w:val="0"/>
                <w:iCs w:val="0"/>
                <w:noProof/>
                <w:lang w:eastAsia="en-GB"/>
              </w:rPr>
              <w:tab/>
            </w:r>
            <w:r w:rsidR="00CB0AB7" w:rsidRPr="008819BD">
              <w:rPr>
                <w:rStyle w:val="Hyperlink"/>
                <w:noProof/>
              </w:rPr>
              <w:t>Study Overview</w:t>
            </w:r>
            <w:r w:rsidR="00CB0AB7">
              <w:rPr>
                <w:noProof/>
                <w:webHidden/>
              </w:rPr>
              <w:tab/>
            </w:r>
            <w:r w:rsidR="00CB0AB7">
              <w:rPr>
                <w:noProof/>
                <w:webHidden/>
              </w:rPr>
              <w:fldChar w:fldCharType="begin"/>
            </w:r>
            <w:r w:rsidR="00CB0AB7">
              <w:rPr>
                <w:noProof/>
                <w:webHidden/>
              </w:rPr>
              <w:instrText xml:space="preserve"> PAGEREF _Toc57035878 \h </w:instrText>
            </w:r>
            <w:r w:rsidR="00CB0AB7">
              <w:rPr>
                <w:noProof/>
                <w:webHidden/>
              </w:rPr>
            </w:r>
            <w:r w:rsidR="00CB0AB7">
              <w:rPr>
                <w:noProof/>
                <w:webHidden/>
              </w:rPr>
              <w:fldChar w:fldCharType="separate"/>
            </w:r>
            <w:r w:rsidR="00CB0D8F">
              <w:rPr>
                <w:noProof/>
                <w:webHidden/>
              </w:rPr>
              <w:t>15</w:t>
            </w:r>
            <w:r w:rsidR="00CB0AB7">
              <w:rPr>
                <w:noProof/>
                <w:webHidden/>
              </w:rPr>
              <w:fldChar w:fldCharType="end"/>
            </w:r>
          </w:hyperlink>
        </w:p>
        <w:p w14:paraId="64F5CF4A" w14:textId="44BFB58D" w:rsidR="00CB0AB7" w:rsidRDefault="00B568C9" w:rsidP="00CB0AB7">
          <w:pPr>
            <w:pStyle w:val="TOC2"/>
            <w:tabs>
              <w:tab w:val="left" w:pos="800"/>
              <w:tab w:val="left" w:pos="993"/>
              <w:tab w:val="right" w:leader="dot" w:pos="8779"/>
            </w:tabs>
            <w:rPr>
              <w:rFonts w:cstheme="minorBidi"/>
              <w:b w:val="0"/>
              <w:bCs w:val="0"/>
              <w:noProof/>
              <w:sz w:val="24"/>
              <w:szCs w:val="24"/>
              <w:lang w:eastAsia="en-GB"/>
            </w:rPr>
          </w:pPr>
          <w:hyperlink w:anchor="_Toc57035879" w:history="1">
            <w:r w:rsidR="00CB0AB7" w:rsidRPr="008819BD">
              <w:rPr>
                <w:rStyle w:val="Hyperlink"/>
                <w:noProof/>
              </w:rPr>
              <w:t>1.1</w:t>
            </w:r>
            <w:r w:rsidR="00CB0AB7">
              <w:rPr>
                <w:rFonts w:cstheme="minorBidi"/>
                <w:b w:val="0"/>
                <w:bCs w:val="0"/>
                <w:noProof/>
                <w:sz w:val="24"/>
                <w:szCs w:val="24"/>
                <w:lang w:eastAsia="en-GB"/>
              </w:rPr>
              <w:tab/>
            </w:r>
            <w:r w:rsidR="00CB0AB7" w:rsidRPr="008819BD">
              <w:rPr>
                <w:rStyle w:val="Hyperlink"/>
                <w:noProof/>
              </w:rPr>
              <w:t>Academic confidence and dyslexia at university</w:t>
            </w:r>
            <w:r w:rsidR="00CB0AB7">
              <w:rPr>
                <w:noProof/>
                <w:webHidden/>
              </w:rPr>
              <w:tab/>
            </w:r>
            <w:r w:rsidR="00CB0AB7">
              <w:rPr>
                <w:noProof/>
                <w:webHidden/>
              </w:rPr>
              <w:fldChar w:fldCharType="begin"/>
            </w:r>
            <w:r w:rsidR="00CB0AB7">
              <w:rPr>
                <w:noProof/>
                <w:webHidden/>
              </w:rPr>
              <w:instrText xml:space="preserve"> PAGEREF _Toc57035879 \h </w:instrText>
            </w:r>
            <w:r w:rsidR="00CB0AB7">
              <w:rPr>
                <w:noProof/>
                <w:webHidden/>
              </w:rPr>
            </w:r>
            <w:r w:rsidR="00CB0AB7">
              <w:rPr>
                <w:noProof/>
                <w:webHidden/>
              </w:rPr>
              <w:fldChar w:fldCharType="separate"/>
            </w:r>
            <w:r w:rsidR="00CB0D8F">
              <w:rPr>
                <w:noProof/>
                <w:webHidden/>
              </w:rPr>
              <w:t>16</w:t>
            </w:r>
            <w:r w:rsidR="00CB0AB7">
              <w:rPr>
                <w:noProof/>
                <w:webHidden/>
              </w:rPr>
              <w:fldChar w:fldCharType="end"/>
            </w:r>
          </w:hyperlink>
        </w:p>
        <w:p w14:paraId="451E4909" w14:textId="2AA2B075" w:rsidR="00CB0AB7" w:rsidRDefault="00B568C9" w:rsidP="00CB0AB7">
          <w:pPr>
            <w:pStyle w:val="TOC3"/>
            <w:tabs>
              <w:tab w:val="left" w:pos="800"/>
              <w:tab w:val="left" w:pos="993"/>
              <w:tab w:val="right" w:leader="dot" w:pos="8779"/>
            </w:tabs>
            <w:rPr>
              <w:rFonts w:cstheme="minorBidi"/>
              <w:noProof/>
              <w:sz w:val="24"/>
              <w:szCs w:val="24"/>
              <w:lang w:eastAsia="en-GB"/>
            </w:rPr>
          </w:pPr>
          <w:hyperlink w:anchor="_Toc57035880" w:history="1">
            <w:r w:rsidR="00CB0AB7" w:rsidRPr="008819BD">
              <w:rPr>
                <w:rStyle w:val="Hyperlink"/>
                <w:noProof/>
              </w:rPr>
              <w:t>I</w:t>
            </w:r>
            <w:r w:rsidR="00CB0AB7">
              <w:rPr>
                <w:rFonts w:cstheme="minorBidi"/>
                <w:noProof/>
                <w:sz w:val="24"/>
                <w:szCs w:val="24"/>
                <w:lang w:eastAsia="en-GB"/>
              </w:rPr>
              <w:tab/>
            </w:r>
            <w:r w:rsidR="00CB0AB7">
              <w:rPr>
                <w:rFonts w:cstheme="minorBidi"/>
                <w:noProof/>
                <w:sz w:val="24"/>
                <w:szCs w:val="24"/>
                <w:lang w:eastAsia="en-GB"/>
              </w:rPr>
              <w:tab/>
            </w:r>
            <w:r w:rsidR="00CB0AB7" w:rsidRPr="008819BD">
              <w:rPr>
                <w:rStyle w:val="Hyperlink"/>
                <w:noProof/>
              </w:rPr>
              <w:t>Dyslexia</w:t>
            </w:r>
            <w:r w:rsidR="00CB0AB7">
              <w:rPr>
                <w:noProof/>
                <w:webHidden/>
              </w:rPr>
              <w:tab/>
            </w:r>
            <w:r w:rsidR="00CB0AB7">
              <w:rPr>
                <w:noProof/>
                <w:webHidden/>
              </w:rPr>
              <w:fldChar w:fldCharType="begin"/>
            </w:r>
            <w:r w:rsidR="00CB0AB7">
              <w:rPr>
                <w:noProof/>
                <w:webHidden/>
              </w:rPr>
              <w:instrText xml:space="preserve"> PAGEREF _Toc57035880 \h </w:instrText>
            </w:r>
            <w:r w:rsidR="00CB0AB7">
              <w:rPr>
                <w:noProof/>
                <w:webHidden/>
              </w:rPr>
            </w:r>
            <w:r w:rsidR="00CB0AB7">
              <w:rPr>
                <w:noProof/>
                <w:webHidden/>
              </w:rPr>
              <w:fldChar w:fldCharType="separate"/>
            </w:r>
            <w:r w:rsidR="00CB0D8F">
              <w:rPr>
                <w:noProof/>
                <w:webHidden/>
              </w:rPr>
              <w:t>16</w:t>
            </w:r>
            <w:r w:rsidR="00CB0AB7">
              <w:rPr>
                <w:noProof/>
                <w:webHidden/>
              </w:rPr>
              <w:fldChar w:fldCharType="end"/>
            </w:r>
          </w:hyperlink>
        </w:p>
        <w:p w14:paraId="35E4C17A" w14:textId="66939DFF" w:rsidR="00CB0AB7" w:rsidRDefault="00B568C9" w:rsidP="00CB0AB7">
          <w:pPr>
            <w:pStyle w:val="TOC3"/>
            <w:tabs>
              <w:tab w:val="left" w:pos="800"/>
              <w:tab w:val="left" w:pos="993"/>
              <w:tab w:val="right" w:leader="dot" w:pos="8779"/>
            </w:tabs>
            <w:rPr>
              <w:rFonts w:cstheme="minorBidi"/>
              <w:noProof/>
              <w:sz w:val="24"/>
              <w:szCs w:val="24"/>
              <w:lang w:eastAsia="en-GB"/>
            </w:rPr>
          </w:pPr>
          <w:hyperlink w:anchor="_Toc57035881" w:history="1">
            <w:r w:rsidR="00CB0AB7" w:rsidRPr="008819BD">
              <w:rPr>
                <w:rStyle w:val="Hyperlink"/>
                <w:noProof/>
              </w:rPr>
              <w:t>II</w:t>
            </w:r>
            <w:r w:rsidR="00CB0AB7">
              <w:rPr>
                <w:rFonts w:cstheme="minorBidi"/>
                <w:noProof/>
                <w:sz w:val="24"/>
                <w:szCs w:val="24"/>
                <w:lang w:eastAsia="en-GB"/>
              </w:rPr>
              <w:tab/>
            </w:r>
            <w:r w:rsidR="00CB0AB7">
              <w:rPr>
                <w:rFonts w:cstheme="minorBidi"/>
                <w:noProof/>
                <w:sz w:val="24"/>
                <w:szCs w:val="24"/>
                <w:lang w:eastAsia="en-GB"/>
              </w:rPr>
              <w:tab/>
            </w:r>
            <w:r w:rsidR="00CB0AB7" w:rsidRPr="008819BD">
              <w:rPr>
                <w:rStyle w:val="Hyperlink"/>
                <w:noProof/>
              </w:rPr>
              <w:t>Academic Confidence</w:t>
            </w:r>
            <w:r w:rsidR="00CB0AB7">
              <w:rPr>
                <w:noProof/>
                <w:webHidden/>
              </w:rPr>
              <w:tab/>
            </w:r>
            <w:r w:rsidR="00CB0AB7">
              <w:rPr>
                <w:noProof/>
                <w:webHidden/>
              </w:rPr>
              <w:fldChar w:fldCharType="begin"/>
            </w:r>
            <w:r w:rsidR="00CB0AB7">
              <w:rPr>
                <w:noProof/>
                <w:webHidden/>
              </w:rPr>
              <w:instrText xml:space="preserve"> PAGEREF _Toc57035881 \h </w:instrText>
            </w:r>
            <w:r w:rsidR="00CB0AB7">
              <w:rPr>
                <w:noProof/>
                <w:webHidden/>
              </w:rPr>
            </w:r>
            <w:r w:rsidR="00CB0AB7">
              <w:rPr>
                <w:noProof/>
                <w:webHidden/>
              </w:rPr>
              <w:fldChar w:fldCharType="separate"/>
            </w:r>
            <w:r w:rsidR="00CB0D8F">
              <w:rPr>
                <w:noProof/>
                <w:webHidden/>
              </w:rPr>
              <w:t>17</w:t>
            </w:r>
            <w:r w:rsidR="00CB0AB7">
              <w:rPr>
                <w:noProof/>
                <w:webHidden/>
              </w:rPr>
              <w:fldChar w:fldCharType="end"/>
            </w:r>
          </w:hyperlink>
        </w:p>
        <w:p w14:paraId="23DF2BAE" w14:textId="589984CA" w:rsidR="00CB0AB7" w:rsidRDefault="00B568C9" w:rsidP="00CB0AB7">
          <w:pPr>
            <w:pStyle w:val="TOC3"/>
            <w:tabs>
              <w:tab w:val="left" w:pos="800"/>
              <w:tab w:val="left" w:pos="993"/>
              <w:tab w:val="right" w:leader="dot" w:pos="8779"/>
            </w:tabs>
            <w:rPr>
              <w:rFonts w:cstheme="minorBidi"/>
              <w:noProof/>
              <w:sz w:val="24"/>
              <w:szCs w:val="24"/>
              <w:lang w:eastAsia="en-GB"/>
            </w:rPr>
          </w:pPr>
          <w:hyperlink w:anchor="_Toc57035882" w:history="1">
            <w:r w:rsidR="00CB0AB7" w:rsidRPr="008819BD">
              <w:rPr>
                <w:rStyle w:val="Hyperlink"/>
                <w:noProof/>
              </w:rPr>
              <w:t>III</w:t>
            </w:r>
            <w:r w:rsidR="00CB0AB7">
              <w:rPr>
                <w:rFonts w:cstheme="minorBidi"/>
                <w:noProof/>
                <w:sz w:val="24"/>
                <w:szCs w:val="24"/>
                <w:lang w:eastAsia="en-GB"/>
              </w:rPr>
              <w:tab/>
            </w:r>
            <w:r w:rsidR="00CB0AB7">
              <w:rPr>
                <w:rFonts w:cstheme="minorBidi"/>
                <w:noProof/>
                <w:sz w:val="24"/>
                <w:szCs w:val="24"/>
                <w:lang w:eastAsia="en-GB"/>
              </w:rPr>
              <w:tab/>
            </w:r>
            <w:r w:rsidR="00CB0AB7" w:rsidRPr="008819BD">
              <w:rPr>
                <w:rStyle w:val="Hyperlink"/>
                <w:noProof/>
              </w:rPr>
              <w:t>Academic Behavioural Confidence</w:t>
            </w:r>
            <w:r w:rsidR="00CB0AB7">
              <w:rPr>
                <w:noProof/>
                <w:webHidden/>
              </w:rPr>
              <w:tab/>
            </w:r>
            <w:r w:rsidR="00CB0AB7">
              <w:rPr>
                <w:noProof/>
                <w:webHidden/>
              </w:rPr>
              <w:fldChar w:fldCharType="begin"/>
            </w:r>
            <w:r w:rsidR="00CB0AB7">
              <w:rPr>
                <w:noProof/>
                <w:webHidden/>
              </w:rPr>
              <w:instrText xml:space="preserve"> PAGEREF _Toc57035882 \h </w:instrText>
            </w:r>
            <w:r w:rsidR="00CB0AB7">
              <w:rPr>
                <w:noProof/>
                <w:webHidden/>
              </w:rPr>
            </w:r>
            <w:r w:rsidR="00CB0AB7">
              <w:rPr>
                <w:noProof/>
                <w:webHidden/>
              </w:rPr>
              <w:fldChar w:fldCharType="separate"/>
            </w:r>
            <w:r w:rsidR="00CB0D8F">
              <w:rPr>
                <w:noProof/>
                <w:webHidden/>
              </w:rPr>
              <w:t>18</w:t>
            </w:r>
            <w:r w:rsidR="00CB0AB7">
              <w:rPr>
                <w:noProof/>
                <w:webHidden/>
              </w:rPr>
              <w:fldChar w:fldCharType="end"/>
            </w:r>
          </w:hyperlink>
        </w:p>
        <w:p w14:paraId="439B7B31" w14:textId="2830F621" w:rsidR="00CB0AB7" w:rsidRDefault="00B568C9" w:rsidP="00CB0AB7">
          <w:pPr>
            <w:pStyle w:val="TOC3"/>
            <w:tabs>
              <w:tab w:val="left" w:pos="993"/>
              <w:tab w:val="right" w:leader="dot" w:pos="8779"/>
            </w:tabs>
            <w:rPr>
              <w:rFonts w:cstheme="minorBidi"/>
              <w:noProof/>
              <w:sz w:val="24"/>
              <w:szCs w:val="24"/>
              <w:lang w:eastAsia="en-GB"/>
            </w:rPr>
          </w:pPr>
          <w:hyperlink w:anchor="_Toc57035883" w:history="1">
            <w:r w:rsidR="00CB0AB7" w:rsidRPr="008819BD">
              <w:rPr>
                <w:rStyle w:val="Hyperlink"/>
                <w:noProof/>
              </w:rPr>
              <w:t>IV</w:t>
            </w:r>
            <w:r w:rsidR="00CB0AB7">
              <w:rPr>
                <w:rFonts w:cstheme="minorBidi"/>
                <w:noProof/>
                <w:sz w:val="24"/>
                <w:szCs w:val="24"/>
                <w:lang w:eastAsia="en-GB"/>
              </w:rPr>
              <w:tab/>
            </w:r>
            <w:r w:rsidR="00CB0AB7" w:rsidRPr="008819BD">
              <w:rPr>
                <w:rStyle w:val="Hyperlink"/>
                <w:noProof/>
              </w:rPr>
              <w:t>Location and stance of the study: Impact Statement</w:t>
            </w:r>
            <w:r w:rsidR="00CB0AB7">
              <w:rPr>
                <w:noProof/>
                <w:webHidden/>
              </w:rPr>
              <w:tab/>
            </w:r>
            <w:r w:rsidR="00CB0AB7">
              <w:rPr>
                <w:noProof/>
                <w:webHidden/>
              </w:rPr>
              <w:fldChar w:fldCharType="begin"/>
            </w:r>
            <w:r w:rsidR="00CB0AB7">
              <w:rPr>
                <w:noProof/>
                <w:webHidden/>
              </w:rPr>
              <w:instrText xml:space="preserve"> PAGEREF _Toc57035883 \h </w:instrText>
            </w:r>
            <w:r w:rsidR="00CB0AB7">
              <w:rPr>
                <w:noProof/>
                <w:webHidden/>
              </w:rPr>
            </w:r>
            <w:r w:rsidR="00CB0AB7">
              <w:rPr>
                <w:noProof/>
                <w:webHidden/>
              </w:rPr>
              <w:fldChar w:fldCharType="separate"/>
            </w:r>
            <w:r w:rsidR="00CB0D8F">
              <w:rPr>
                <w:noProof/>
                <w:webHidden/>
              </w:rPr>
              <w:t>19</w:t>
            </w:r>
            <w:r w:rsidR="00CB0AB7">
              <w:rPr>
                <w:noProof/>
                <w:webHidden/>
              </w:rPr>
              <w:fldChar w:fldCharType="end"/>
            </w:r>
          </w:hyperlink>
        </w:p>
        <w:p w14:paraId="3ED1DD7E" w14:textId="63F9F9DA" w:rsidR="00CB0AB7" w:rsidRDefault="00B568C9" w:rsidP="00CB0AB7">
          <w:pPr>
            <w:pStyle w:val="TOC2"/>
            <w:tabs>
              <w:tab w:val="left" w:pos="800"/>
              <w:tab w:val="left" w:pos="993"/>
              <w:tab w:val="right" w:leader="dot" w:pos="8779"/>
            </w:tabs>
            <w:rPr>
              <w:rFonts w:cstheme="minorBidi"/>
              <w:b w:val="0"/>
              <w:bCs w:val="0"/>
              <w:noProof/>
              <w:sz w:val="24"/>
              <w:szCs w:val="24"/>
              <w:lang w:eastAsia="en-GB"/>
            </w:rPr>
          </w:pPr>
          <w:hyperlink w:anchor="_Toc57035884" w:history="1">
            <w:r w:rsidR="00CB0AB7" w:rsidRPr="008819BD">
              <w:rPr>
                <w:rStyle w:val="Hyperlink"/>
                <w:noProof/>
              </w:rPr>
              <w:t>1.2</w:t>
            </w:r>
            <w:r w:rsidR="00CB0AB7">
              <w:rPr>
                <w:rFonts w:cstheme="minorBidi"/>
                <w:b w:val="0"/>
                <w:bCs w:val="0"/>
                <w:noProof/>
                <w:sz w:val="24"/>
                <w:szCs w:val="24"/>
                <w:lang w:eastAsia="en-GB"/>
              </w:rPr>
              <w:tab/>
            </w:r>
            <w:r w:rsidR="00CB0AB7" w:rsidRPr="008819BD">
              <w:rPr>
                <w:rStyle w:val="Hyperlink"/>
                <w:noProof/>
              </w:rPr>
              <w:t>Research Design and methodological overview</w:t>
            </w:r>
            <w:r w:rsidR="00CB0AB7">
              <w:rPr>
                <w:noProof/>
                <w:webHidden/>
              </w:rPr>
              <w:tab/>
            </w:r>
            <w:r w:rsidR="00CB0AB7">
              <w:rPr>
                <w:noProof/>
                <w:webHidden/>
              </w:rPr>
              <w:fldChar w:fldCharType="begin"/>
            </w:r>
            <w:r w:rsidR="00CB0AB7">
              <w:rPr>
                <w:noProof/>
                <w:webHidden/>
              </w:rPr>
              <w:instrText xml:space="preserve"> PAGEREF _Toc57035884 \h </w:instrText>
            </w:r>
            <w:r w:rsidR="00CB0AB7">
              <w:rPr>
                <w:noProof/>
                <w:webHidden/>
              </w:rPr>
            </w:r>
            <w:r w:rsidR="00CB0AB7">
              <w:rPr>
                <w:noProof/>
                <w:webHidden/>
              </w:rPr>
              <w:fldChar w:fldCharType="separate"/>
            </w:r>
            <w:r w:rsidR="00CB0D8F">
              <w:rPr>
                <w:noProof/>
                <w:webHidden/>
              </w:rPr>
              <w:t>20</w:t>
            </w:r>
            <w:r w:rsidR="00CB0AB7">
              <w:rPr>
                <w:noProof/>
                <w:webHidden/>
              </w:rPr>
              <w:fldChar w:fldCharType="end"/>
            </w:r>
          </w:hyperlink>
        </w:p>
        <w:p w14:paraId="142B0AAF" w14:textId="4C90FD01" w:rsidR="00CB0AB7" w:rsidRDefault="00B568C9" w:rsidP="00CB0AB7">
          <w:pPr>
            <w:pStyle w:val="TOC3"/>
            <w:tabs>
              <w:tab w:val="left" w:pos="800"/>
              <w:tab w:val="left" w:pos="993"/>
              <w:tab w:val="right" w:leader="dot" w:pos="8779"/>
            </w:tabs>
            <w:rPr>
              <w:rFonts w:cstheme="minorBidi"/>
              <w:noProof/>
              <w:sz w:val="24"/>
              <w:szCs w:val="24"/>
              <w:lang w:eastAsia="en-GB"/>
            </w:rPr>
          </w:pPr>
          <w:hyperlink w:anchor="_Toc57035885" w:history="1">
            <w:r w:rsidR="00CB0AB7" w:rsidRPr="008819BD">
              <w:rPr>
                <w:rStyle w:val="Hyperlink"/>
                <w:noProof/>
              </w:rPr>
              <w:t>I</w:t>
            </w:r>
            <w:r w:rsidR="00CB0AB7">
              <w:rPr>
                <w:rFonts w:cstheme="minorBidi"/>
                <w:noProof/>
                <w:sz w:val="24"/>
                <w:szCs w:val="24"/>
                <w:lang w:eastAsia="en-GB"/>
              </w:rPr>
              <w:tab/>
            </w:r>
            <w:r w:rsidR="00CB0AB7">
              <w:rPr>
                <w:rFonts w:cstheme="minorBidi"/>
                <w:noProof/>
                <w:sz w:val="24"/>
                <w:szCs w:val="24"/>
                <w:lang w:eastAsia="en-GB"/>
              </w:rPr>
              <w:tab/>
            </w:r>
            <w:r w:rsidR="00CB0AB7" w:rsidRPr="008819BD">
              <w:rPr>
                <w:rStyle w:val="Hyperlink"/>
                <w:noProof/>
              </w:rPr>
              <w:t>Background - the preceding small-scale enquiry</w:t>
            </w:r>
            <w:r w:rsidR="00CB0AB7">
              <w:rPr>
                <w:noProof/>
                <w:webHidden/>
              </w:rPr>
              <w:tab/>
            </w:r>
            <w:r w:rsidR="00CB0AB7">
              <w:rPr>
                <w:noProof/>
                <w:webHidden/>
              </w:rPr>
              <w:fldChar w:fldCharType="begin"/>
            </w:r>
            <w:r w:rsidR="00CB0AB7">
              <w:rPr>
                <w:noProof/>
                <w:webHidden/>
              </w:rPr>
              <w:instrText xml:space="preserve"> PAGEREF _Toc57035885 \h </w:instrText>
            </w:r>
            <w:r w:rsidR="00CB0AB7">
              <w:rPr>
                <w:noProof/>
                <w:webHidden/>
              </w:rPr>
            </w:r>
            <w:r w:rsidR="00CB0AB7">
              <w:rPr>
                <w:noProof/>
                <w:webHidden/>
              </w:rPr>
              <w:fldChar w:fldCharType="separate"/>
            </w:r>
            <w:r w:rsidR="00CB0D8F">
              <w:rPr>
                <w:noProof/>
                <w:webHidden/>
              </w:rPr>
              <w:t>20</w:t>
            </w:r>
            <w:r w:rsidR="00CB0AB7">
              <w:rPr>
                <w:noProof/>
                <w:webHidden/>
              </w:rPr>
              <w:fldChar w:fldCharType="end"/>
            </w:r>
          </w:hyperlink>
        </w:p>
        <w:p w14:paraId="5245A23B" w14:textId="39C8300C" w:rsidR="00CB0AB7" w:rsidRDefault="00B568C9" w:rsidP="00CB0AB7">
          <w:pPr>
            <w:pStyle w:val="TOC3"/>
            <w:tabs>
              <w:tab w:val="left" w:pos="800"/>
              <w:tab w:val="left" w:pos="993"/>
              <w:tab w:val="right" w:leader="dot" w:pos="8779"/>
            </w:tabs>
            <w:rPr>
              <w:rFonts w:cstheme="minorBidi"/>
              <w:noProof/>
              <w:sz w:val="24"/>
              <w:szCs w:val="24"/>
              <w:lang w:eastAsia="en-GB"/>
            </w:rPr>
          </w:pPr>
          <w:hyperlink w:anchor="_Toc57035886" w:history="1">
            <w:r w:rsidR="00CB0AB7" w:rsidRPr="008819BD">
              <w:rPr>
                <w:rStyle w:val="Hyperlink"/>
                <w:noProof/>
              </w:rPr>
              <w:t>II</w:t>
            </w:r>
            <w:r w:rsidR="00CB0AB7">
              <w:rPr>
                <w:rFonts w:cstheme="minorBidi"/>
                <w:noProof/>
                <w:sz w:val="24"/>
                <w:szCs w:val="24"/>
                <w:lang w:eastAsia="en-GB"/>
              </w:rPr>
              <w:tab/>
            </w:r>
            <w:r w:rsidR="00CB0AB7">
              <w:rPr>
                <w:rFonts w:cstheme="minorBidi"/>
                <w:noProof/>
                <w:sz w:val="24"/>
                <w:szCs w:val="24"/>
                <w:lang w:eastAsia="en-GB"/>
              </w:rPr>
              <w:tab/>
            </w:r>
            <w:r w:rsidR="00CB0AB7" w:rsidRPr="008819BD">
              <w:rPr>
                <w:rStyle w:val="Hyperlink"/>
                <w:noProof/>
              </w:rPr>
              <w:t>Structure and process</w:t>
            </w:r>
            <w:r w:rsidR="00CB0AB7">
              <w:rPr>
                <w:noProof/>
                <w:webHidden/>
              </w:rPr>
              <w:tab/>
            </w:r>
            <w:r w:rsidR="00CB0AB7">
              <w:rPr>
                <w:noProof/>
                <w:webHidden/>
              </w:rPr>
              <w:fldChar w:fldCharType="begin"/>
            </w:r>
            <w:r w:rsidR="00CB0AB7">
              <w:rPr>
                <w:noProof/>
                <w:webHidden/>
              </w:rPr>
              <w:instrText xml:space="preserve"> PAGEREF _Toc57035886 \h </w:instrText>
            </w:r>
            <w:r w:rsidR="00CB0AB7">
              <w:rPr>
                <w:noProof/>
                <w:webHidden/>
              </w:rPr>
            </w:r>
            <w:r w:rsidR="00CB0AB7">
              <w:rPr>
                <w:noProof/>
                <w:webHidden/>
              </w:rPr>
              <w:fldChar w:fldCharType="separate"/>
            </w:r>
            <w:r w:rsidR="00CB0D8F">
              <w:rPr>
                <w:noProof/>
                <w:webHidden/>
              </w:rPr>
              <w:t>21</w:t>
            </w:r>
            <w:r w:rsidR="00CB0AB7">
              <w:rPr>
                <w:noProof/>
                <w:webHidden/>
              </w:rPr>
              <w:fldChar w:fldCharType="end"/>
            </w:r>
          </w:hyperlink>
        </w:p>
        <w:p w14:paraId="546D9649" w14:textId="2FE99E76" w:rsidR="00CB0AB7" w:rsidRDefault="00B568C9" w:rsidP="00CB0AB7">
          <w:pPr>
            <w:pStyle w:val="TOC3"/>
            <w:tabs>
              <w:tab w:val="left" w:pos="800"/>
              <w:tab w:val="left" w:pos="993"/>
              <w:tab w:val="right" w:leader="dot" w:pos="8779"/>
            </w:tabs>
            <w:rPr>
              <w:rFonts w:cstheme="minorBidi"/>
              <w:noProof/>
              <w:sz w:val="24"/>
              <w:szCs w:val="24"/>
              <w:lang w:eastAsia="en-GB"/>
            </w:rPr>
          </w:pPr>
          <w:hyperlink w:anchor="_Toc57035887" w:history="1">
            <w:r w:rsidR="00CB0AB7" w:rsidRPr="008819BD">
              <w:rPr>
                <w:rStyle w:val="Hyperlink"/>
                <w:noProof/>
              </w:rPr>
              <w:t>III</w:t>
            </w:r>
            <w:r w:rsidR="00CB0AB7">
              <w:rPr>
                <w:rFonts w:cstheme="minorBidi"/>
                <w:noProof/>
                <w:sz w:val="24"/>
                <w:szCs w:val="24"/>
                <w:lang w:eastAsia="en-GB"/>
              </w:rPr>
              <w:tab/>
            </w:r>
            <w:r w:rsidR="00CB0AB7">
              <w:rPr>
                <w:rFonts w:cstheme="minorBidi"/>
                <w:noProof/>
                <w:sz w:val="24"/>
                <w:szCs w:val="24"/>
                <w:lang w:eastAsia="en-GB"/>
              </w:rPr>
              <w:tab/>
            </w:r>
            <w:r w:rsidR="00CB0AB7" w:rsidRPr="008819BD">
              <w:rPr>
                <w:rStyle w:val="Hyperlink"/>
                <w:noProof/>
              </w:rPr>
              <w:t>Register</w:t>
            </w:r>
            <w:r w:rsidR="00CB0AB7">
              <w:rPr>
                <w:noProof/>
                <w:webHidden/>
              </w:rPr>
              <w:tab/>
            </w:r>
            <w:r w:rsidR="00CB0AB7">
              <w:rPr>
                <w:noProof/>
                <w:webHidden/>
              </w:rPr>
              <w:fldChar w:fldCharType="begin"/>
            </w:r>
            <w:r w:rsidR="00CB0AB7">
              <w:rPr>
                <w:noProof/>
                <w:webHidden/>
              </w:rPr>
              <w:instrText xml:space="preserve"> PAGEREF _Toc57035887 \h </w:instrText>
            </w:r>
            <w:r w:rsidR="00CB0AB7">
              <w:rPr>
                <w:noProof/>
                <w:webHidden/>
              </w:rPr>
            </w:r>
            <w:r w:rsidR="00CB0AB7">
              <w:rPr>
                <w:noProof/>
                <w:webHidden/>
              </w:rPr>
              <w:fldChar w:fldCharType="separate"/>
            </w:r>
            <w:r w:rsidR="00CB0D8F">
              <w:rPr>
                <w:noProof/>
                <w:webHidden/>
              </w:rPr>
              <w:t>23</w:t>
            </w:r>
            <w:r w:rsidR="00CB0AB7">
              <w:rPr>
                <w:noProof/>
                <w:webHidden/>
              </w:rPr>
              <w:fldChar w:fldCharType="end"/>
            </w:r>
          </w:hyperlink>
        </w:p>
        <w:p w14:paraId="0B2B5B18" w14:textId="340F33AA" w:rsidR="00CB0AB7" w:rsidRDefault="00B568C9" w:rsidP="00CB0AB7">
          <w:pPr>
            <w:pStyle w:val="TOC2"/>
            <w:tabs>
              <w:tab w:val="left" w:pos="800"/>
              <w:tab w:val="left" w:pos="993"/>
              <w:tab w:val="right" w:leader="dot" w:pos="8779"/>
            </w:tabs>
            <w:rPr>
              <w:rFonts w:cstheme="minorBidi"/>
              <w:b w:val="0"/>
              <w:bCs w:val="0"/>
              <w:noProof/>
              <w:sz w:val="24"/>
              <w:szCs w:val="24"/>
              <w:lang w:eastAsia="en-GB"/>
            </w:rPr>
          </w:pPr>
          <w:hyperlink w:anchor="_Toc57035888" w:history="1">
            <w:r w:rsidR="00CB0AB7" w:rsidRPr="008819BD">
              <w:rPr>
                <w:rStyle w:val="Hyperlink"/>
                <w:noProof/>
              </w:rPr>
              <w:t>1.3</w:t>
            </w:r>
            <w:r w:rsidR="00CB0AB7">
              <w:rPr>
                <w:rFonts w:cstheme="minorBidi"/>
                <w:b w:val="0"/>
                <w:bCs w:val="0"/>
                <w:noProof/>
                <w:sz w:val="24"/>
                <w:szCs w:val="24"/>
                <w:lang w:eastAsia="en-GB"/>
              </w:rPr>
              <w:tab/>
            </w:r>
            <w:r w:rsidR="00CB0AB7" w:rsidRPr="008819BD">
              <w:rPr>
                <w:rStyle w:val="Hyperlink"/>
                <w:noProof/>
              </w:rPr>
              <w:t>Research Importance</w:t>
            </w:r>
            <w:r w:rsidR="00CB0AB7">
              <w:rPr>
                <w:noProof/>
                <w:webHidden/>
              </w:rPr>
              <w:tab/>
            </w:r>
            <w:r w:rsidR="00CB0AB7">
              <w:rPr>
                <w:noProof/>
                <w:webHidden/>
              </w:rPr>
              <w:fldChar w:fldCharType="begin"/>
            </w:r>
            <w:r w:rsidR="00CB0AB7">
              <w:rPr>
                <w:noProof/>
                <w:webHidden/>
              </w:rPr>
              <w:instrText xml:space="preserve"> PAGEREF _Toc57035888 \h </w:instrText>
            </w:r>
            <w:r w:rsidR="00CB0AB7">
              <w:rPr>
                <w:noProof/>
                <w:webHidden/>
              </w:rPr>
            </w:r>
            <w:r w:rsidR="00CB0AB7">
              <w:rPr>
                <w:noProof/>
                <w:webHidden/>
              </w:rPr>
              <w:fldChar w:fldCharType="separate"/>
            </w:r>
            <w:r w:rsidR="00CB0D8F">
              <w:rPr>
                <w:noProof/>
                <w:webHidden/>
              </w:rPr>
              <w:t>23</w:t>
            </w:r>
            <w:r w:rsidR="00CB0AB7">
              <w:rPr>
                <w:noProof/>
                <w:webHidden/>
              </w:rPr>
              <w:fldChar w:fldCharType="end"/>
            </w:r>
          </w:hyperlink>
        </w:p>
        <w:p w14:paraId="195262C4" w14:textId="2C79C948" w:rsidR="00CB0AB7" w:rsidRDefault="00B568C9" w:rsidP="00CB0AB7">
          <w:pPr>
            <w:pStyle w:val="TOC2"/>
            <w:tabs>
              <w:tab w:val="left" w:pos="800"/>
              <w:tab w:val="left" w:pos="993"/>
              <w:tab w:val="right" w:leader="dot" w:pos="8779"/>
            </w:tabs>
            <w:rPr>
              <w:rFonts w:cstheme="minorBidi"/>
              <w:b w:val="0"/>
              <w:bCs w:val="0"/>
              <w:noProof/>
              <w:sz w:val="24"/>
              <w:szCs w:val="24"/>
              <w:lang w:eastAsia="en-GB"/>
            </w:rPr>
          </w:pPr>
          <w:hyperlink w:anchor="_Toc57035889" w:history="1">
            <w:r w:rsidR="00CB0AB7" w:rsidRPr="008819BD">
              <w:rPr>
                <w:rStyle w:val="Hyperlink"/>
                <w:noProof/>
              </w:rPr>
              <w:t>1.4</w:t>
            </w:r>
            <w:r w:rsidR="00CB0AB7">
              <w:rPr>
                <w:rFonts w:cstheme="minorBidi"/>
                <w:b w:val="0"/>
                <w:bCs w:val="0"/>
                <w:noProof/>
                <w:sz w:val="24"/>
                <w:szCs w:val="24"/>
                <w:lang w:eastAsia="en-GB"/>
              </w:rPr>
              <w:tab/>
            </w:r>
            <w:r w:rsidR="00CB0AB7" w:rsidRPr="008819BD">
              <w:rPr>
                <w:rStyle w:val="Hyperlink"/>
                <w:noProof/>
              </w:rPr>
              <w:t>Research questions and hypotheses</w:t>
            </w:r>
            <w:r w:rsidR="00CB0AB7">
              <w:rPr>
                <w:noProof/>
                <w:webHidden/>
              </w:rPr>
              <w:tab/>
            </w:r>
            <w:r w:rsidR="00CB0AB7">
              <w:rPr>
                <w:noProof/>
                <w:webHidden/>
              </w:rPr>
              <w:fldChar w:fldCharType="begin"/>
            </w:r>
            <w:r w:rsidR="00CB0AB7">
              <w:rPr>
                <w:noProof/>
                <w:webHidden/>
              </w:rPr>
              <w:instrText xml:space="preserve"> PAGEREF _Toc57035889 \h </w:instrText>
            </w:r>
            <w:r w:rsidR="00CB0AB7">
              <w:rPr>
                <w:noProof/>
                <w:webHidden/>
              </w:rPr>
            </w:r>
            <w:r w:rsidR="00CB0AB7">
              <w:rPr>
                <w:noProof/>
                <w:webHidden/>
              </w:rPr>
              <w:fldChar w:fldCharType="separate"/>
            </w:r>
            <w:r w:rsidR="00CB0D8F">
              <w:rPr>
                <w:noProof/>
                <w:webHidden/>
              </w:rPr>
              <w:t>24</w:t>
            </w:r>
            <w:r w:rsidR="00CB0AB7">
              <w:rPr>
                <w:noProof/>
                <w:webHidden/>
              </w:rPr>
              <w:fldChar w:fldCharType="end"/>
            </w:r>
          </w:hyperlink>
        </w:p>
        <w:p w14:paraId="08A3B1C7" w14:textId="0F08656F" w:rsidR="00CB0AB7" w:rsidRDefault="00B568C9" w:rsidP="00CB0AB7">
          <w:pPr>
            <w:pStyle w:val="TOC1"/>
            <w:tabs>
              <w:tab w:val="left" w:pos="400"/>
              <w:tab w:val="left" w:pos="993"/>
              <w:tab w:val="right" w:leader="dot" w:pos="8779"/>
            </w:tabs>
            <w:rPr>
              <w:rFonts w:cstheme="minorBidi"/>
              <w:b w:val="0"/>
              <w:bCs w:val="0"/>
              <w:i w:val="0"/>
              <w:iCs w:val="0"/>
              <w:noProof/>
              <w:lang w:eastAsia="en-GB"/>
            </w:rPr>
          </w:pPr>
          <w:hyperlink w:anchor="_Toc57035890" w:history="1">
            <w:r w:rsidR="00CB0AB7" w:rsidRPr="008819BD">
              <w:rPr>
                <w:rStyle w:val="Hyperlink"/>
                <w:noProof/>
              </w:rPr>
              <w:t>2</w:t>
            </w:r>
            <w:r w:rsidR="00CB0AB7">
              <w:rPr>
                <w:rFonts w:cstheme="minorBidi"/>
                <w:b w:val="0"/>
                <w:bCs w:val="0"/>
                <w:i w:val="0"/>
                <w:iCs w:val="0"/>
                <w:noProof/>
                <w:lang w:eastAsia="en-GB"/>
              </w:rPr>
              <w:tab/>
            </w:r>
            <w:r w:rsidR="00CB0AB7" w:rsidRPr="008819BD">
              <w:rPr>
                <w:rStyle w:val="Hyperlink"/>
                <w:noProof/>
              </w:rPr>
              <w:t>Theoretical Perspectives</w:t>
            </w:r>
            <w:r w:rsidR="00CB0AB7">
              <w:rPr>
                <w:noProof/>
                <w:webHidden/>
              </w:rPr>
              <w:tab/>
            </w:r>
            <w:r w:rsidR="00CB0AB7">
              <w:rPr>
                <w:noProof/>
                <w:webHidden/>
              </w:rPr>
              <w:fldChar w:fldCharType="begin"/>
            </w:r>
            <w:r w:rsidR="00CB0AB7">
              <w:rPr>
                <w:noProof/>
                <w:webHidden/>
              </w:rPr>
              <w:instrText xml:space="preserve"> PAGEREF _Toc57035890 \h </w:instrText>
            </w:r>
            <w:r w:rsidR="00CB0AB7">
              <w:rPr>
                <w:noProof/>
                <w:webHidden/>
              </w:rPr>
            </w:r>
            <w:r w:rsidR="00CB0AB7">
              <w:rPr>
                <w:noProof/>
                <w:webHidden/>
              </w:rPr>
              <w:fldChar w:fldCharType="separate"/>
            </w:r>
            <w:r w:rsidR="00CB0D8F">
              <w:rPr>
                <w:noProof/>
                <w:webHidden/>
              </w:rPr>
              <w:t>26</w:t>
            </w:r>
            <w:r w:rsidR="00CB0AB7">
              <w:rPr>
                <w:noProof/>
                <w:webHidden/>
              </w:rPr>
              <w:fldChar w:fldCharType="end"/>
            </w:r>
          </w:hyperlink>
        </w:p>
        <w:p w14:paraId="0AE7D818" w14:textId="483D8297" w:rsidR="00CB0AB7" w:rsidRDefault="00B568C9" w:rsidP="00CB0AB7">
          <w:pPr>
            <w:pStyle w:val="TOC2"/>
            <w:tabs>
              <w:tab w:val="left" w:pos="993"/>
              <w:tab w:val="right" w:leader="dot" w:pos="8779"/>
            </w:tabs>
            <w:rPr>
              <w:rFonts w:cstheme="minorBidi"/>
              <w:b w:val="0"/>
              <w:bCs w:val="0"/>
              <w:noProof/>
              <w:sz w:val="24"/>
              <w:szCs w:val="24"/>
              <w:lang w:eastAsia="en-GB"/>
            </w:rPr>
          </w:pPr>
          <w:hyperlink w:anchor="_Toc57035891" w:history="1">
            <w:r w:rsidR="00CB0AB7" w:rsidRPr="008819BD">
              <w:rPr>
                <w:rStyle w:val="Hyperlink"/>
                <w:noProof/>
              </w:rPr>
              <w:t>Introduction</w:t>
            </w:r>
            <w:r w:rsidR="00CB0AB7">
              <w:rPr>
                <w:noProof/>
                <w:webHidden/>
              </w:rPr>
              <w:tab/>
            </w:r>
            <w:r w:rsidR="00CB0AB7">
              <w:rPr>
                <w:noProof/>
                <w:webHidden/>
              </w:rPr>
              <w:fldChar w:fldCharType="begin"/>
            </w:r>
            <w:r w:rsidR="00CB0AB7">
              <w:rPr>
                <w:noProof/>
                <w:webHidden/>
              </w:rPr>
              <w:instrText xml:space="preserve"> PAGEREF _Toc57035891 \h </w:instrText>
            </w:r>
            <w:r w:rsidR="00CB0AB7">
              <w:rPr>
                <w:noProof/>
                <w:webHidden/>
              </w:rPr>
            </w:r>
            <w:r w:rsidR="00CB0AB7">
              <w:rPr>
                <w:noProof/>
                <w:webHidden/>
              </w:rPr>
              <w:fldChar w:fldCharType="separate"/>
            </w:r>
            <w:r w:rsidR="00CB0D8F">
              <w:rPr>
                <w:noProof/>
                <w:webHidden/>
              </w:rPr>
              <w:t>27</w:t>
            </w:r>
            <w:r w:rsidR="00CB0AB7">
              <w:rPr>
                <w:noProof/>
                <w:webHidden/>
              </w:rPr>
              <w:fldChar w:fldCharType="end"/>
            </w:r>
          </w:hyperlink>
        </w:p>
        <w:p w14:paraId="7B59B80E" w14:textId="039D866A" w:rsidR="00CB0AB7" w:rsidRDefault="00B568C9" w:rsidP="00CB0AB7">
          <w:pPr>
            <w:pStyle w:val="TOC2"/>
            <w:tabs>
              <w:tab w:val="left" w:pos="800"/>
              <w:tab w:val="left" w:pos="993"/>
              <w:tab w:val="right" w:leader="dot" w:pos="8779"/>
            </w:tabs>
            <w:rPr>
              <w:rFonts w:cstheme="minorBidi"/>
              <w:b w:val="0"/>
              <w:bCs w:val="0"/>
              <w:noProof/>
              <w:sz w:val="24"/>
              <w:szCs w:val="24"/>
              <w:lang w:eastAsia="en-GB"/>
            </w:rPr>
          </w:pPr>
          <w:hyperlink w:anchor="_Toc57035892" w:history="1">
            <w:r w:rsidR="00CB0AB7" w:rsidRPr="008819BD">
              <w:rPr>
                <w:rStyle w:val="Hyperlink"/>
                <w:noProof/>
              </w:rPr>
              <w:t>2.1</w:t>
            </w:r>
            <w:r w:rsidR="00CB0AB7">
              <w:rPr>
                <w:rFonts w:cstheme="minorBidi"/>
                <w:b w:val="0"/>
                <w:bCs w:val="0"/>
                <w:noProof/>
                <w:sz w:val="24"/>
                <w:szCs w:val="24"/>
                <w:lang w:eastAsia="en-GB"/>
              </w:rPr>
              <w:tab/>
            </w:r>
            <w:r w:rsidR="00CB0AB7" w:rsidRPr="008819BD">
              <w:rPr>
                <w:rStyle w:val="Hyperlink"/>
                <w:noProof/>
              </w:rPr>
              <w:t>Dyslexia</w:t>
            </w:r>
            <w:r w:rsidR="00CB0AB7">
              <w:rPr>
                <w:noProof/>
                <w:webHidden/>
              </w:rPr>
              <w:tab/>
            </w:r>
            <w:r w:rsidR="00CB0AB7">
              <w:rPr>
                <w:noProof/>
                <w:webHidden/>
              </w:rPr>
              <w:fldChar w:fldCharType="begin"/>
            </w:r>
            <w:r w:rsidR="00CB0AB7">
              <w:rPr>
                <w:noProof/>
                <w:webHidden/>
              </w:rPr>
              <w:instrText xml:space="preserve"> PAGEREF _Toc57035892 \h </w:instrText>
            </w:r>
            <w:r w:rsidR="00CB0AB7">
              <w:rPr>
                <w:noProof/>
                <w:webHidden/>
              </w:rPr>
            </w:r>
            <w:r w:rsidR="00CB0AB7">
              <w:rPr>
                <w:noProof/>
                <w:webHidden/>
              </w:rPr>
              <w:fldChar w:fldCharType="separate"/>
            </w:r>
            <w:r w:rsidR="00CB0D8F">
              <w:rPr>
                <w:noProof/>
                <w:webHidden/>
              </w:rPr>
              <w:t>29</w:t>
            </w:r>
            <w:r w:rsidR="00CB0AB7">
              <w:rPr>
                <w:noProof/>
                <w:webHidden/>
              </w:rPr>
              <w:fldChar w:fldCharType="end"/>
            </w:r>
          </w:hyperlink>
        </w:p>
        <w:p w14:paraId="3BF6D8CA" w14:textId="279CC309" w:rsidR="00CB0AB7" w:rsidRDefault="00B568C9" w:rsidP="00CB0AB7">
          <w:pPr>
            <w:pStyle w:val="TOC3"/>
            <w:tabs>
              <w:tab w:val="left" w:pos="800"/>
              <w:tab w:val="left" w:pos="993"/>
              <w:tab w:val="right" w:leader="dot" w:pos="8779"/>
            </w:tabs>
            <w:rPr>
              <w:rFonts w:cstheme="minorBidi"/>
              <w:noProof/>
              <w:sz w:val="24"/>
              <w:szCs w:val="24"/>
              <w:lang w:eastAsia="en-GB"/>
            </w:rPr>
          </w:pPr>
          <w:hyperlink w:anchor="_Toc57035893" w:history="1">
            <w:r w:rsidR="00CB0AB7" w:rsidRPr="008819BD">
              <w:rPr>
                <w:rStyle w:val="Hyperlink"/>
                <w:noProof/>
              </w:rPr>
              <w:t>I</w:t>
            </w:r>
            <w:r w:rsidR="00CB0AB7">
              <w:rPr>
                <w:rFonts w:cstheme="minorBidi"/>
                <w:noProof/>
                <w:sz w:val="24"/>
                <w:szCs w:val="24"/>
                <w:lang w:eastAsia="en-GB"/>
              </w:rPr>
              <w:tab/>
            </w:r>
            <w:r w:rsidR="00CB0AB7">
              <w:rPr>
                <w:rFonts w:cstheme="minorBidi"/>
                <w:noProof/>
                <w:sz w:val="24"/>
                <w:szCs w:val="24"/>
                <w:lang w:eastAsia="en-GB"/>
              </w:rPr>
              <w:tab/>
            </w:r>
            <w:r w:rsidR="00CB0AB7" w:rsidRPr="008819BD">
              <w:rPr>
                <w:rStyle w:val="Hyperlink"/>
                <w:noProof/>
              </w:rPr>
              <w:t>Dyslexia, whatever it is, is complicated.</w:t>
            </w:r>
            <w:r w:rsidR="00CB0AB7">
              <w:rPr>
                <w:noProof/>
                <w:webHidden/>
              </w:rPr>
              <w:tab/>
            </w:r>
            <w:r w:rsidR="00CB0AB7">
              <w:rPr>
                <w:noProof/>
                <w:webHidden/>
              </w:rPr>
              <w:fldChar w:fldCharType="begin"/>
            </w:r>
            <w:r w:rsidR="00CB0AB7">
              <w:rPr>
                <w:noProof/>
                <w:webHidden/>
              </w:rPr>
              <w:instrText xml:space="preserve"> PAGEREF _Toc57035893 \h </w:instrText>
            </w:r>
            <w:r w:rsidR="00CB0AB7">
              <w:rPr>
                <w:noProof/>
                <w:webHidden/>
              </w:rPr>
            </w:r>
            <w:r w:rsidR="00CB0AB7">
              <w:rPr>
                <w:noProof/>
                <w:webHidden/>
              </w:rPr>
              <w:fldChar w:fldCharType="separate"/>
            </w:r>
            <w:r w:rsidR="00CB0D8F">
              <w:rPr>
                <w:noProof/>
                <w:webHidden/>
              </w:rPr>
              <w:t>29</w:t>
            </w:r>
            <w:r w:rsidR="00CB0AB7">
              <w:rPr>
                <w:noProof/>
                <w:webHidden/>
              </w:rPr>
              <w:fldChar w:fldCharType="end"/>
            </w:r>
          </w:hyperlink>
        </w:p>
        <w:p w14:paraId="07E77FD9" w14:textId="00AF3248" w:rsidR="00CB0AB7" w:rsidRDefault="00B568C9" w:rsidP="00CB0AB7">
          <w:pPr>
            <w:pStyle w:val="TOC3"/>
            <w:tabs>
              <w:tab w:val="left" w:pos="800"/>
              <w:tab w:val="left" w:pos="993"/>
              <w:tab w:val="right" w:leader="dot" w:pos="8779"/>
            </w:tabs>
            <w:rPr>
              <w:rFonts w:cstheme="minorBidi"/>
              <w:noProof/>
              <w:sz w:val="24"/>
              <w:szCs w:val="24"/>
              <w:lang w:eastAsia="en-GB"/>
            </w:rPr>
          </w:pPr>
          <w:hyperlink w:anchor="_Toc57035894" w:history="1">
            <w:r w:rsidR="00CB0AB7" w:rsidRPr="008819BD">
              <w:rPr>
                <w:rStyle w:val="Hyperlink"/>
                <w:noProof/>
              </w:rPr>
              <w:t>II</w:t>
            </w:r>
            <w:r w:rsidR="00CB0AB7">
              <w:rPr>
                <w:rFonts w:cstheme="minorBidi"/>
                <w:noProof/>
                <w:sz w:val="24"/>
                <w:szCs w:val="24"/>
                <w:lang w:eastAsia="en-GB"/>
              </w:rPr>
              <w:tab/>
            </w:r>
            <w:r w:rsidR="00CB0AB7">
              <w:rPr>
                <w:rFonts w:cstheme="minorBidi"/>
                <w:noProof/>
                <w:sz w:val="24"/>
                <w:szCs w:val="24"/>
                <w:lang w:eastAsia="en-GB"/>
              </w:rPr>
              <w:tab/>
            </w:r>
            <w:r w:rsidR="00CB0AB7" w:rsidRPr="008819BD">
              <w:rPr>
                <w:rStyle w:val="Hyperlink"/>
                <w:noProof/>
              </w:rPr>
              <w:t>Theoretical standpoints of dyslexia</w:t>
            </w:r>
            <w:r w:rsidR="00CB0AB7">
              <w:rPr>
                <w:noProof/>
                <w:webHidden/>
              </w:rPr>
              <w:tab/>
            </w:r>
            <w:r w:rsidR="00CB0AB7">
              <w:rPr>
                <w:noProof/>
                <w:webHidden/>
              </w:rPr>
              <w:fldChar w:fldCharType="begin"/>
            </w:r>
            <w:r w:rsidR="00CB0AB7">
              <w:rPr>
                <w:noProof/>
                <w:webHidden/>
              </w:rPr>
              <w:instrText xml:space="preserve"> PAGEREF _Toc57035894 \h </w:instrText>
            </w:r>
            <w:r w:rsidR="00CB0AB7">
              <w:rPr>
                <w:noProof/>
                <w:webHidden/>
              </w:rPr>
            </w:r>
            <w:r w:rsidR="00CB0AB7">
              <w:rPr>
                <w:noProof/>
                <w:webHidden/>
              </w:rPr>
              <w:fldChar w:fldCharType="separate"/>
            </w:r>
            <w:r w:rsidR="00CB0D8F">
              <w:rPr>
                <w:noProof/>
                <w:webHidden/>
              </w:rPr>
              <w:t>35</w:t>
            </w:r>
            <w:r w:rsidR="00CB0AB7">
              <w:rPr>
                <w:noProof/>
                <w:webHidden/>
              </w:rPr>
              <w:fldChar w:fldCharType="end"/>
            </w:r>
          </w:hyperlink>
        </w:p>
        <w:p w14:paraId="57205FBA" w14:textId="6742CAAD" w:rsidR="00CB0AB7" w:rsidRDefault="00B568C9" w:rsidP="00CB0AB7">
          <w:pPr>
            <w:pStyle w:val="TOC3"/>
            <w:tabs>
              <w:tab w:val="left" w:pos="800"/>
              <w:tab w:val="left" w:pos="993"/>
              <w:tab w:val="right" w:leader="dot" w:pos="8779"/>
            </w:tabs>
            <w:rPr>
              <w:rFonts w:cstheme="minorBidi"/>
              <w:noProof/>
              <w:sz w:val="24"/>
              <w:szCs w:val="24"/>
              <w:lang w:eastAsia="en-GB"/>
            </w:rPr>
          </w:pPr>
          <w:hyperlink w:anchor="_Toc57035895" w:history="1">
            <w:r w:rsidR="00CB0AB7" w:rsidRPr="008819BD">
              <w:rPr>
                <w:rStyle w:val="Hyperlink"/>
                <w:noProof/>
              </w:rPr>
              <w:t>III</w:t>
            </w:r>
            <w:r w:rsidR="00CB0AB7">
              <w:rPr>
                <w:rFonts w:cstheme="minorBidi"/>
                <w:noProof/>
                <w:sz w:val="24"/>
                <w:szCs w:val="24"/>
                <w:lang w:eastAsia="en-GB"/>
              </w:rPr>
              <w:tab/>
            </w:r>
            <w:r w:rsidR="00CB0AB7">
              <w:rPr>
                <w:rFonts w:cstheme="minorBidi"/>
                <w:noProof/>
                <w:sz w:val="24"/>
                <w:szCs w:val="24"/>
                <w:lang w:eastAsia="en-GB"/>
              </w:rPr>
              <w:tab/>
            </w:r>
            <w:r w:rsidR="00CB0AB7" w:rsidRPr="008819BD">
              <w:rPr>
                <w:rStyle w:val="Hyperlink"/>
                <w:noProof/>
              </w:rPr>
              <w:t>Equitability in learning systems – accommodating dyslexia?</w:t>
            </w:r>
            <w:r w:rsidR="00CB0AB7">
              <w:rPr>
                <w:noProof/>
                <w:webHidden/>
              </w:rPr>
              <w:tab/>
            </w:r>
            <w:r w:rsidR="00CB0AB7">
              <w:rPr>
                <w:noProof/>
                <w:webHidden/>
              </w:rPr>
              <w:fldChar w:fldCharType="begin"/>
            </w:r>
            <w:r w:rsidR="00CB0AB7">
              <w:rPr>
                <w:noProof/>
                <w:webHidden/>
              </w:rPr>
              <w:instrText xml:space="preserve"> PAGEREF _Toc57035895 \h </w:instrText>
            </w:r>
            <w:r w:rsidR="00CB0AB7">
              <w:rPr>
                <w:noProof/>
                <w:webHidden/>
              </w:rPr>
            </w:r>
            <w:r w:rsidR="00CB0AB7">
              <w:rPr>
                <w:noProof/>
                <w:webHidden/>
              </w:rPr>
              <w:fldChar w:fldCharType="separate"/>
            </w:r>
            <w:r w:rsidR="00CB0D8F">
              <w:rPr>
                <w:noProof/>
                <w:webHidden/>
              </w:rPr>
              <w:t>50</w:t>
            </w:r>
            <w:r w:rsidR="00CB0AB7">
              <w:rPr>
                <w:noProof/>
                <w:webHidden/>
              </w:rPr>
              <w:fldChar w:fldCharType="end"/>
            </w:r>
          </w:hyperlink>
        </w:p>
        <w:p w14:paraId="10054FBE" w14:textId="16BDF271" w:rsidR="00CB0AB7" w:rsidRDefault="00B568C9" w:rsidP="00CB0AB7">
          <w:pPr>
            <w:pStyle w:val="TOC3"/>
            <w:tabs>
              <w:tab w:val="left" w:pos="993"/>
              <w:tab w:val="right" w:leader="dot" w:pos="8779"/>
            </w:tabs>
            <w:rPr>
              <w:rFonts w:cstheme="minorBidi"/>
              <w:noProof/>
              <w:sz w:val="24"/>
              <w:szCs w:val="24"/>
              <w:lang w:eastAsia="en-GB"/>
            </w:rPr>
          </w:pPr>
          <w:hyperlink w:anchor="_Toc57035896" w:history="1">
            <w:r w:rsidR="00CB0AB7" w:rsidRPr="008819BD">
              <w:rPr>
                <w:rStyle w:val="Hyperlink"/>
                <w:noProof/>
              </w:rPr>
              <w:t>IV</w:t>
            </w:r>
            <w:r w:rsidR="00CB0AB7">
              <w:rPr>
                <w:rFonts w:cstheme="minorBidi"/>
                <w:noProof/>
                <w:sz w:val="24"/>
                <w:szCs w:val="24"/>
                <w:lang w:eastAsia="en-GB"/>
              </w:rPr>
              <w:tab/>
            </w:r>
            <w:r w:rsidR="00CB0AB7" w:rsidRPr="008819BD">
              <w:rPr>
                <w:rStyle w:val="Hyperlink"/>
                <w:noProof/>
              </w:rPr>
              <w:t>Labels, categories, dilemmas of difference, inclusivity</w:t>
            </w:r>
            <w:r w:rsidR="00CB0AB7">
              <w:rPr>
                <w:noProof/>
                <w:webHidden/>
              </w:rPr>
              <w:tab/>
            </w:r>
            <w:r w:rsidR="00CB0AB7">
              <w:rPr>
                <w:noProof/>
                <w:webHidden/>
              </w:rPr>
              <w:fldChar w:fldCharType="begin"/>
            </w:r>
            <w:r w:rsidR="00CB0AB7">
              <w:rPr>
                <w:noProof/>
                <w:webHidden/>
              </w:rPr>
              <w:instrText xml:space="preserve"> PAGEREF _Toc57035896 \h </w:instrText>
            </w:r>
            <w:r w:rsidR="00CB0AB7">
              <w:rPr>
                <w:noProof/>
                <w:webHidden/>
              </w:rPr>
            </w:r>
            <w:r w:rsidR="00CB0AB7">
              <w:rPr>
                <w:noProof/>
                <w:webHidden/>
              </w:rPr>
              <w:fldChar w:fldCharType="separate"/>
            </w:r>
            <w:r w:rsidR="00CB0D8F">
              <w:rPr>
                <w:noProof/>
                <w:webHidden/>
              </w:rPr>
              <w:t>53</w:t>
            </w:r>
            <w:r w:rsidR="00CB0AB7">
              <w:rPr>
                <w:noProof/>
                <w:webHidden/>
              </w:rPr>
              <w:fldChar w:fldCharType="end"/>
            </w:r>
          </w:hyperlink>
        </w:p>
        <w:p w14:paraId="36D0F874" w14:textId="7263E19F" w:rsidR="00CB0AB7" w:rsidRDefault="00B568C9" w:rsidP="00CB0AB7">
          <w:pPr>
            <w:pStyle w:val="TOC3"/>
            <w:tabs>
              <w:tab w:val="left" w:pos="800"/>
              <w:tab w:val="left" w:pos="993"/>
              <w:tab w:val="right" w:leader="dot" w:pos="8779"/>
            </w:tabs>
            <w:rPr>
              <w:rFonts w:cstheme="minorBidi"/>
              <w:noProof/>
              <w:sz w:val="24"/>
              <w:szCs w:val="24"/>
              <w:lang w:eastAsia="en-GB"/>
            </w:rPr>
          </w:pPr>
          <w:hyperlink w:anchor="_Toc57035897" w:history="1">
            <w:r w:rsidR="00CB0AB7" w:rsidRPr="008819BD">
              <w:rPr>
                <w:rStyle w:val="Hyperlink"/>
                <w:noProof/>
              </w:rPr>
              <w:t>V</w:t>
            </w:r>
            <w:r w:rsidR="00CB0AB7">
              <w:rPr>
                <w:rFonts w:cstheme="minorBidi"/>
                <w:noProof/>
                <w:sz w:val="24"/>
                <w:szCs w:val="24"/>
                <w:lang w:eastAsia="en-GB"/>
              </w:rPr>
              <w:tab/>
            </w:r>
            <w:r w:rsidR="00CB0AB7">
              <w:rPr>
                <w:rFonts w:cstheme="minorBidi"/>
                <w:noProof/>
                <w:sz w:val="24"/>
                <w:szCs w:val="24"/>
                <w:lang w:eastAsia="en-GB"/>
              </w:rPr>
              <w:tab/>
            </w:r>
            <w:r w:rsidR="00CB0AB7" w:rsidRPr="008819BD">
              <w:rPr>
                <w:rStyle w:val="Hyperlink"/>
                <w:noProof/>
              </w:rPr>
              <w:t>Impact of the process of identification</w:t>
            </w:r>
            <w:r w:rsidR="00CB0AB7">
              <w:rPr>
                <w:noProof/>
                <w:webHidden/>
              </w:rPr>
              <w:tab/>
            </w:r>
            <w:r w:rsidR="00CB0AB7">
              <w:rPr>
                <w:noProof/>
                <w:webHidden/>
              </w:rPr>
              <w:fldChar w:fldCharType="begin"/>
            </w:r>
            <w:r w:rsidR="00CB0AB7">
              <w:rPr>
                <w:noProof/>
                <w:webHidden/>
              </w:rPr>
              <w:instrText xml:space="preserve"> PAGEREF _Toc57035897 \h </w:instrText>
            </w:r>
            <w:r w:rsidR="00CB0AB7">
              <w:rPr>
                <w:noProof/>
                <w:webHidden/>
              </w:rPr>
            </w:r>
            <w:r w:rsidR="00CB0AB7">
              <w:rPr>
                <w:noProof/>
                <w:webHidden/>
              </w:rPr>
              <w:fldChar w:fldCharType="separate"/>
            </w:r>
            <w:r w:rsidR="00CB0D8F">
              <w:rPr>
                <w:noProof/>
                <w:webHidden/>
              </w:rPr>
              <w:t>58</w:t>
            </w:r>
            <w:r w:rsidR="00CB0AB7">
              <w:rPr>
                <w:noProof/>
                <w:webHidden/>
              </w:rPr>
              <w:fldChar w:fldCharType="end"/>
            </w:r>
          </w:hyperlink>
        </w:p>
        <w:p w14:paraId="09D8381C" w14:textId="6F8D23AA" w:rsidR="00CB0AB7" w:rsidRDefault="00B568C9" w:rsidP="00CB0AB7">
          <w:pPr>
            <w:pStyle w:val="TOC3"/>
            <w:tabs>
              <w:tab w:val="left" w:pos="993"/>
              <w:tab w:val="right" w:leader="dot" w:pos="8779"/>
            </w:tabs>
            <w:rPr>
              <w:rFonts w:cstheme="minorBidi"/>
              <w:noProof/>
              <w:sz w:val="24"/>
              <w:szCs w:val="24"/>
              <w:lang w:eastAsia="en-GB"/>
            </w:rPr>
          </w:pPr>
          <w:hyperlink w:anchor="_Toc57035898" w:history="1">
            <w:r w:rsidR="00CB0AB7" w:rsidRPr="008819BD">
              <w:rPr>
                <w:rStyle w:val="Hyperlink"/>
                <w:noProof/>
              </w:rPr>
              <w:t>VI</w:t>
            </w:r>
            <w:r w:rsidR="00CB0AB7">
              <w:rPr>
                <w:rFonts w:cstheme="minorBidi"/>
                <w:noProof/>
                <w:sz w:val="24"/>
                <w:szCs w:val="24"/>
                <w:lang w:eastAsia="en-GB"/>
              </w:rPr>
              <w:tab/>
            </w:r>
            <w:r w:rsidR="00CB0AB7" w:rsidRPr="008819BD">
              <w:rPr>
                <w:rStyle w:val="Hyperlink"/>
                <w:noProof/>
              </w:rPr>
              <w:t>To identify or not to identify - Is that the question?</w:t>
            </w:r>
            <w:r w:rsidR="00CB0AB7">
              <w:rPr>
                <w:noProof/>
                <w:webHidden/>
              </w:rPr>
              <w:tab/>
            </w:r>
            <w:r w:rsidR="00CB0AB7">
              <w:rPr>
                <w:noProof/>
                <w:webHidden/>
              </w:rPr>
              <w:fldChar w:fldCharType="begin"/>
            </w:r>
            <w:r w:rsidR="00CB0AB7">
              <w:rPr>
                <w:noProof/>
                <w:webHidden/>
              </w:rPr>
              <w:instrText xml:space="preserve"> PAGEREF _Toc57035898 \h </w:instrText>
            </w:r>
            <w:r w:rsidR="00CB0AB7">
              <w:rPr>
                <w:noProof/>
                <w:webHidden/>
              </w:rPr>
            </w:r>
            <w:r w:rsidR="00CB0AB7">
              <w:rPr>
                <w:noProof/>
                <w:webHidden/>
              </w:rPr>
              <w:fldChar w:fldCharType="separate"/>
            </w:r>
            <w:r w:rsidR="00CB0D8F">
              <w:rPr>
                <w:noProof/>
                <w:webHidden/>
              </w:rPr>
              <w:t>59</w:t>
            </w:r>
            <w:r w:rsidR="00CB0AB7">
              <w:rPr>
                <w:noProof/>
                <w:webHidden/>
              </w:rPr>
              <w:fldChar w:fldCharType="end"/>
            </w:r>
          </w:hyperlink>
        </w:p>
        <w:p w14:paraId="46ED45F7" w14:textId="47E075B6" w:rsidR="00CB0AB7" w:rsidRDefault="00CB0AB7" w:rsidP="00CB0AB7">
          <w:pPr>
            <w:pStyle w:val="TOC3"/>
            <w:tabs>
              <w:tab w:val="left" w:pos="993"/>
              <w:tab w:val="right" w:leader="dot" w:pos="8779"/>
            </w:tabs>
            <w:rPr>
              <w:rFonts w:cstheme="minorBidi"/>
              <w:noProof/>
              <w:sz w:val="24"/>
              <w:szCs w:val="24"/>
              <w:lang w:eastAsia="en-GB"/>
            </w:rPr>
          </w:pPr>
          <w:hyperlink w:anchor="_Toc57035899" w:history="1">
            <w:r w:rsidRPr="008819BD">
              <w:rPr>
                <w:rStyle w:val="Hyperlink"/>
                <w:noProof/>
              </w:rPr>
              <w:t>VII</w:t>
            </w:r>
            <w:r>
              <w:rPr>
                <w:rFonts w:cstheme="minorBidi"/>
                <w:noProof/>
                <w:sz w:val="24"/>
                <w:szCs w:val="24"/>
                <w:lang w:eastAsia="en-GB"/>
              </w:rPr>
              <w:tab/>
            </w:r>
            <w:r w:rsidRPr="008819BD">
              <w:rPr>
                <w:rStyle w:val="Hyperlink"/>
                <w:noProof/>
              </w:rPr>
              <w:t xml:space="preserve">Measuring dyslexia - </w:t>
            </w:r>
            <w:r w:rsidRPr="008819BD">
              <w:rPr>
                <w:rStyle w:val="Hyperlink"/>
                <w:bCs/>
                <w:noProof/>
              </w:rPr>
              <w:t>"How 'dyslexic' am I?"</w:t>
            </w:r>
            <w:r>
              <w:rPr>
                <w:noProof/>
                <w:webHidden/>
              </w:rPr>
              <w:tab/>
            </w:r>
            <w:r>
              <w:rPr>
                <w:noProof/>
                <w:webHidden/>
              </w:rPr>
              <w:fldChar w:fldCharType="begin"/>
            </w:r>
            <w:r>
              <w:rPr>
                <w:noProof/>
                <w:webHidden/>
              </w:rPr>
              <w:instrText xml:space="preserve"> PAGEREF _Toc57035899 \h </w:instrText>
            </w:r>
            <w:r>
              <w:rPr>
                <w:noProof/>
                <w:webHidden/>
              </w:rPr>
            </w:r>
            <w:r>
              <w:rPr>
                <w:noProof/>
                <w:webHidden/>
              </w:rPr>
              <w:fldChar w:fldCharType="separate"/>
            </w:r>
            <w:r w:rsidR="00CB0D8F">
              <w:rPr>
                <w:noProof/>
                <w:webHidden/>
              </w:rPr>
              <w:t>61</w:t>
            </w:r>
            <w:r>
              <w:rPr>
                <w:noProof/>
                <w:webHidden/>
              </w:rPr>
              <w:fldChar w:fldCharType="end"/>
            </w:r>
          </w:hyperlink>
        </w:p>
        <w:p w14:paraId="17A1ECA0" w14:textId="33F711B6" w:rsidR="00CB0AB7" w:rsidRDefault="00B568C9" w:rsidP="00CB0AB7">
          <w:pPr>
            <w:pStyle w:val="TOC3"/>
            <w:tabs>
              <w:tab w:val="left" w:pos="993"/>
              <w:tab w:val="right" w:leader="dot" w:pos="8779"/>
            </w:tabs>
            <w:rPr>
              <w:rFonts w:cstheme="minorBidi"/>
              <w:noProof/>
              <w:sz w:val="24"/>
              <w:szCs w:val="24"/>
              <w:lang w:eastAsia="en-GB"/>
            </w:rPr>
          </w:pPr>
          <w:hyperlink w:anchor="_Toc57035900" w:history="1">
            <w:r w:rsidR="00CB0AB7" w:rsidRPr="008819BD">
              <w:rPr>
                <w:rStyle w:val="Hyperlink"/>
                <w:noProof/>
              </w:rPr>
              <w:t>VIII</w:t>
            </w:r>
            <w:r w:rsidR="00CB0AB7">
              <w:rPr>
                <w:rFonts w:cstheme="minorBidi"/>
                <w:noProof/>
                <w:sz w:val="24"/>
                <w:szCs w:val="24"/>
                <w:lang w:eastAsia="en-GB"/>
              </w:rPr>
              <w:tab/>
            </w:r>
            <w:r w:rsidR="00CB0AB7" w:rsidRPr="008819BD">
              <w:rPr>
                <w:rStyle w:val="Hyperlink"/>
                <w:noProof/>
              </w:rPr>
              <w:t>Dyslexia - summary</w:t>
            </w:r>
            <w:r w:rsidR="00CB0AB7">
              <w:rPr>
                <w:noProof/>
                <w:webHidden/>
              </w:rPr>
              <w:tab/>
            </w:r>
            <w:r w:rsidR="00CB0AB7">
              <w:rPr>
                <w:noProof/>
                <w:webHidden/>
              </w:rPr>
              <w:fldChar w:fldCharType="begin"/>
            </w:r>
            <w:r w:rsidR="00CB0AB7">
              <w:rPr>
                <w:noProof/>
                <w:webHidden/>
              </w:rPr>
              <w:instrText xml:space="preserve"> PAGEREF _Toc57035900 \h </w:instrText>
            </w:r>
            <w:r w:rsidR="00CB0AB7">
              <w:rPr>
                <w:noProof/>
                <w:webHidden/>
              </w:rPr>
            </w:r>
            <w:r w:rsidR="00CB0AB7">
              <w:rPr>
                <w:noProof/>
                <w:webHidden/>
              </w:rPr>
              <w:fldChar w:fldCharType="separate"/>
            </w:r>
            <w:r w:rsidR="00CB0D8F">
              <w:rPr>
                <w:noProof/>
                <w:webHidden/>
              </w:rPr>
              <w:t>74</w:t>
            </w:r>
            <w:r w:rsidR="00CB0AB7">
              <w:rPr>
                <w:noProof/>
                <w:webHidden/>
              </w:rPr>
              <w:fldChar w:fldCharType="end"/>
            </w:r>
          </w:hyperlink>
        </w:p>
        <w:p w14:paraId="39FF6C13" w14:textId="22A34687" w:rsidR="00CB0AB7" w:rsidRDefault="00B568C9" w:rsidP="00CB0AB7">
          <w:pPr>
            <w:pStyle w:val="TOC2"/>
            <w:tabs>
              <w:tab w:val="left" w:pos="800"/>
              <w:tab w:val="left" w:pos="993"/>
              <w:tab w:val="right" w:leader="dot" w:pos="8779"/>
            </w:tabs>
            <w:rPr>
              <w:rFonts w:cstheme="minorBidi"/>
              <w:b w:val="0"/>
              <w:bCs w:val="0"/>
              <w:noProof/>
              <w:sz w:val="24"/>
              <w:szCs w:val="24"/>
              <w:lang w:eastAsia="en-GB"/>
            </w:rPr>
          </w:pPr>
          <w:hyperlink w:anchor="_Toc57035901" w:history="1">
            <w:r w:rsidR="00CB0AB7" w:rsidRPr="008819BD">
              <w:rPr>
                <w:rStyle w:val="Hyperlink"/>
                <w:noProof/>
              </w:rPr>
              <w:t>2.2</w:t>
            </w:r>
            <w:r w:rsidR="00CB0AB7">
              <w:rPr>
                <w:rFonts w:cstheme="minorBidi"/>
                <w:b w:val="0"/>
                <w:bCs w:val="0"/>
                <w:noProof/>
                <w:sz w:val="24"/>
                <w:szCs w:val="24"/>
                <w:lang w:eastAsia="en-GB"/>
              </w:rPr>
              <w:tab/>
            </w:r>
            <w:r w:rsidR="00CB0AB7" w:rsidRPr="008819BD">
              <w:rPr>
                <w:rStyle w:val="Hyperlink"/>
                <w:noProof/>
              </w:rPr>
              <w:t>Academic Confidence</w:t>
            </w:r>
            <w:r w:rsidR="00CB0AB7">
              <w:rPr>
                <w:noProof/>
                <w:webHidden/>
              </w:rPr>
              <w:tab/>
            </w:r>
            <w:r w:rsidR="00CB0AB7">
              <w:rPr>
                <w:noProof/>
                <w:webHidden/>
              </w:rPr>
              <w:fldChar w:fldCharType="begin"/>
            </w:r>
            <w:r w:rsidR="00CB0AB7">
              <w:rPr>
                <w:noProof/>
                <w:webHidden/>
              </w:rPr>
              <w:instrText xml:space="preserve"> PAGEREF _Toc57035901 \h </w:instrText>
            </w:r>
            <w:r w:rsidR="00CB0AB7">
              <w:rPr>
                <w:noProof/>
                <w:webHidden/>
              </w:rPr>
            </w:r>
            <w:r w:rsidR="00CB0AB7">
              <w:rPr>
                <w:noProof/>
                <w:webHidden/>
              </w:rPr>
              <w:fldChar w:fldCharType="separate"/>
            </w:r>
            <w:r w:rsidR="00CB0D8F">
              <w:rPr>
                <w:noProof/>
                <w:webHidden/>
              </w:rPr>
              <w:t>76</w:t>
            </w:r>
            <w:r w:rsidR="00CB0AB7">
              <w:rPr>
                <w:noProof/>
                <w:webHidden/>
              </w:rPr>
              <w:fldChar w:fldCharType="end"/>
            </w:r>
          </w:hyperlink>
        </w:p>
        <w:p w14:paraId="16E1E65A" w14:textId="35C9BAE3" w:rsidR="00CB0AB7" w:rsidRDefault="00B568C9" w:rsidP="00CB0AB7">
          <w:pPr>
            <w:pStyle w:val="TOC3"/>
            <w:tabs>
              <w:tab w:val="left" w:pos="800"/>
              <w:tab w:val="left" w:pos="993"/>
              <w:tab w:val="right" w:leader="dot" w:pos="8779"/>
            </w:tabs>
            <w:rPr>
              <w:rFonts w:cstheme="minorBidi"/>
              <w:noProof/>
              <w:sz w:val="24"/>
              <w:szCs w:val="24"/>
              <w:lang w:eastAsia="en-GB"/>
            </w:rPr>
          </w:pPr>
          <w:hyperlink w:anchor="_Toc57035902" w:history="1">
            <w:r w:rsidR="00CB0AB7" w:rsidRPr="008819BD">
              <w:rPr>
                <w:rStyle w:val="Hyperlink"/>
                <w:noProof/>
              </w:rPr>
              <w:t>I</w:t>
            </w:r>
            <w:r w:rsidR="00CB0AB7">
              <w:rPr>
                <w:rFonts w:cstheme="minorBidi"/>
                <w:noProof/>
                <w:sz w:val="24"/>
                <w:szCs w:val="24"/>
                <w:lang w:eastAsia="en-GB"/>
              </w:rPr>
              <w:tab/>
            </w:r>
            <w:r w:rsidR="00CB0AB7">
              <w:rPr>
                <w:rFonts w:cstheme="minorBidi"/>
                <w:noProof/>
                <w:sz w:val="24"/>
                <w:szCs w:val="24"/>
                <w:lang w:eastAsia="en-GB"/>
              </w:rPr>
              <w:tab/>
            </w:r>
            <w:r w:rsidR="00CB0AB7" w:rsidRPr="008819BD">
              <w:rPr>
                <w:rStyle w:val="Hyperlink"/>
                <w:noProof/>
              </w:rPr>
              <w:t>Overview</w:t>
            </w:r>
            <w:r w:rsidR="00CB0AB7">
              <w:rPr>
                <w:noProof/>
                <w:webHidden/>
              </w:rPr>
              <w:tab/>
            </w:r>
            <w:r w:rsidR="00CB0AB7">
              <w:rPr>
                <w:noProof/>
                <w:webHidden/>
              </w:rPr>
              <w:fldChar w:fldCharType="begin"/>
            </w:r>
            <w:r w:rsidR="00CB0AB7">
              <w:rPr>
                <w:noProof/>
                <w:webHidden/>
              </w:rPr>
              <w:instrText xml:space="preserve"> PAGEREF _Toc57035902 \h </w:instrText>
            </w:r>
            <w:r w:rsidR="00CB0AB7">
              <w:rPr>
                <w:noProof/>
                <w:webHidden/>
              </w:rPr>
            </w:r>
            <w:r w:rsidR="00CB0AB7">
              <w:rPr>
                <w:noProof/>
                <w:webHidden/>
              </w:rPr>
              <w:fldChar w:fldCharType="separate"/>
            </w:r>
            <w:r w:rsidR="00CB0D8F">
              <w:rPr>
                <w:noProof/>
                <w:webHidden/>
              </w:rPr>
              <w:t>76</w:t>
            </w:r>
            <w:r w:rsidR="00CB0AB7">
              <w:rPr>
                <w:noProof/>
                <w:webHidden/>
              </w:rPr>
              <w:fldChar w:fldCharType="end"/>
            </w:r>
          </w:hyperlink>
        </w:p>
        <w:p w14:paraId="734ECF2D" w14:textId="5B39DCE9" w:rsidR="00CB0AB7" w:rsidRDefault="00B568C9" w:rsidP="00CB0AB7">
          <w:pPr>
            <w:pStyle w:val="TOC3"/>
            <w:tabs>
              <w:tab w:val="left" w:pos="800"/>
              <w:tab w:val="left" w:pos="993"/>
              <w:tab w:val="right" w:leader="dot" w:pos="8779"/>
            </w:tabs>
            <w:rPr>
              <w:rFonts w:cstheme="minorBidi"/>
              <w:noProof/>
              <w:sz w:val="24"/>
              <w:szCs w:val="24"/>
              <w:lang w:eastAsia="en-GB"/>
            </w:rPr>
          </w:pPr>
          <w:hyperlink w:anchor="_Toc57035903" w:history="1">
            <w:r w:rsidR="00CB0AB7" w:rsidRPr="008819BD">
              <w:rPr>
                <w:rStyle w:val="Hyperlink"/>
                <w:noProof/>
              </w:rPr>
              <w:t>II</w:t>
            </w:r>
            <w:r w:rsidR="00CB0AB7">
              <w:rPr>
                <w:rFonts w:cstheme="minorBidi"/>
                <w:noProof/>
                <w:sz w:val="24"/>
                <w:szCs w:val="24"/>
                <w:lang w:eastAsia="en-GB"/>
              </w:rPr>
              <w:tab/>
            </w:r>
            <w:r w:rsidR="00CB0AB7">
              <w:rPr>
                <w:rFonts w:cstheme="minorBidi"/>
                <w:noProof/>
                <w:sz w:val="24"/>
                <w:szCs w:val="24"/>
                <w:lang w:eastAsia="en-GB"/>
              </w:rPr>
              <w:tab/>
            </w:r>
            <w:r w:rsidR="00CB0AB7" w:rsidRPr="008819BD">
              <w:rPr>
                <w:rStyle w:val="Hyperlink"/>
                <w:noProof/>
              </w:rPr>
              <w:t>Underpinning Research Perspectives</w:t>
            </w:r>
            <w:r w:rsidR="00CB0AB7">
              <w:rPr>
                <w:noProof/>
                <w:webHidden/>
              </w:rPr>
              <w:tab/>
            </w:r>
            <w:r w:rsidR="00CB0AB7">
              <w:rPr>
                <w:noProof/>
                <w:webHidden/>
              </w:rPr>
              <w:fldChar w:fldCharType="begin"/>
            </w:r>
            <w:r w:rsidR="00CB0AB7">
              <w:rPr>
                <w:noProof/>
                <w:webHidden/>
              </w:rPr>
              <w:instrText xml:space="preserve"> PAGEREF _Toc57035903 \h </w:instrText>
            </w:r>
            <w:r w:rsidR="00CB0AB7">
              <w:rPr>
                <w:noProof/>
                <w:webHidden/>
              </w:rPr>
            </w:r>
            <w:r w:rsidR="00CB0AB7">
              <w:rPr>
                <w:noProof/>
                <w:webHidden/>
              </w:rPr>
              <w:fldChar w:fldCharType="separate"/>
            </w:r>
            <w:r w:rsidR="00CB0D8F">
              <w:rPr>
                <w:noProof/>
                <w:webHidden/>
              </w:rPr>
              <w:t>78</w:t>
            </w:r>
            <w:r w:rsidR="00CB0AB7">
              <w:rPr>
                <w:noProof/>
                <w:webHidden/>
              </w:rPr>
              <w:fldChar w:fldCharType="end"/>
            </w:r>
          </w:hyperlink>
        </w:p>
        <w:p w14:paraId="316EF24D" w14:textId="403D1530" w:rsidR="00CB0AB7" w:rsidRDefault="00B568C9" w:rsidP="00CB0AB7">
          <w:pPr>
            <w:pStyle w:val="TOC3"/>
            <w:tabs>
              <w:tab w:val="left" w:pos="800"/>
              <w:tab w:val="left" w:pos="993"/>
              <w:tab w:val="right" w:leader="dot" w:pos="8779"/>
            </w:tabs>
            <w:rPr>
              <w:rFonts w:cstheme="minorBidi"/>
              <w:noProof/>
              <w:sz w:val="24"/>
              <w:szCs w:val="24"/>
              <w:lang w:eastAsia="en-GB"/>
            </w:rPr>
          </w:pPr>
          <w:hyperlink w:anchor="_Toc57035904" w:history="1">
            <w:r w:rsidR="00CB0AB7" w:rsidRPr="008819BD">
              <w:rPr>
                <w:rStyle w:val="Hyperlink"/>
                <w:noProof/>
              </w:rPr>
              <w:t>III</w:t>
            </w:r>
            <w:r w:rsidR="00CB0AB7">
              <w:rPr>
                <w:rFonts w:cstheme="minorBidi"/>
                <w:noProof/>
                <w:sz w:val="24"/>
                <w:szCs w:val="24"/>
                <w:lang w:eastAsia="en-GB"/>
              </w:rPr>
              <w:tab/>
            </w:r>
            <w:r w:rsidR="00CB0AB7">
              <w:rPr>
                <w:rFonts w:cstheme="minorBidi"/>
                <w:noProof/>
                <w:sz w:val="24"/>
                <w:szCs w:val="24"/>
                <w:lang w:eastAsia="en-GB"/>
              </w:rPr>
              <w:tab/>
            </w:r>
            <w:r w:rsidR="00CB0AB7" w:rsidRPr="008819BD">
              <w:rPr>
                <w:rStyle w:val="Hyperlink"/>
                <w:noProof/>
              </w:rPr>
              <w:t>Social Cognitive Theory in Education and Learning</w:t>
            </w:r>
            <w:r w:rsidR="00CB0AB7">
              <w:rPr>
                <w:noProof/>
                <w:webHidden/>
              </w:rPr>
              <w:tab/>
            </w:r>
            <w:r w:rsidR="00CB0AB7">
              <w:rPr>
                <w:noProof/>
                <w:webHidden/>
              </w:rPr>
              <w:fldChar w:fldCharType="begin"/>
            </w:r>
            <w:r w:rsidR="00CB0AB7">
              <w:rPr>
                <w:noProof/>
                <w:webHidden/>
              </w:rPr>
              <w:instrText xml:space="preserve"> PAGEREF _Toc57035904 \h </w:instrText>
            </w:r>
            <w:r w:rsidR="00CB0AB7">
              <w:rPr>
                <w:noProof/>
                <w:webHidden/>
              </w:rPr>
            </w:r>
            <w:r w:rsidR="00CB0AB7">
              <w:rPr>
                <w:noProof/>
                <w:webHidden/>
              </w:rPr>
              <w:fldChar w:fldCharType="separate"/>
            </w:r>
            <w:r w:rsidR="00CB0D8F">
              <w:rPr>
                <w:noProof/>
                <w:webHidden/>
              </w:rPr>
              <w:t>94</w:t>
            </w:r>
            <w:r w:rsidR="00CB0AB7">
              <w:rPr>
                <w:noProof/>
                <w:webHidden/>
              </w:rPr>
              <w:fldChar w:fldCharType="end"/>
            </w:r>
          </w:hyperlink>
        </w:p>
        <w:p w14:paraId="08523EAE" w14:textId="61221541" w:rsidR="00CB0AB7" w:rsidRDefault="00B568C9" w:rsidP="00CB0AB7">
          <w:pPr>
            <w:pStyle w:val="TOC3"/>
            <w:tabs>
              <w:tab w:val="left" w:pos="993"/>
              <w:tab w:val="right" w:leader="dot" w:pos="8779"/>
            </w:tabs>
            <w:rPr>
              <w:rFonts w:cstheme="minorBidi"/>
              <w:noProof/>
              <w:sz w:val="24"/>
              <w:szCs w:val="24"/>
              <w:lang w:eastAsia="en-GB"/>
            </w:rPr>
          </w:pPr>
          <w:hyperlink w:anchor="_Toc57035905" w:history="1">
            <w:r w:rsidR="00CB0AB7" w:rsidRPr="008819BD">
              <w:rPr>
                <w:rStyle w:val="Hyperlink"/>
                <w:noProof/>
              </w:rPr>
              <w:t>IV</w:t>
            </w:r>
            <w:r w:rsidR="00CB0AB7">
              <w:rPr>
                <w:rFonts w:cstheme="minorBidi"/>
                <w:noProof/>
                <w:sz w:val="24"/>
                <w:szCs w:val="24"/>
                <w:lang w:eastAsia="en-GB"/>
              </w:rPr>
              <w:tab/>
            </w:r>
            <w:r w:rsidR="00CB0AB7" w:rsidRPr="008819BD">
              <w:rPr>
                <w:rStyle w:val="Hyperlink"/>
                <w:noProof/>
              </w:rPr>
              <w:t>Academic Behavioural Confidence</w:t>
            </w:r>
            <w:r w:rsidR="00CB0AB7">
              <w:rPr>
                <w:noProof/>
                <w:webHidden/>
              </w:rPr>
              <w:tab/>
            </w:r>
            <w:r w:rsidR="00CB0AB7">
              <w:rPr>
                <w:noProof/>
                <w:webHidden/>
              </w:rPr>
              <w:fldChar w:fldCharType="begin"/>
            </w:r>
            <w:r w:rsidR="00CB0AB7">
              <w:rPr>
                <w:noProof/>
                <w:webHidden/>
              </w:rPr>
              <w:instrText xml:space="preserve"> PAGEREF _Toc57035905 \h </w:instrText>
            </w:r>
            <w:r w:rsidR="00CB0AB7">
              <w:rPr>
                <w:noProof/>
                <w:webHidden/>
              </w:rPr>
            </w:r>
            <w:r w:rsidR="00CB0AB7">
              <w:rPr>
                <w:noProof/>
                <w:webHidden/>
              </w:rPr>
              <w:fldChar w:fldCharType="separate"/>
            </w:r>
            <w:r w:rsidR="00CB0D8F">
              <w:rPr>
                <w:noProof/>
                <w:webHidden/>
              </w:rPr>
              <w:t>99</w:t>
            </w:r>
            <w:r w:rsidR="00CB0AB7">
              <w:rPr>
                <w:noProof/>
                <w:webHidden/>
              </w:rPr>
              <w:fldChar w:fldCharType="end"/>
            </w:r>
          </w:hyperlink>
        </w:p>
        <w:p w14:paraId="563B505B" w14:textId="75CD339F" w:rsidR="00CB0AB7" w:rsidRDefault="00B568C9" w:rsidP="00CB0AB7">
          <w:pPr>
            <w:pStyle w:val="TOC3"/>
            <w:tabs>
              <w:tab w:val="left" w:pos="800"/>
              <w:tab w:val="left" w:pos="993"/>
              <w:tab w:val="right" w:leader="dot" w:pos="8779"/>
            </w:tabs>
            <w:rPr>
              <w:rFonts w:cstheme="minorBidi"/>
              <w:noProof/>
              <w:sz w:val="24"/>
              <w:szCs w:val="24"/>
              <w:lang w:eastAsia="en-GB"/>
            </w:rPr>
          </w:pPr>
          <w:hyperlink w:anchor="_Toc57035906" w:history="1">
            <w:r w:rsidR="00CB0AB7" w:rsidRPr="008819BD">
              <w:rPr>
                <w:rStyle w:val="Hyperlink"/>
                <w:noProof/>
              </w:rPr>
              <w:t>V</w:t>
            </w:r>
            <w:r w:rsidR="00CB0AB7">
              <w:rPr>
                <w:rFonts w:cstheme="minorBidi"/>
                <w:noProof/>
                <w:sz w:val="24"/>
                <w:szCs w:val="24"/>
                <w:lang w:eastAsia="en-GB"/>
              </w:rPr>
              <w:tab/>
            </w:r>
            <w:r w:rsidR="00CB0AB7">
              <w:rPr>
                <w:rFonts w:cstheme="minorBidi"/>
                <w:noProof/>
                <w:sz w:val="24"/>
                <w:szCs w:val="24"/>
                <w:lang w:eastAsia="en-GB"/>
              </w:rPr>
              <w:tab/>
            </w:r>
            <w:r w:rsidR="00CB0AB7" w:rsidRPr="008819BD">
              <w:rPr>
                <w:rStyle w:val="Hyperlink"/>
                <w:noProof/>
              </w:rPr>
              <w:t>Summary</w:t>
            </w:r>
            <w:r w:rsidR="00CB0AB7">
              <w:rPr>
                <w:noProof/>
                <w:webHidden/>
              </w:rPr>
              <w:tab/>
            </w:r>
            <w:r w:rsidR="00CB0AB7">
              <w:rPr>
                <w:noProof/>
                <w:webHidden/>
              </w:rPr>
              <w:fldChar w:fldCharType="begin"/>
            </w:r>
            <w:r w:rsidR="00CB0AB7">
              <w:rPr>
                <w:noProof/>
                <w:webHidden/>
              </w:rPr>
              <w:instrText xml:space="preserve"> PAGEREF _Toc57035906 \h </w:instrText>
            </w:r>
            <w:r w:rsidR="00CB0AB7">
              <w:rPr>
                <w:noProof/>
                <w:webHidden/>
              </w:rPr>
            </w:r>
            <w:r w:rsidR="00CB0AB7">
              <w:rPr>
                <w:noProof/>
                <w:webHidden/>
              </w:rPr>
              <w:fldChar w:fldCharType="separate"/>
            </w:r>
            <w:r w:rsidR="00CB0D8F">
              <w:rPr>
                <w:noProof/>
                <w:webHidden/>
              </w:rPr>
              <w:t>110</w:t>
            </w:r>
            <w:r w:rsidR="00CB0AB7">
              <w:rPr>
                <w:noProof/>
                <w:webHidden/>
              </w:rPr>
              <w:fldChar w:fldCharType="end"/>
            </w:r>
          </w:hyperlink>
        </w:p>
        <w:p w14:paraId="3C86A746" w14:textId="6733F435" w:rsidR="00CB0AB7" w:rsidRDefault="00B568C9" w:rsidP="00CB0AB7">
          <w:pPr>
            <w:pStyle w:val="TOC1"/>
            <w:tabs>
              <w:tab w:val="left" w:pos="400"/>
              <w:tab w:val="left" w:pos="993"/>
              <w:tab w:val="right" w:leader="dot" w:pos="8779"/>
            </w:tabs>
            <w:rPr>
              <w:rFonts w:cstheme="minorBidi"/>
              <w:b w:val="0"/>
              <w:bCs w:val="0"/>
              <w:i w:val="0"/>
              <w:iCs w:val="0"/>
              <w:noProof/>
              <w:lang w:eastAsia="en-GB"/>
            </w:rPr>
          </w:pPr>
          <w:hyperlink w:anchor="_Toc57035907" w:history="1">
            <w:r w:rsidR="00CB0AB7" w:rsidRPr="008819BD">
              <w:rPr>
                <w:rStyle w:val="Hyperlink"/>
                <w:noProof/>
              </w:rPr>
              <w:t>3</w:t>
            </w:r>
            <w:r w:rsidR="00CB0AB7">
              <w:rPr>
                <w:rFonts w:cstheme="minorBidi"/>
                <w:b w:val="0"/>
                <w:bCs w:val="0"/>
                <w:i w:val="0"/>
                <w:iCs w:val="0"/>
                <w:noProof/>
                <w:lang w:eastAsia="en-GB"/>
              </w:rPr>
              <w:tab/>
            </w:r>
            <w:r w:rsidR="00CB0AB7" w:rsidRPr="008819BD">
              <w:rPr>
                <w:rStyle w:val="Hyperlink"/>
                <w:noProof/>
              </w:rPr>
              <w:t>Research Design – Methodology and Methods</w:t>
            </w:r>
            <w:r w:rsidR="00CB0AB7">
              <w:rPr>
                <w:noProof/>
                <w:webHidden/>
              </w:rPr>
              <w:tab/>
            </w:r>
            <w:r w:rsidR="00CB0AB7">
              <w:rPr>
                <w:noProof/>
                <w:webHidden/>
              </w:rPr>
              <w:fldChar w:fldCharType="begin"/>
            </w:r>
            <w:r w:rsidR="00CB0AB7">
              <w:rPr>
                <w:noProof/>
                <w:webHidden/>
              </w:rPr>
              <w:instrText xml:space="preserve"> PAGEREF _Toc57035907 \h </w:instrText>
            </w:r>
            <w:r w:rsidR="00CB0AB7">
              <w:rPr>
                <w:noProof/>
                <w:webHidden/>
              </w:rPr>
            </w:r>
            <w:r w:rsidR="00CB0AB7">
              <w:rPr>
                <w:noProof/>
                <w:webHidden/>
              </w:rPr>
              <w:fldChar w:fldCharType="separate"/>
            </w:r>
            <w:r w:rsidR="00CB0D8F">
              <w:rPr>
                <w:noProof/>
                <w:webHidden/>
              </w:rPr>
              <w:t>111</w:t>
            </w:r>
            <w:r w:rsidR="00CB0AB7">
              <w:rPr>
                <w:noProof/>
                <w:webHidden/>
              </w:rPr>
              <w:fldChar w:fldCharType="end"/>
            </w:r>
          </w:hyperlink>
        </w:p>
        <w:p w14:paraId="14CBF7B5" w14:textId="4FA738D9" w:rsidR="00CB0AB7" w:rsidRDefault="00B568C9" w:rsidP="00CB0AB7">
          <w:pPr>
            <w:pStyle w:val="TOC2"/>
            <w:tabs>
              <w:tab w:val="left" w:pos="800"/>
              <w:tab w:val="left" w:pos="993"/>
              <w:tab w:val="right" w:leader="dot" w:pos="8779"/>
            </w:tabs>
            <w:rPr>
              <w:rFonts w:cstheme="minorBidi"/>
              <w:b w:val="0"/>
              <w:bCs w:val="0"/>
              <w:noProof/>
              <w:sz w:val="24"/>
              <w:szCs w:val="24"/>
              <w:lang w:eastAsia="en-GB"/>
            </w:rPr>
          </w:pPr>
          <w:hyperlink w:anchor="_Toc57035908" w:history="1">
            <w:r w:rsidR="00CB0AB7" w:rsidRPr="008819BD">
              <w:rPr>
                <w:rStyle w:val="Hyperlink"/>
                <w:noProof/>
              </w:rPr>
              <w:t>3.1</w:t>
            </w:r>
            <w:r w:rsidR="00CB0AB7">
              <w:rPr>
                <w:rFonts w:cstheme="minorBidi"/>
                <w:b w:val="0"/>
                <w:bCs w:val="0"/>
                <w:noProof/>
                <w:sz w:val="24"/>
                <w:szCs w:val="24"/>
                <w:lang w:eastAsia="en-GB"/>
              </w:rPr>
              <w:tab/>
            </w:r>
            <w:r w:rsidR="00CB0AB7" w:rsidRPr="008819BD">
              <w:rPr>
                <w:rStyle w:val="Hyperlink"/>
                <w:noProof/>
              </w:rPr>
              <w:t>Research Design Overview</w:t>
            </w:r>
            <w:r w:rsidR="00CB0AB7">
              <w:rPr>
                <w:noProof/>
                <w:webHidden/>
              </w:rPr>
              <w:tab/>
            </w:r>
            <w:r w:rsidR="00CB0AB7">
              <w:rPr>
                <w:noProof/>
                <w:webHidden/>
              </w:rPr>
              <w:fldChar w:fldCharType="begin"/>
            </w:r>
            <w:r w:rsidR="00CB0AB7">
              <w:rPr>
                <w:noProof/>
                <w:webHidden/>
              </w:rPr>
              <w:instrText xml:space="preserve"> PAGEREF _Toc57035908 \h </w:instrText>
            </w:r>
            <w:r w:rsidR="00CB0AB7">
              <w:rPr>
                <w:noProof/>
                <w:webHidden/>
              </w:rPr>
            </w:r>
            <w:r w:rsidR="00CB0AB7">
              <w:rPr>
                <w:noProof/>
                <w:webHidden/>
              </w:rPr>
              <w:fldChar w:fldCharType="separate"/>
            </w:r>
            <w:r w:rsidR="00CB0D8F">
              <w:rPr>
                <w:noProof/>
                <w:webHidden/>
              </w:rPr>
              <w:t>112</w:t>
            </w:r>
            <w:r w:rsidR="00CB0AB7">
              <w:rPr>
                <w:noProof/>
                <w:webHidden/>
              </w:rPr>
              <w:fldChar w:fldCharType="end"/>
            </w:r>
          </w:hyperlink>
        </w:p>
        <w:p w14:paraId="6FEA94F8" w14:textId="638F1D66" w:rsidR="00CB0AB7" w:rsidRDefault="00B568C9" w:rsidP="00CB0AB7">
          <w:pPr>
            <w:pStyle w:val="TOC2"/>
            <w:tabs>
              <w:tab w:val="left" w:pos="800"/>
              <w:tab w:val="left" w:pos="993"/>
              <w:tab w:val="right" w:leader="dot" w:pos="8779"/>
            </w:tabs>
            <w:rPr>
              <w:rFonts w:cstheme="minorBidi"/>
              <w:b w:val="0"/>
              <w:bCs w:val="0"/>
              <w:noProof/>
              <w:sz w:val="24"/>
              <w:szCs w:val="24"/>
              <w:lang w:eastAsia="en-GB"/>
            </w:rPr>
          </w:pPr>
          <w:hyperlink w:anchor="_Toc57035909" w:history="1">
            <w:r w:rsidR="00CB0AB7" w:rsidRPr="008819BD">
              <w:rPr>
                <w:rStyle w:val="Hyperlink"/>
                <w:noProof/>
              </w:rPr>
              <w:t>3.2</w:t>
            </w:r>
            <w:r w:rsidR="00CB0AB7">
              <w:rPr>
                <w:rFonts w:cstheme="minorBidi"/>
                <w:b w:val="0"/>
                <w:bCs w:val="0"/>
                <w:noProof/>
                <w:sz w:val="24"/>
                <w:szCs w:val="24"/>
                <w:lang w:eastAsia="en-GB"/>
              </w:rPr>
              <w:tab/>
            </w:r>
            <w:r w:rsidR="00CB0AB7" w:rsidRPr="008819BD">
              <w:rPr>
                <w:rStyle w:val="Hyperlink"/>
                <w:noProof/>
              </w:rPr>
              <w:t>Research Participants</w:t>
            </w:r>
            <w:r w:rsidR="00CB0AB7">
              <w:rPr>
                <w:noProof/>
                <w:webHidden/>
              </w:rPr>
              <w:tab/>
            </w:r>
            <w:r w:rsidR="00CB0AB7">
              <w:rPr>
                <w:noProof/>
                <w:webHidden/>
              </w:rPr>
              <w:fldChar w:fldCharType="begin"/>
            </w:r>
            <w:r w:rsidR="00CB0AB7">
              <w:rPr>
                <w:noProof/>
                <w:webHidden/>
              </w:rPr>
              <w:instrText xml:space="preserve"> PAGEREF _Toc57035909 \h </w:instrText>
            </w:r>
            <w:r w:rsidR="00CB0AB7">
              <w:rPr>
                <w:noProof/>
                <w:webHidden/>
              </w:rPr>
            </w:r>
            <w:r w:rsidR="00CB0AB7">
              <w:rPr>
                <w:noProof/>
                <w:webHidden/>
              </w:rPr>
              <w:fldChar w:fldCharType="separate"/>
            </w:r>
            <w:r w:rsidR="00CB0D8F">
              <w:rPr>
                <w:noProof/>
                <w:webHidden/>
              </w:rPr>
              <w:t>113</w:t>
            </w:r>
            <w:r w:rsidR="00CB0AB7">
              <w:rPr>
                <w:noProof/>
                <w:webHidden/>
              </w:rPr>
              <w:fldChar w:fldCharType="end"/>
            </w:r>
          </w:hyperlink>
        </w:p>
        <w:p w14:paraId="1561F378" w14:textId="10C27935" w:rsidR="00CB0AB7" w:rsidRDefault="00B568C9" w:rsidP="00CB0AB7">
          <w:pPr>
            <w:pStyle w:val="TOC2"/>
            <w:tabs>
              <w:tab w:val="left" w:pos="800"/>
              <w:tab w:val="left" w:pos="993"/>
              <w:tab w:val="right" w:leader="dot" w:pos="8779"/>
            </w:tabs>
            <w:rPr>
              <w:rFonts w:cstheme="minorBidi"/>
              <w:b w:val="0"/>
              <w:bCs w:val="0"/>
              <w:noProof/>
              <w:sz w:val="24"/>
              <w:szCs w:val="24"/>
              <w:lang w:eastAsia="en-GB"/>
            </w:rPr>
          </w:pPr>
          <w:hyperlink w:anchor="_Toc57035910" w:history="1">
            <w:r w:rsidR="00CB0AB7" w:rsidRPr="008819BD">
              <w:rPr>
                <w:rStyle w:val="Hyperlink"/>
                <w:noProof/>
              </w:rPr>
              <w:t>3.3</w:t>
            </w:r>
            <w:r w:rsidR="00CB0AB7">
              <w:rPr>
                <w:rFonts w:cstheme="minorBidi"/>
                <w:b w:val="0"/>
                <w:bCs w:val="0"/>
                <w:noProof/>
                <w:sz w:val="24"/>
                <w:szCs w:val="24"/>
                <w:lang w:eastAsia="en-GB"/>
              </w:rPr>
              <w:tab/>
            </w:r>
            <w:r w:rsidR="00CB0AB7" w:rsidRPr="008819BD">
              <w:rPr>
                <w:rStyle w:val="Hyperlink"/>
                <w:noProof/>
              </w:rPr>
              <w:t>Data collection: Materials and Measures</w:t>
            </w:r>
            <w:r w:rsidR="00CB0AB7">
              <w:rPr>
                <w:noProof/>
                <w:webHidden/>
              </w:rPr>
              <w:tab/>
            </w:r>
            <w:r w:rsidR="00CB0AB7">
              <w:rPr>
                <w:noProof/>
                <w:webHidden/>
              </w:rPr>
              <w:fldChar w:fldCharType="begin"/>
            </w:r>
            <w:r w:rsidR="00CB0AB7">
              <w:rPr>
                <w:noProof/>
                <w:webHidden/>
              </w:rPr>
              <w:instrText xml:space="preserve"> PAGEREF _Toc57035910 \h </w:instrText>
            </w:r>
            <w:r w:rsidR="00CB0AB7">
              <w:rPr>
                <w:noProof/>
                <w:webHidden/>
              </w:rPr>
            </w:r>
            <w:r w:rsidR="00CB0AB7">
              <w:rPr>
                <w:noProof/>
                <w:webHidden/>
              </w:rPr>
              <w:fldChar w:fldCharType="separate"/>
            </w:r>
            <w:r w:rsidR="00CB0D8F">
              <w:rPr>
                <w:noProof/>
                <w:webHidden/>
              </w:rPr>
              <w:t>114</w:t>
            </w:r>
            <w:r w:rsidR="00CB0AB7">
              <w:rPr>
                <w:noProof/>
                <w:webHidden/>
              </w:rPr>
              <w:fldChar w:fldCharType="end"/>
            </w:r>
          </w:hyperlink>
        </w:p>
        <w:p w14:paraId="69C6025B" w14:textId="607B4E87" w:rsidR="00CB0AB7" w:rsidRDefault="00B568C9" w:rsidP="00CB0AB7">
          <w:pPr>
            <w:pStyle w:val="TOC3"/>
            <w:tabs>
              <w:tab w:val="left" w:pos="800"/>
              <w:tab w:val="left" w:pos="993"/>
              <w:tab w:val="right" w:leader="dot" w:pos="8779"/>
            </w:tabs>
            <w:rPr>
              <w:rFonts w:cstheme="minorBidi"/>
              <w:noProof/>
              <w:sz w:val="24"/>
              <w:szCs w:val="24"/>
              <w:lang w:eastAsia="en-GB"/>
            </w:rPr>
          </w:pPr>
          <w:hyperlink w:anchor="_Toc57035911" w:history="1">
            <w:r w:rsidR="00CB0AB7" w:rsidRPr="008819BD">
              <w:rPr>
                <w:rStyle w:val="Hyperlink"/>
                <w:noProof/>
              </w:rPr>
              <w:t>I</w:t>
            </w:r>
            <w:r w:rsidR="00CB0AB7">
              <w:rPr>
                <w:rFonts w:cstheme="minorBidi"/>
                <w:noProof/>
                <w:sz w:val="24"/>
                <w:szCs w:val="24"/>
                <w:lang w:eastAsia="en-GB"/>
              </w:rPr>
              <w:tab/>
            </w:r>
            <w:r w:rsidR="00CB0AB7">
              <w:rPr>
                <w:rFonts w:cstheme="minorBidi"/>
                <w:noProof/>
                <w:sz w:val="24"/>
                <w:szCs w:val="24"/>
                <w:lang w:eastAsia="en-GB"/>
              </w:rPr>
              <w:tab/>
            </w:r>
            <w:r w:rsidR="00CB0AB7" w:rsidRPr="008819BD">
              <w:rPr>
                <w:rStyle w:val="Hyperlink"/>
                <w:noProof/>
              </w:rPr>
              <w:t>Objectives</w:t>
            </w:r>
            <w:r w:rsidR="00CB0AB7">
              <w:rPr>
                <w:noProof/>
                <w:webHidden/>
              </w:rPr>
              <w:tab/>
            </w:r>
            <w:r w:rsidR="00CB0AB7">
              <w:rPr>
                <w:noProof/>
                <w:webHidden/>
              </w:rPr>
              <w:fldChar w:fldCharType="begin"/>
            </w:r>
            <w:r w:rsidR="00CB0AB7">
              <w:rPr>
                <w:noProof/>
                <w:webHidden/>
              </w:rPr>
              <w:instrText xml:space="preserve"> PAGEREF _Toc57035911 \h </w:instrText>
            </w:r>
            <w:r w:rsidR="00CB0AB7">
              <w:rPr>
                <w:noProof/>
                <w:webHidden/>
              </w:rPr>
            </w:r>
            <w:r w:rsidR="00CB0AB7">
              <w:rPr>
                <w:noProof/>
                <w:webHidden/>
              </w:rPr>
              <w:fldChar w:fldCharType="separate"/>
            </w:r>
            <w:r w:rsidR="00CB0D8F">
              <w:rPr>
                <w:noProof/>
                <w:webHidden/>
              </w:rPr>
              <w:t>114</w:t>
            </w:r>
            <w:r w:rsidR="00CB0AB7">
              <w:rPr>
                <w:noProof/>
                <w:webHidden/>
              </w:rPr>
              <w:fldChar w:fldCharType="end"/>
            </w:r>
          </w:hyperlink>
        </w:p>
        <w:p w14:paraId="6C554D00" w14:textId="406F2F6A" w:rsidR="00CB0AB7" w:rsidRDefault="00B568C9" w:rsidP="00CB0AB7">
          <w:pPr>
            <w:pStyle w:val="TOC3"/>
            <w:tabs>
              <w:tab w:val="left" w:pos="800"/>
              <w:tab w:val="left" w:pos="993"/>
              <w:tab w:val="right" w:leader="dot" w:pos="8779"/>
            </w:tabs>
            <w:rPr>
              <w:rFonts w:cstheme="minorBidi"/>
              <w:noProof/>
              <w:sz w:val="24"/>
              <w:szCs w:val="24"/>
              <w:lang w:eastAsia="en-GB"/>
            </w:rPr>
          </w:pPr>
          <w:hyperlink w:anchor="_Toc57035912" w:history="1">
            <w:r w:rsidR="00CB0AB7" w:rsidRPr="008819BD">
              <w:rPr>
                <w:rStyle w:val="Hyperlink"/>
                <w:noProof/>
              </w:rPr>
              <w:t>II</w:t>
            </w:r>
            <w:r w:rsidR="00CB0AB7">
              <w:rPr>
                <w:rFonts w:cstheme="minorBidi"/>
                <w:noProof/>
                <w:sz w:val="24"/>
                <w:szCs w:val="24"/>
                <w:lang w:eastAsia="en-GB"/>
              </w:rPr>
              <w:tab/>
            </w:r>
            <w:r w:rsidR="00CB0AB7">
              <w:rPr>
                <w:rFonts w:cstheme="minorBidi"/>
                <w:noProof/>
                <w:sz w:val="24"/>
                <w:szCs w:val="24"/>
                <w:lang w:eastAsia="en-GB"/>
              </w:rPr>
              <w:tab/>
            </w:r>
            <w:r w:rsidR="00CB0AB7" w:rsidRPr="008819BD">
              <w:rPr>
                <w:rStyle w:val="Hyperlink"/>
                <w:noProof/>
              </w:rPr>
              <w:t>Questionnaire design rationales</w:t>
            </w:r>
            <w:r w:rsidR="00CB0AB7">
              <w:rPr>
                <w:noProof/>
                <w:webHidden/>
              </w:rPr>
              <w:tab/>
            </w:r>
            <w:r w:rsidR="00CB0AB7">
              <w:rPr>
                <w:noProof/>
                <w:webHidden/>
              </w:rPr>
              <w:fldChar w:fldCharType="begin"/>
            </w:r>
            <w:r w:rsidR="00CB0AB7">
              <w:rPr>
                <w:noProof/>
                <w:webHidden/>
              </w:rPr>
              <w:instrText xml:space="preserve"> PAGEREF _Toc57035912 \h </w:instrText>
            </w:r>
            <w:r w:rsidR="00CB0AB7">
              <w:rPr>
                <w:noProof/>
                <w:webHidden/>
              </w:rPr>
            </w:r>
            <w:r w:rsidR="00CB0AB7">
              <w:rPr>
                <w:noProof/>
                <w:webHidden/>
              </w:rPr>
              <w:fldChar w:fldCharType="separate"/>
            </w:r>
            <w:r w:rsidR="00CB0D8F">
              <w:rPr>
                <w:noProof/>
                <w:webHidden/>
              </w:rPr>
              <w:t>115</w:t>
            </w:r>
            <w:r w:rsidR="00CB0AB7">
              <w:rPr>
                <w:noProof/>
                <w:webHidden/>
              </w:rPr>
              <w:fldChar w:fldCharType="end"/>
            </w:r>
          </w:hyperlink>
        </w:p>
        <w:p w14:paraId="1F77E114" w14:textId="275A432B" w:rsidR="00CB0AB7" w:rsidRDefault="00B568C9" w:rsidP="00CB0AB7">
          <w:pPr>
            <w:pStyle w:val="TOC3"/>
            <w:tabs>
              <w:tab w:val="left" w:pos="800"/>
              <w:tab w:val="left" w:pos="993"/>
              <w:tab w:val="right" w:leader="dot" w:pos="8779"/>
            </w:tabs>
            <w:rPr>
              <w:rFonts w:cstheme="minorBidi"/>
              <w:noProof/>
              <w:sz w:val="24"/>
              <w:szCs w:val="24"/>
              <w:lang w:eastAsia="en-GB"/>
            </w:rPr>
          </w:pPr>
          <w:hyperlink w:anchor="_Toc57035913" w:history="1">
            <w:r w:rsidR="00CB0AB7" w:rsidRPr="008819BD">
              <w:rPr>
                <w:rStyle w:val="Hyperlink"/>
                <w:noProof/>
              </w:rPr>
              <w:t>III</w:t>
            </w:r>
            <w:r w:rsidR="00CB0AB7">
              <w:rPr>
                <w:rFonts w:cstheme="minorBidi"/>
                <w:noProof/>
                <w:sz w:val="24"/>
                <w:szCs w:val="24"/>
                <w:lang w:eastAsia="en-GB"/>
              </w:rPr>
              <w:tab/>
            </w:r>
            <w:r w:rsidR="00CB0AB7">
              <w:rPr>
                <w:rFonts w:cstheme="minorBidi"/>
                <w:noProof/>
                <w:sz w:val="24"/>
                <w:szCs w:val="24"/>
                <w:lang w:eastAsia="en-GB"/>
              </w:rPr>
              <w:tab/>
            </w:r>
            <w:r w:rsidR="00CB0AB7" w:rsidRPr="008819BD">
              <w:rPr>
                <w:rStyle w:val="Hyperlink"/>
                <w:noProof/>
              </w:rPr>
              <w:t>Questionnaire Components</w:t>
            </w:r>
            <w:r w:rsidR="00CB0AB7">
              <w:rPr>
                <w:noProof/>
                <w:webHidden/>
              </w:rPr>
              <w:tab/>
            </w:r>
            <w:r w:rsidR="00CB0AB7">
              <w:rPr>
                <w:noProof/>
                <w:webHidden/>
              </w:rPr>
              <w:fldChar w:fldCharType="begin"/>
            </w:r>
            <w:r w:rsidR="00CB0AB7">
              <w:rPr>
                <w:noProof/>
                <w:webHidden/>
              </w:rPr>
              <w:instrText xml:space="preserve"> PAGEREF _Toc57035913 \h </w:instrText>
            </w:r>
            <w:r w:rsidR="00CB0AB7">
              <w:rPr>
                <w:noProof/>
                <w:webHidden/>
              </w:rPr>
            </w:r>
            <w:r w:rsidR="00CB0AB7">
              <w:rPr>
                <w:noProof/>
                <w:webHidden/>
              </w:rPr>
              <w:fldChar w:fldCharType="separate"/>
            </w:r>
            <w:r w:rsidR="00CB0D8F">
              <w:rPr>
                <w:noProof/>
                <w:webHidden/>
              </w:rPr>
              <w:t>117</w:t>
            </w:r>
            <w:r w:rsidR="00CB0AB7">
              <w:rPr>
                <w:noProof/>
                <w:webHidden/>
              </w:rPr>
              <w:fldChar w:fldCharType="end"/>
            </w:r>
          </w:hyperlink>
        </w:p>
        <w:p w14:paraId="55027B48" w14:textId="40EDB294" w:rsidR="00CB0AB7" w:rsidRDefault="00B568C9" w:rsidP="00CB0AB7">
          <w:pPr>
            <w:pStyle w:val="TOC2"/>
            <w:tabs>
              <w:tab w:val="left" w:pos="800"/>
              <w:tab w:val="left" w:pos="993"/>
              <w:tab w:val="right" w:leader="dot" w:pos="8779"/>
            </w:tabs>
            <w:rPr>
              <w:rFonts w:cstheme="minorBidi"/>
              <w:b w:val="0"/>
              <w:bCs w:val="0"/>
              <w:noProof/>
              <w:sz w:val="24"/>
              <w:szCs w:val="24"/>
              <w:lang w:eastAsia="en-GB"/>
            </w:rPr>
          </w:pPr>
          <w:hyperlink w:anchor="_Toc57035914" w:history="1">
            <w:r w:rsidR="00CB0AB7" w:rsidRPr="008819BD">
              <w:rPr>
                <w:rStyle w:val="Hyperlink"/>
                <w:noProof/>
              </w:rPr>
              <w:t>3.4</w:t>
            </w:r>
            <w:r w:rsidR="00CB0AB7">
              <w:rPr>
                <w:rFonts w:cstheme="minorBidi"/>
                <w:b w:val="0"/>
                <w:bCs w:val="0"/>
                <w:noProof/>
                <w:sz w:val="24"/>
                <w:szCs w:val="24"/>
                <w:lang w:eastAsia="en-GB"/>
              </w:rPr>
              <w:tab/>
            </w:r>
            <w:r w:rsidR="00CB0AB7" w:rsidRPr="008819BD">
              <w:rPr>
                <w:rStyle w:val="Hyperlink"/>
                <w:noProof/>
              </w:rPr>
              <w:t>Procedure</w:t>
            </w:r>
            <w:r w:rsidR="00CB0AB7">
              <w:rPr>
                <w:noProof/>
                <w:webHidden/>
              </w:rPr>
              <w:tab/>
            </w:r>
            <w:r w:rsidR="00CB0AB7">
              <w:rPr>
                <w:noProof/>
                <w:webHidden/>
              </w:rPr>
              <w:fldChar w:fldCharType="begin"/>
            </w:r>
            <w:r w:rsidR="00CB0AB7">
              <w:rPr>
                <w:noProof/>
                <w:webHidden/>
              </w:rPr>
              <w:instrText xml:space="preserve"> PAGEREF _Toc57035914 \h </w:instrText>
            </w:r>
            <w:r w:rsidR="00CB0AB7">
              <w:rPr>
                <w:noProof/>
                <w:webHidden/>
              </w:rPr>
            </w:r>
            <w:r w:rsidR="00CB0AB7">
              <w:rPr>
                <w:noProof/>
                <w:webHidden/>
              </w:rPr>
              <w:fldChar w:fldCharType="separate"/>
            </w:r>
            <w:r w:rsidR="00CB0D8F">
              <w:rPr>
                <w:noProof/>
                <w:webHidden/>
              </w:rPr>
              <w:t>121</w:t>
            </w:r>
            <w:r w:rsidR="00CB0AB7">
              <w:rPr>
                <w:noProof/>
                <w:webHidden/>
              </w:rPr>
              <w:fldChar w:fldCharType="end"/>
            </w:r>
          </w:hyperlink>
        </w:p>
        <w:p w14:paraId="5B4049C7" w14:textId="38C73EEB" w:rsidR="00CB0AB7" w:rsidRDefault="00B568C9" w:rsidP="00CB0AB7">
          <w:pPr>
            <w:pStyle w:val="TOC2"/>
            <w:tabs>
              <w:tab w:val="left" w:pos="800"/>
              <w:tab w:val="left" w:pos="993"/>
              <w:tab w:val="right" w:leader="dot" w:pos="8779"/>
            </w:tabs>
            <w:rPr>
              <w:rFonts w:cstheme="minorBidi"/>
              <w:b w:val="0"/>
              <w:bCs w:val="0"/>
              <w:noProof/>
              <w:sz w:val="24"/>
              <w:szCs w:val="24"/>
              <w:lang w:eastAsia="en-GB"/>
            </w:rPr>
          </w:pPr>
          <w:hyperlink w:anchor="_Toc57035915" w:history="1">
            <w:r w:rsidR="00CB0AB7" w:rsidRPr="008819BD">
              <w:rPr>
                <w:rStyle w:val="Hyperlink"/>
                <w:noProof/>
              </w:rPr>
              <w:t>3.5</w:t>
            </w:r>
            <w:r w:rsidR="00CB0AB7">
              <w:rPr>
                <w:rFonts w:cstheme="minorBidi"/>
                <w:b w:val="0"/>
                <w:bCs w:val="0"/>
                <w:noProof/>
                <w:sz w:val="24"/>
                <w:szCs w:val="24"/>
                <w:lang w:eastAsia="en-GB"/>
              </w:rPr>
              <w:tab/>
            </w:r>
            <w:r w:rsidR="00CB0AB7" w:rsidRPr="008819BD">
              <w:rPr>
                <w:rStyle w:val="Hyperlink"/>
                <w:noProof/>
              </w:rPr>
              <w:t>Data Reduction</w:t>
            </w:r>
            <w:r w:rsidR="00CB0AB7">
              <w:rPr>
                <w:noProof/>
                <w:webHidden/>
              </w:rPr>
              <w:tab/>
            </w:r>
            <w:r w:rsidR="00CB0AB7">
              <w:rPr>
                <w:noProof/>
                <w:webHidden/>
              </w:rPr>
              <w:fldChar w:fldCharType="begin"/>
            </w:r>
            <w:r w:rsidR="00CB0AB7">
              <w:rPr>
                <w:noProof/>
                <w:webHidden/>
              </w:rPr>
              <w:instrText xml:space="preserve"> PAGEREF _Toc57035915 \h </w:instrText>
            </w:r>
            <w:r w:rsidR="00CB0AB7">
              <w:rPr>
                <w:noProof/>
                <w:webHidden/>
              </w:rPr>
            </w:r>
            <w:r w:rsidR="00CB0AB7">
              <w:rPr>
                <w:noProof/>
                <w:webHidden/>
              </w:rPr>
              <w:fldChar w:fldCharType="separate"/>
            </w:r>
            <w:r w:rsidR="00CB0D8F">
              <w:rPr>
                <w:noProof/>
                <w:webHidden/>
              </w:rPr>
              <w:t>122</w:t>
            </w:r>
            <w:r w:rsidR="00CB0AB7">
              <w:rPr>
                <w:noProof/>
                <w:webHidden/>
              </w:rPr>
              <w:fldChar w:fldCharType="end"/>
            </w:r>
          </w:hyperlink>
        </w:p>
        <w:p w14:paraId="4C5B4237" w14:textId="4BB03244" w:rsidR="00CB0AB7" w:rsidRDefault="00B568C9" w:rsidP="00CB0AB7">
          <w:pPr>
            <w:pStyle w:val="TOC2"/>
            <w:tabs>
              <w:tab w:val="left" w:pos="800"/>
              <w:tab w:val="left" w:pos="993"/>
              <w:tab w:val="right" w:leader="dot" w:pos="8779"/>
            </w:tabs>
            <w:rPr>
              <w:rFonts w:cstheme="minorBidi"/>
              <w:b w:val="0"/>
              <w:bCs w:val="0"/>
              <w:noProof/>
              <w:sz w:val="24"/>
              <w:szCs w:val="24"/>
              <w:lang w:eastAsia="en-GB"/>
            </w:rPr>
          </w:pPr>
          <w:hyperlink w:anchor="_Toc57035916" w:history="1">
            <w:r w:rsidR="00CB0AB7" w:rsidRPr="008819BD">
              <w:rPr>
                <w:rStyle w:val="Hyperlink"/>
                <w:noProof/>
              </w:rPr>
              <w:t>3.6</w:t>
            </w:r>
            <w:r w:rsidR="00CB0AB7">
              <w:rPr>
                <w:rFonts w:cstheme="minorBidi"/>
                <w:b w:val="0"/>
                <w:bCs w:val="0"/>
                <w:noProof/>
                <w:sz w:val="24"/>
                <w:szCs w:val="24"/>
                <w:lang w:eastAsia="en-GB"/>
              </w:rPr>
              <w:tab/>
            </w:r>
            <w:r w:rsidR="00CB0AB7" w:rsidRPr="008819BD">
              <w:rPr>
                <w:rStyle w:val="Hyperlink"/>
                <w:noProof/>
              </w:rPr>
              <w:t>Developing the Dyslexia Index Profiler</w:t>
            </w:r>
            <w:r w:rsidR="00CB0AB7">
              <w:rPr>
                <w:noProof/>
                <w:webHidden/>
              </w:rPr>
              <w:tab/>
            </w:r>
            <w:r w:rsidR="00CB0AB7">
              <w:rPr>
                <w:noProof/>
                <w:webHidden/>
              </w:rPr>
              <w:fldChar w:fldCharType="begin"/>
            </w:r>
            <w:r w:rsidR="00CB0AB7">
              <w:rPr>
                <w:noProof/>
                <w:webHidden/>
              </w:rPr>
              <w:instrText xml:space="preserve"> PAGEREF _Toc57035916 \h </w:instrText>
            </w:r>
            <w:r w:rsidR="00CB0AB7">
              <w:rPr>
                <w:noProof/>
                <w:webHidden/>
              </w:rPr>
            </w:r>
            <w:r w:rsidR="00CB0AB7">
              <w:rPr>
                <w:noProof/>
                <w:webHidden/>
              </w:rPr>
              <w:fldChar w:fldCharType="separate"/>
            </w:r>
            <w:r w:rsidR="00CB0D8F">
              <w:rPr>
                <w:noProof/>
                <w:webHidden/>
              </w:rPr>
              <w:t>123</w:t>
            </w:r>
            <w:r w:rsidR="00CB0AB7">
              <w:rPr>
                <w:noProof/>
                <w:webHidden/>
              </w:rPr>
              <w:fldChar w:fldCharType="end"/>
            </w:r>
          </w:hyperlink>
        </w:p>
        <w:p w14:paraId="64081989" w14:textId="2EE725F9" w:rsidR="00CB0AB7" w:rsidRDefault="00B568C9" w:rsidP="00CB0AB7">
          <w:pPr>
            <w:pStyle w:val="TOC1"/>
            <w:tabs>
              <w:tab w:val="left" w:pos="400"/>
              <w:tab w:val="left" w:pos="993"/>
              <w:tab w:val="right" w:leader="dot" w:pos="8779"/>
            </w:tabs>
            <w:rPr>
              <w:rFonts w:cstheme="minorBidi"/>
              <w:b w:val="0"/>
              <w:bCs w:val="0"/>
              <w:i w:val="0"/>
              <w:iCs w:val="0"/>
              <w:noProof/>
              <w:lang w:eastAsia="en-GB"/>
            </w:rPr>
          </w:pPr>
          <w:hyperlink w:anchor="_Toc57035917" w:history="1">
            <w:r w:rsidR="00CB0AB7" w:rsidRPr="008819BD">
              <w:rPr>
                <w:rStyle w:val="Hyperlink"/>
                <w:noProof/>
              </w:rPr>
              <w:t>4</w:t>
            </w:r>
            <w:r w:rsidR="00CB0AB7">
              <w:rPr>
                <w:rFonts w:cstheme="minorBidi"/>
                <w:b w:val="0"/>
                <w:bCs w:val="0"/>
                <w:i w:val="0"/>
                <w:iCs w:val="0"/>
                <w:noProof/>
                <w:lang w:eastAsia="en-GB"/>
              </w:rPr>
              <w:tab/>
            </w:r>
            <w:r w:rsidR="00CB0AB7" w:rsidRPr="008819BD">
              <w:rPr>
                <w:rStyle w:val="Hyperlink"/>
                <w:noProof/>
              </w:rPr>
              <w:t>Results and Analysis</w:t>
            </w:r>
            <w:r w:rsidR="00CB0AB7">
              <w:rPr>
                <w:noProof/>
                <w:webHidden/>
              </w:rPr>
              <w:tab/>
            </w:r>
            <w:r w:rsidR="00CB0AB7">
              <w:rPr>
                <w:noProof/>
                <w:webHidden/>
              </w:rPr>
              <w:fldChar w:fldCharType="begin"/>
            </w:r>
            <w:r w:rsidR="00CB0AB7">
              <w:rPr>
                <w:noProof/>
                <w:webHidden/>
              </w:rPr>
              <w:instrText xml:space="preserve"> PAGEREF _Toc57035917 \h </w:instrText>
            </w:r>
            <w:r w:rsidR="00CB0AB7">
              <w:rPr>
                <w:noProof/>
                <w:webHidden/>
              </w:rPr>
            </w:r>
            <w:r w:rsidR="00CB0AB7">
              <w:rPr>
                <w:noProof/>
                <w:webHidden/>
              </w:rPr>
              <w:fldChar w:fldCharType="separate"/>
            </w:r>
            <w:r w:rsidR="00CB0D8F">
              <w:rPr>
                <w:noProof/>
                <w:webHidden/>
              </w:rPr>
              <w:t>139</w:t>
            </w:r>
            <w:r w:rsidR="00CB0AB7">
              <w:rPr>
                <w:noProof/>
                <w:webHidden/>
              </w:rPr>
              <w:fldChar w:fldCharType="end"/>
            </w:r>
          </w:hyperlink>
        </w:p>
        <w:p w14:paraId="25C889A4" w14:textId="1D378744" w:rsidR="00CB0AB7" w:rsidRDefault="00B568C9" w:rsidP="00CB0AB7">
          <w:pPr>
            <w:pStyle w:val="TOC2"/>
            <w:tabs>
              <w:tab w:val="left" w:pos="800"/>
              <w:tab w:val="left" w:pos="993"/>
              <w:tab w:val="right" w:leader="dot" w:pos="8779"/>
            </w:tabs>
            <w:rPr>
              <w:rFonts w:cstheme="minorBidi"/>
              <w:b w:val="0"/>
              <w:bCs w:val="0"/>
              <w:noProof/>
              <w:sz w:val="24"/>
              <w:szCs w:val="24"/>
              <w:lang w:eastAsia="en-GB"/>
            </w:rPr>
          </w:pPr>
          <w:hyperlink w:anchor="_Toc57035918" w:history="1">
            <w:r w:rsidR="00CB0AB7" w:rsidRPr="008819BD">
              <w:rPr>
                <w:rStyle w:val="Hyperlink"/>
                <w:noProof/>
              </w:rPr>
              <w:t>4.1</w:t>
            </w:r>
            <w:r w:rsidR="00CB0AB7">
              <w:rPr>
                <w:rFonts w:cstheme="minorBidi"/>
                <w:b w:val="0"/>
                <w:bCs w:val="0"/>
                <w:noProof/>
                <w:sz w:val="24"/>
                <w:szCs w:val="24"/>
                <w:lang w:eastAsia="en-GB"/>
              </w:rPr>
              <w:tab/>
            </w:r>
            <w:r w:rsidR="00CB0AB7" w:rsidRPr="008819BD">
              <w:rPr>
                <w:rStyle w:val="Hyperlink"/>
                <w:noProof/>
              </w:rPr>
              <w:t>Overview</w:t>
            </w:r>
            <w:r w:rsidR="00CB0AB7">
              <w:rPr>
                <w:noProof/>
                <w:webHidden/>
              </w:rPr>
              <w:tab/>
            </w:r>
            <w:r w:rsidR="00CB0AB7">
              <w:rPr>
                <w:noProof/>
                <w:webHidden/>
              </w:rPr>
              <w:fldChar w:fldCharType="begin"/>
            </w:r>
            <w:r w:rsidR="00CB0AB7">
              <w:rPr>
                <w:noProof/>
                <w:webHidden/>
              </w:rPr>
              <w:instrText xml:space="preserve"> PAGEREF _Toc57035918 \h </w:instrText>
            </w:r>
            <w:r w:rsidR="00CB0AB7">
              <w:rPr>
                <w:noProof/>
                <w:webHidden/>
              </w:rPr>
            </w:r>
            <w:r w:rsidR="00CB0AB7">
              <w:rPr>
                <w:noProof/>
                <w:webHidden/>
              </w:rPr>
              <w:fldChar w:fldCharType="separate"/>
            </w:r>
            <w:r w:rsidR="00CB0D8F">
              <w:rPr>
                <w:noProof/>
                <w:webHidden/>
              </w:rPr>
              <w:t>140</w:t>
            </w:r>
            <w:r w:rsidR="00CB0AB7">
              <w:rPr>
                <w:noProof/>
                <w:webHidden/>
              </w:rPr>
              <w:fldChar w:fldCharType="end"/>
            </w:r>
          </w:hyperlink>
        </w:p>
        <w:p w14:paraId="19552F7F" w14:textId="6F051FD7" w:rsidR="00CB0AB7" w:rsidRDefault="00B568C9" w:rsidP="00CB0AB7">
          <w:pPr>
            <w:pStyle w:val="TOC3"/>
            <w:tabs>
              <w:tab w:val="left" w:pos="800"/>
              <w:tab w:val="left" w:pos="993"/>
              <w:tab w:val="right" w:leader="dot" w:pos="8779"/>
            </w:tabs>
            <w:rPr>
              <w:rFonts w:cstheme="minorBidi"/>
              <w:noProof/>
              <w:sz w:val="24"/>
              <w:szCs w:val="24"/>
              <w:lang w:eastAsia="en-GB"/>
            </w:rPr>
          </w:pPr>
          <w:hyperlink w:anchor="_Toc57035919" w:history="1">
            <w:r w:rsidR="00CB0AB7" w:rsidRPr="008819BD">
              <w:rPr>
                <w:rStyle w:val="Hyperlink"/>
                <w:rFonts w:eastAsia="Times New Roman"/>
                <w:noProof/>
                <w:lang w:eastAsia="en-GB"/>
              </w:rPr>
              <w:t>I</w:t>
            </w:r>
            <w:r w:rsidR="00CB0AB7">
              <w:rPr>
                <w:rFonts w:cstheme="minorBidi"/>
                <w:noProof/>
                <w:sz w:val="24"/>
                <w:szCs w:val="24"/>
                <w:lang w:eastAsia="en-GB"/>
              </w:rPr>
              <w:tab/>
            </w:r>
            <w:r w:rsidR="00CB0AB7">
              <w:rPr>
                <w:rFonts w:cstheme="minorBidi"/>
                <w:noProof/>
                <w:sz w:val="24"/>
                <w:szCs w:val="24"/>
                <w:lang w:eastAsia="en-GB"/>
              </w:rPr>
              <w:tab/>
            </w:r>
            <w:r w:rsidR="00CB0AB7" w:rsidRPr="008819BD">
              <w:rPr>
                <w:rStyle w:val="Hyperlink"/>
                <w:rFonts w:eastAsia="Times New Roman"/>
                <w:noProof/>
                <w:lang w:eastAsia="en-GB"/>
              </w:rPr>
              <w:t>Objectives</w:t>
            </w:r>
            <w:r w:rsidR="00CB0AB7">
              <w:rPr>
                <w:noProof/>
                <w:webHidden/>
              </w:rPr>
              <w:tab/>
            </w:r>
            <w:r w:rsidR="00CB0AB7">
              <w:rPr>
                <w:noProof/>
                <w:webHidden/>
              </w:rPr>
              <w:fldChar w:fldCharType="begin"/>
            </w:r>
            <w:r w:rsidR="00CB0AB7">
              <w:rPr>
                <w:noProof/>
                <w:webHidden/>
              </w:rPr>
              <w:instrText xml:space="preserve"> PAGEREF _Toc57035919 \h </w:instrText>
            </w:r>
            <w:r w:rsidR="00CB0AB7">
              <w:rPr>
                <w:noProof/>
                <w:webHidden/>
              </w:rPr>
            </w:r>
            <w:r w:rsidR="00CB0AB7">
              <w:rPr>
                <w:noProof/>
                <w:webHidden/>
              </w:rPr>
              <w:fldChar w:fldCharType="separate"/>
            </w:r>
            <w:r w:rsidR="00CB0D8F">
              <w:rPr>
                <w:noProof/>
                <w:webHidden/>
              </w:rPr>
              <w:t>140</w:t>
            </w:r>
            <w:r w:rsidR="00CB0AB7">
              <w:rPr>
                <w:noProof/>
                <w:webHidden/>
              </w:rPr>
              <w:fldChar w:fldCharType="end"/>
            </w:r>
          </w:hyperlink>
        </w:p>
        <w:p w14:paraId="740BE995" w14:textId="7A89A88B" w:rsidR="00CB0AB7" w:rsidRDefault="00B568C9" w:rsidP="00CB0AB7">
          <w:pPr>
            <w:pStyle w:val="TOC3"/>
            <w:tabs>
              <w:tab w:val="left" w:pos="800"/>
              <w:tab w:val="left" w:pos="993"/>
              <w:tab w:val="right" w:leader="dot" w:pos="8779"/>
            </w:tabs>
            <w:rPr>
              <w:rFonts w:cstheme="minorBidi"/>
              <w:noProof/>
              <w:sz w:val="24"/>
              <w:szCs w:val="24"/>
              <w:lang w:eastAsia="en-GB"/>
            </w:rPr>
          </w:pPr>
          <w:hyperlink w:anchor="_Toc57035920" w:history="1">
            <w:r w:rsidR="00CB0AB7" w:rsidRPr="008819BD">
              <w:rPr>
                <w:rStyle w:val="Hyperlink"/>
                <w:rFonts w:eastAsia="Times New Roman"/>
                <w:noProof/>
                <w:lang w:eastAsia="en-GB"/>
              </w:rPr>
              <w:t>II</w:t>
            </w:r>
            <w:r w:rsidR="00CB0AB7">
              <w:rPr>
                <w:rFonts w:cstheme="minorBidi"/>
                <w:noProof/>
                <w:sz w:val="24"/>
                <w:szCs w:val="24"/>
                <w:lang w:eastAsia="en-GB"/>
              </w:rPr>
              <w:tab/>
            </w:r>
            <w:r w:rsidR="00CB0AB7">
              <w:rPr>
                <w:rFonts w:cstheme="minorBidi"/>
                <w:noProof/>
                <w:sz w:val="24"/>
                <w:szCs w:val="24"/>
                <w:lang w:eastAsia="en-GB"/>
              </w:rPr>
              <w:tab/>
            </w:r>
            <w:r w:rsidR="00CB0AB7" w:rsidRPr="008819BD">
              <w:rPr>
                <w:rStyle w:val="Hyperlink"/>
                <w:rFonts w:eastAsia="Times New Roman"/>
                <w:noProof/>
                <w:lang w:eastAsia="en-GB"/>
              </w:rPr>
              <w:t>Analysing quantitative data - rationales:</w:t>
            </w:r>
            <w:r w:rsidR="00CB0AB7">
              <w:rPr>
                <w:noProof/>
                <w:webHidden/>
              </w:rPr>
              <w:tab/>
            </w:r>
            <w:r w:rsidR="00CB0AB7">
              <w:rPr>
                <w:noProof/>
                <w:webHidden/>
              </w:rPr>
              <w:fldChar w:fldCharType="begin"/>
            </w:r>
            <w:r w:rsidR="00CB0AB7">
              <w:rPr>
                <w:noProof/>
                <w:webHidden/>
              </w:rPr>
              <w:instrText xml:space="preserve"> PAGEREF _Toc57035920 \h </w:instrText>
            </w:r>
            <w:r w:rsidR="00CB0AB7">
              <w:rPr>
                <w:noProof/>
                <w:webHidden/>
              </w:rPr>
            </w:r>
            <w:r w:rsidR="00CB0AB7">
              <w:rPr>
                <w:noProof/>
                <w:webHidden/>
              </w:rPr>
              <w:fldChar w:fldCharType="separate"/>
            </w:r>
            <w:r w:rsidR="00CB0D8F">
              <w:rPr>
                <w:noProof/>
                <w:webHidden/>
              </w:rPr>
              <w:t>140</w:t>
            </w:r>
            <w:r w:rsidR="00CB0AB7">
              <w:rPr>
                <w:noProof/>
                <w:webHidden/>
              </w:rPr>
              <w:fldChar w:fldCharType="end"/>
            </w:r>
          </w:hyperlink>
        </w:p>
        <w:p w14:paraId="080D0027" w14:textId="40683976" w:rsidR="00CB0AB7" w:rsidRDefault="00B568C9" w:rsidP="00CB0AB7">
          <w:pPr>
            <w:pStyle w:val="TOC3"/>
            <w:tabs>
              <w:tab w:val="left" w:pos="800"/>
              <w:tab w:val="left" w:pos="993"/>
              <w:tab w:val="right" w:leader="dot" w:pos="8779"/>
            </w:tabs>
            <w:rPr>
              <w:rFonts w:cstheme="minorBidi"/>
              <w:noProof/>
              <w:sz w:val="24"/>
              <w:szCs w:val="24"/>
              <w:lang w:eastAsia="en-GB"/>
            </w:rPr>
          </w:pPr>
          <w:hyperlink w:anchor="_Toc57035921" w:history="1">
            <w:r w:rsidR="00CB0AB7" w:rsidRPr="008819BD">
              <w:rPr>
                <w:rStyle w:val="Hyperlink"/>
                <w:noProof/>
              </w:rPr>
              <w:t>III</w:t>
            </w:r>
            <w:r w:rsidR="00CB0AB7">
              <w:rPr>
                <w:rFonts w:cstheme="minorBidi"/>
                <w:noProof/>
                <w:sz w:val="24"/>
                <w:szCs w:val="24"/>
                <w:lang w:eastAsia="en-GB"/>
              </w:rPr>
              <w:tab/>
            </w:r>
            <w:r w:rsidR="00CB0AB7">
              <w:rPr>
                <w:rFonts w:cstheme="minorBidi"/>
                <w:noProof/>
                <w:sz w:val="24"/>
                <w:szCs w:val="24"/>
                <w:lang w:eastAsia="en-GB"/>
              </w:rPr>
              <w:tab/>
            </w:r>
            <w:r w:rsidR="00CB0AB7" w:rsidRPr="008819BD">
              <w:rPr>
                <w:rStyle w:val="Hyperlink"/>
                <w:noProof/>
              </w:rPr>
              <w:t>Analysing qualitative data - rationales</w:t>
            </w:r>
            <w:r w:rsidR="00CB0AB7">
              <w:rPr>
                <w:noProof/>
                <w:webHidden/>
              </w:rPr>
              <w:tab/>
            </w:r>
            <w:r w:rsidR="00CB0AB7">
              <w:rPr>
                <w:noProof/>
                <w:webHidden/>
              </w:rPr>
              <w:fldChar w:fldCharType="begin"/>
            </w:r>
            <w:r w:rsidR="00CB0AB7">
              <w:rPr>
                <w:noProof/>
                <w:webHidden/>
              </w:rPr>
              <w:instrText xml:space="preserve"> PAGEREF _Toc57035921 \h </w:instrText>
            </w:r>
            <w:r w:rsidR="00CB0AB7">
              <w:rPr>
                <w:noProof/>
                <w:webHidden/>
              </w:rPr>
            </w:r>
            <w:r w:rsidR="00CB0AB7">
              <w:rPr>
                <w:noProof/>
                <w:webHidden/>
              </w:rPr>
              <w:fldChar w:fldCharType="separate"/>
            </w:r>
            <w:r w:rsidR="00CB0D8F">
              <w:rPr>
                <w:noProof/>
                <w:webHidden/>
              </w:rPr>
              <w:t>145</w:t>
            </w:r>
            <w:r w:rsidR="00CB0AB7">
              <w:rPr>
                <w:noProof/>
                <w:webHidden/>
              </w:rPr>
              <w:fldChar w:fldCharType="end"/>
            </w:r>
          </w:hyperlink>
        </w:p>
        <w:p w14:paraId="75CB97EE" w14:textId="4F4CB5E6" w:rsidR="00CB0AB7" w:rsidRDefault="00B568C9" w:rsidP="00CB0AB7">
          <w:pPr>
            <w:pStyle w:val="TOC2"/>
            <w:tabs>
              <w:tab w:val="left" w:pos="800"/>
              <w:tab w:val="left" w:pos="993"/>
              <w:tab w:val="right" w:leader="dot" w:pos="8779"/>
            </w:tabs>
            <w:rPr>
              <w:rFonts w:cstheme="minorBidi"/>
              <w:b w:val="0"/>
              <w:bCs w:val="0"/>
              <w:noProof/>
              <w:sz w:val="24"/>
              <w:szCs w:val="24"/>
              <w:lang w:eastAsia="en-GB"/>
            </w:rPr>
          </w:pPr>
          <w:hyperlink w:anchor="_Toc57035922" w:history="1">
            <w:r w:rsidR="00CB0AB7" w:rsidRPr="008819BD">
              <w:rPr>
                <w:rStyle w:val="Hyperlink"/>
                <w:noProof/>
              </w:rPr>
              <w:t>4.2</w:t>
            </w:r>
            <w:r w:rsidR="00CB0AB7">
              <w:rPr>
                <w:rFonts w:cstheme="minorBidi"/>
                <w:b w:val="0"/>
                <w:bCs w:val="0"/>
                <w:noProof/>
                <w:sz w:val="24"/>
                <w:szCs w:val="24"/>
                <w:lang w:eastAsia="en-GB"/>
              </w:rPr>
              <w:tab/>
            </w:r>
            <w:r w:rsidR="00CB0AB7" w:rsidRPr="008819BD">
              <w:rPr>
                <w:rStyle w:val="Hyperlink"/>
                <w:noProof/>
              </w:rPr>
              <w:t>Terminology</w:t>
            </w:r>
            <w:r w:rsidR="00CB0AB7">
              <w:rPr>
                <w:noProof/>
                <w:webHidden/>
              </w:rPr>
              <w:tab/>
            </w:r>
            <w:r w:rsidR="00CB0AB7">
              <w:rPr>
                <w:noProof/>
                <w:webHidden/>
              </w:rPr>
              <w:fldChar w:fldCharType="begin"/>
            </w:r>
            <w:r w:rsidR="00CB0AB7">
              <w:rPr>
                <w:noProof/>
                <w:webHidden/>
              </w:rPr>
              <w:instrText xml:space="preserve"> PAGEREF _Toc57035922 \h </w:instrText>
            </w:r>
            <w:r w:rsidR="00CB0AB7">
              <w:rPr>
                <w:noProof/>
                <w:webHidden/>
              </w:rPr>
            </w:r>
            <w:r w:rsidR="00CB0AB7">
              <w:rPr>
                <w:noProof/>
                <w:webHidden/>
              </w:rPr>
              <w:fldChar w:fldCharType="separate"/>
            </w:r>
            <w:r w:rsidR="00CB0D8F">
              <w:rPr>
                <w:noProof/>
                <w:webHidden/>
              </w:rPr>
              <w:t>146</w:t>
            </w:r>
            <w:r w:rsidR="00CB0AB7">
              <w:rPr>
                <w:noProof/>
                <w:webHidden/>
              </w:rPr>
              <w:fldChar w:fldCharType="end"/>
            </w:r>
          </w:hyperlink>
        </w:p>
        <w:p w14:paraId="1E907568" w14:textId="61A912A8" w:rsidR="00CB0AB7" w:rsidRDefault="00B568C9" w:rsidP="00CB0AB7">
          <w:pPr>
            <w:pStyle w:val="TOC2"/>
            <w:tabs>
              <w:tab w:val="left" w:pos="800"/>
              <w:tab w:val="left" w:pos="993"/>
              <w:tab w:val="right" w:leader="dot" w:pos="8779"/>
            </w:tabs>
            <w:rPr>
              <w:rFonts w:cstheme="minorBidi"/>
              <w:b w:val="0"/>
              <w:bCs w:val="0"/>
              <w:noProof/>
              <w:sz w:val="24"/>
              <w:szCs w:val="24"/>
              <w:lang w:eastAsia="en-GB"/>
            </w:rPr>
          </w:pPr>
          <w:hyperlink w:anchor="_Toc57035923" w:history="1">
            <w:r w:rsidR="00CB0AB7" w:rsidRPr="008819BD">
              <w:rPr>
                <w:rStyle w:val="Hyperlink"/>
                <w:noProof/>
              </w:rPr>
              <w:t>4.3</w:t>
            </w:r>
            <w:r w:rsidR="00CB0AB7">
              <w:rPr>
                <w:rFonts w:cstheme="minorBidi"/>
                <w:b w:val="0"/>
                <w:bCs w:val="0"/>
                <w:noProof/>
                <w:sz w:val="24"/>
                <w:szCs w:val="24"/>
                <w:lang w:eastAsia="en-GB"/>
              </w:rPr>
              <w:tab/>
            </w:r>
            <w:r w:rsidR="00CB0AB7" w:rsidRPr="008819BD">
              <w:rPr>
                <w:rStyle w:val="Hyperlink"/>
                <w:noProof/>
              </w:rPr>
              <w:t>Results</w:t>
            </w:r>
            <w:r w:rsidR="00CB0AB7">
              <w:rPr>
                <w:noProof/>
                <w:webHidden/>
              </w:rPr>
              <w:tab/>
            </w:r>
            <w:r w:rsidR="00CB0AB7">
              <w:rPr>
                <w:noProof/>
                <w:webHidden/>
              </w:rPr>
              <w:fldChar w:fldCharType="begin"/>
            </w:r>
            <w:r w:rsidR="00CB0AB7">
              <w:rPr>
                <w:noProof/>
                <w:webHidden/>
              </w:rPr>
              <w:instrText xml:space="preserve"> PAGEREF _Toc57035923 \h </w:instrText>
            </w:r>
            <w:r w:rsidR="00CB0AB7">
              <w:rPr>
                <w:noProof/>
                <w:webHidden/>
              </w:rPr>
            </w:r>
            <w:r w:rsidR="00CB0AB7">
              <w:rPr>
                <w:noProof/>
                <w:webHidden/>
              </w:rPr>
              <w:fldChar w:fldCharType="separate"/>
            </w:r>
            <w:r w:rsidR="00CB0D8F">
              <w:rPr>
                <w:noProof/>
                <w:webHidden/>
              </w:rPr>
              <w:t>147</w:t>
            </w:r>
            <w:r w:rsidR="00CB0AB7">
              <w:rPr>
                <w:noProof/>
                <w:webHidden/>
              </w:rPr>
              <w:fldChar w:fldCharType="end"/>
            </w:r>
          </w:hyperlink>
        </w:p>
        <w:p w14:paraId="26F4D8A5" w14:textId="5B542B5B" w:rsidR="00CB0AB7" w:rsidRDefault="00B568C9" w:rsidP="00CB0AB7">
          <w:pPr>
            <w:pStyle w:val="TOC3"/>
            <w:tabs>
              <w:tab w:val="left" w:pos="800"/>
              <w:tab w:val="left" w:pos="993"/>
              <w:tab w:val="right" w:leader="dot" w:pos="8779"/>
            </w:tabs>
            <w:rPr>
              <w:rFonts w:cstheme="minorBidi"/>
              <w:noProof/>
              <w:sz w:val="24"/>
              <w:szCs w:val="24"/>
              <w:lang w:eastAsia="en-GB"/>
            </w:rPr>
          </w:pPr>
          <w:hyperlink w:anchor="_Toc57035924" w:history="1">
            <w:r w:rsidR="00CB0AB7" w:rsidRPr="008819BD">
              <w:rPr>
                <w:rStyle w:val="Hyperlink"/>
                <w:noProof/>
              </w:rPr>
              <w:t>I</w:t>
            </w:r>
            <w:r w:rsidR="00CB0AB7">
              <w:rPr>
                <w:rFonts w:cstheme="minorBidi"/>
                <w:noProof/>
                <w:sz w:val="24"/>
                <w:szCs w:val="24"/>
                <w:lang w:eastAsia="en-GB"/>
              </w:rPr>
              <w:tab/>
            </w:r>
            <w:r w:rsidR="00CB0AB7">
              <w:rPr>
                <w:rFonts w:cstheme="minorBidi"/>
                <w:noProof/>
                <w:sz w:val="24"/>
                <w:szCs w:val="24"/>
                <w:lang w:eastAsia="en-GB"/>
              </w:rPr>
              <w:tab/>
            </w:r>
            <w:r w:rsidR="00CB0AB7" w:rsidRPr="008819BD">
              <w:rPr>
                <w:rStyle w:val="Hyperlink"/>
                <w:noProof/>
              </w:rPr>
              <w:t>Demographics</w:t>
            </w:r>
            <w:r w:rsidR="00CB0AB7">
              <w:rPr>
                <w:noProof/>
                <w:webHidden/>
              </w:rPr>
              <w:tab/>
            </w:r>
            <w:r w:rsidR="00CB0AB7">
              <w:rPr>
                <w:noProof/>
                <w:webHidden/>
              </w:rPr>
              <w:fldChar w:fldCharType="begin"/>
            </w:r>
            <w:r w:rsidR="00CB0AB7">
              <w:rPr>
                <w:noProof/>
                <w:webHidden/>
              </w:rPr>
              <w:instrText xml:space="preserve"> PAGEREF _Toc57035924 \h </w:instrText>
            </w:r>
            <w:r w:rsidR="00CB0AB7">
              <w:rPr>
                <w:noProof/>
                <w:webHidden/>
              </w:rPr>
            </w:r>
            <w:r w:rsidR="00CB0AB7">
              <w:rPr>
                <w:noProof/>
                <w:webHidden/>
              </w:rPr>
              <w:fldChar w:fldCharType="separate"/>
            </w:r>
            <w:r w:rsidR="00CB0D8F">
              <w:rPr>
                <w:noProof/>
                <w:webHidden/>
              </w:rPr>
              <w:t>147</w:t>
            </w:r>
            <w:r w:rsidR="00CB0AB7">
              <w:rPr>
                <w:noProof/>
                <w:webHidden/>
              </w:rPr>
              <w:fldChar w:fldCharType="end"/>
            </w:r>
          </w:hyperlink>
        </w:p>
        <w:p w14:paraId="1A27FED2" w14:textId="75DC334A" w:rsidR="00CB0AB7" w:rsidRDefault="00B568C9" w:rsidP="00CB0AB7">
          <w:pPr>
            <w:pStyle w:val="TOC3"/>
            <w:tabs>
              <w:tab w:val="left" w:pos="800"/>
              <w:tab w:val="left" w:pos="993"/>
              <w:tab w:val="right" w:leader="dot" w:pos="8779"/>
            </w:tabs>
            <w:rPr>
              <w:rFonts w:cstheme="minorBidi"/>
              <w:noProof/>
              <w:sz w:val="24"/>
              <w:szCs w:val="24"/>
              <w:lang w:eastAsia="en-GB"/>
            </w:rPr>
          </w:pPr>
          <w:hyperlink w:anchor="_Toc57035925" w:history="1">
            <w:r w:rsidR="00CB0AB7" w:rsidRPr="008819BD">
              <w:rPr>
                <w:rStyle w:val="Hyperlink"/>
                <w:noProof/>
              </w:rPr>
              <w:t>II</w:t>
            </w:r>
            <w:r w:rsidR="00CB0AB7">
              <w:rPr>
                <w:rFonts w:cstheme="minorBidi"/>
                <w:noProof/>
                <w:sz w:val="24"/>
                <w:szCs w:val="24"/>
                <w:lang w:eastAsia="en-GB"/>
              </w:rPr>
              <w:tab/>
            </w:r>
            <w:r w:rsidR="00CB0AB7">
              <w:rPr>
                <w:rFonts w:cstheme="minorBidi"/>
                <w:noProof/>
                <w:sz w:val="24"/>
                <w:szCs w:val="24"/>
                <w:lang w:eastAsia="en-GB"/>
              </w:rPr>
              <w:tab/>
            </w:r>
            <w:r w:rsidR="00CB0AB7" w:rsidRPr="008819BD">
              <w:rPr>
                <w:rStyle w:val="Hyperlink"/>
                <w:noProof/>
              </w:rPr>
              <w:t>How students with dyslexia learned of their dyslexia</w:t>
            </w:r>
            <w:r w:rsidR="00CB0AB7">
              <w:rPr>
                <w:noProof/>
                <w:webHidden/>
              </w:rPr>
              <w:tab/>
            </w:r>
            <w:r w:rsidR="00CB0AB7">
              <w:rPr>
                <w:noProof/>
                <w:webHidden/>
              </w:rPr>
              <w:fldChar w:fldCharType="begin"/>
            </w:r>
            <w:r w:rsidR="00CB0AB7">
              <w:rPr>
                <w:noProof/>
                <w:webHidden/>
              </w:rPr>
              <w:instrText xml:space="preserve"> PAGEREF _Toc57035925 \h </w:instrText>
            </w:r>
            <w:r w:rsidR="00CB0AB7">
              <w:rPr>
                <w:noProof/>
                <w:webHidden/>
              </w:rPr>
            </w:r>
            <w:r w:rsidR="00CB0AB7">
              <w:rPr>
                <w:noProof/>
                <w:webHidden/>
              </w:rPr>
              <w:fldChar w:fldCharType="separate"/>
            </w:r>
            <w:r w:rsidR="00CB0D8F">
              <w:rPr>
                <w:noProof/>
                <w:webHidden/>
              </w:rPr>
              <w:t>151</w:t>
            </w:r>
            <w:r w:rsidR="00CB0AB7">
              <w:rPr>
                <w:noProof/>
                <w:webHidden/>
              </w:rPr>
              <w:fldChar w:fldCharType="end"/>
            </w:r>
          </w:hyperlink>
        </w:p>
        <w:p w14:paraId="0B677FB4" w14:textId="3ED0991E" w:rsidR="00CB0AB7" w:rsidRDefault="00B568C9" w:rsidP="00CB0AB7">
          <w:pPr>
            <w:pStyle w:val="TOC3"/>
            <w:tabs>
              <w:tab w:val="left" w:pos="800"/>
              <w:tab w:val="left" w:pos="993"/>
              <w:tab w:val="right" w:leader="dot" w:pos="8779"/>
            </w:tabs>
            <w:rPr>
              <w:rFonts w:cstheme="minorBidi"/>
              <w:noProof/>
              <w:sz w:val="24"/>
              <w:szCs w:val="24"/>
              <w:lang w:eastAsia="en-GB"/>
            </w:rPr>
          </w:pPr>
          <w:hyperlink w:anchor="_Toc57035926" w:history="1">
            <w:r w:rsidR="00CB0AB7" w:rsidRPr="008819BD">
              <w:rPr>
                <w:rStyle w:val="Hyperlink"/>
                <w:noProof/>
              </w:rPr>
              <w:t>III</w:t>
            </w:r>
            <w:r w:rsidR="00CB0AB7">
              <w:rPr>
                <w:rFonts w:cstheme="minorBidi"/>
                <w:noProof/>
                <w:sz w:val="24"/>
                <w:szCs w:val="24"/>
                <w:lang w:eastAsia="en-GB"/>
              </w:rPr>
              <w:tab/>
            </w:r>
            <w:r w:rsidR="00CB0AB7">
              <w:rPr>
                <w:rFonts w:cstheme="minorBidi"/>
                <w:noProof/>
                <w:sz w:val="24"/>
                <w:szCs w:val="24"/>
                <w:lang w:eastAsia="en-GB"/>
              </w:rPr>
              <w:tab/>
            </w:r>
            <w:r w:rsidR="00CB0AB7" w:rsidRPr="008819BD">
              <w:rPr>
                <w:rStyle w:val="Hyperlink"/>
                <w:noProof/>
              </w:rPr>
              <w:t>The Dyslexia Index Profiler</w:t>
            </w:r>
            <w:r w:rsidR="00CB0AB7">
              <w:rPr>
                <w:noProof/>
                <w:webHidden/>
              </w:rPr>
              <w:tab/>
            </w:r>
            <w:r w:rsidR="00CB0AB7">
              <w:rPr>
                <w:noProof/>
                <w:webHidden/>
              </w:rPr>
              <w:fldChar w:fldCharType="begin"/>
            </w:r>
            <w:r w:rsidR="00CB0AB7">
              <w:rPr>
                <w:noProof/>
                <w:webHidden/>
              </w:rPr>
              <w:instrText xml:space="preserve"> PAGEREF _Toc57035926 \h </w:instrText>
            </w:r>
            <w:r w:rsidR="00CB0AB7">
              <w:rPr>
                <w:noProof/>
                <w:webHidden/>
              </w:rPr>
            </w:r>
            <w:r w:rsidR="00CB0AB7">
              <w:rPr>
                <w:noProof/>
                <w:webHidden/>
              </w:rPr>
              <w:fldChar w:fldCharType="separate"/>
            </w:r>
            <w:r w:rsidR="00CB0D8F">
              <w:rPr>
                <w:noProof/>
                <w:webHidden/>
              </w:rPr>
              <w:t>154</w:t>
            </w:r>
            <w:r w:rsidR="00CB0AB7">
              <w:rPr>
                <w:noProof/>
                <w:webHidden/>
              </w:rPr>
              <w:fldChar w:fldCharType="end"/>
            </w:r>
          </w:hyperlink>
        </w:p>
        <w:p w14:paraId="1C9AE5D3" w14:textId="3B4625B4" w:rsidR="00CB0AB7" w:rsidRDefault="00B568C9" w:rsidP="00CB0AB7">
          <w:pPr>
            <w:pStyle w:val="TOC3"/>
            <w:tabs>
              <w:tab w:val="left" w:pos="993"/>
              <w:tab w:val="right" w:leader="dot" w:pos="8779"/>
            </w:tabs>
            <w:rPr>
              <w:rFonts w:cstheme="minorBidi"/>
              <w:noProof/>
              <w:sz w:val="24"/>
              <w:szCs w:val="24"/>
              <w:lang w:eastAsia="en-GB"/>
            </w:rPr>
          </w:pPr>
          <w:hyperlink w:anchor="_Toc57035927" w:history="1">
            <w:r w:rsidR="00CB0AB7" w:rsidRPr="008819BD">
              <w:rPr>
                <w:rStyle w:val="Hyperlink"/>
                <w:noProof/>
              </w:rPr>
              <w:t>IV</w:t>
            </w:r>
            <w:r w:rsidR="00CB0AB7">
              <w:rPr>
                <w:rFonts w:cstheme="minorBidi"/>
                <w:noProof/>
                <w:sz w:val="24"/>
                <w:szCs w:val="24"/>
                <w:lang w:eastAsia="en-GB"/>
              </w:rPr>
              <w:tab/>
            </w:r>
            <w:r w:rsidR="00CB0AB7" w:rsidRPr="008819BD">
              <w:rPr>
                <w:rStyle w:val="Hyperlink"/>
                <w:noProof/>
              </w:rPr>
              <w:t>Academic Behavioural Confidence</w:t>
            </w:r>
            <w:r w:rsidR="00CB0AB7">
              <w:rPr>
                <w:noProof/>
                <w:webHidden/>
              </w:rPr>
              <w:tab/>
            </w:r>
            <w:r w:rsidR="00CB0AB7">
              <w:rPr>
                <w:noProof/>
                <w:webHidden/>
              </w:rPr>
              <w:fldChar w:fldCharType="begin"/>
            </w:r>
            <w:r w:rsidR="00CB0AB7">
              <w:rPr>
                <w:noProof/>
                <w:webHidden/>
              </w:rPr>
              <w:instrText xml:space="preserve"> PAGEREF _Toc57035927 \h </w:instrText>
            </w:r>
            <w:r w:rsidR="00CB0AB7">
              <w:rPr>
                <w:noProof/>
                <w:webHidden/>
              </w:rPr>
            </w:r>
            <w:r w:rsidR="00CB0AB7">
              <w:rPr>
                <w:noProof/>
                <w:webHidden/>
              </w:rPr>
              <w:fldChar w:fldCharType="separate"/>
            </w:r>
            <w:r w:rsidR="00CB0D8F">
              <w:rPr>
                <w:noProof/>
                <w:webHidden/>
              </w:rPr>
              <w:t>162</w:t>
            </w:r>
            <w:r w:rsidR="00CB0AB7">
              <w:rPr>
                <w:noProof/>
                <w:webHidden/>
              </w:rPr>
              <w:fldChar w:fldCharType="end"/>
            </w:r>
          </w:hyperlink>
        </w:p>
        <w:p w14:paraId="7D6F836D" w14:textId="2C46C338" w:rsidR="00CB0AB7" w:rsidRDefault="00B568C9" w:rsidP="00CB0AB7">
          <w:pPr>
            <w:pStyle w:val="TOC2"/>
            <w:tabs>
              <w:tab w:val="left" w:pos="800"/>
              <w:tab w:val="left" w:pos="993"/>
              <w:tab w:val="right" w:leader="dot" w:pos="8779"/>
            </w:tabs>
            <w:rPr>
              <w:rFonts w:cstheme="minorBidi"/>
              <w:b w:val="0"/>
              <w:bCs w:val="0"/>
              <w:noProof/>
              <w:sz w:val="24"/>
              <w:szCs w:val="24"/>
              <w:lang w:eastAsia="en-GB"/>
            </w:rPr>
          </w:pPr>
          <w:hyperlink w:anchor="_Toc57035928" w:history="1">
            <w:r w:rsidR="00CB0AB7" w:rsidRPr="008819BD">
              <w:rPr>
                <w:rStyle w:val="Hyperlink"/>
                <w:noProof/>
              </w:rPr>
              <w:t>4.4</w:t>
            </w:r>
            <w:r w:rsidR="00CB0AB7">
              <w:rPr>
                <w:rFonts w:cstheme="minorBidi"/>
                <w:b w:val="0"/>
                <w:bCs w:val="0"/>
                <w:noProof/>
                <w:sz w:val="24"/>
                <w:szCs w:val="24"/>
                <w:lang w:eastAsia="en-GB"/>
              </w:rPr>
              <w:tab/>
            </w:r>
            <w:r w:rsidR="00CB0AB7" w:rsidRPr="008819BD">
              <w:rPr>
                <w:rStyle w:val="Hyperlink"/>
                <w:noProof/>
              </w:rPr>
              <w:t>Relating results to hypotheses</w:t>
            </w:r>
            <w:r w:rsidR="00CB0AB7">
              <w:rPr>
                <w:noProof/>
                <w:webHidden/>
              </w:rPr>
              <w:tab/>
            </w:r>
            <w:r w:rsidR="00CB0AB7">
              <w:rPr>
                <w:noProof/>
                <w:webHidden/>
              </w:rPr>
              <w:fldChar w:fldCharType="begin"/>
            </w:r>
            <w:r w:rsidR="00CB0AB7">
              <w:rPr>
                <w:noProof/>
                <w:webHidden/>
              </w:rPr>
              <w:instrText xml:space="preserve"> PAGEREF _Toc57035928 \h </w:instrText>
            </w:r>
            <w:r w:rsidR="00CB0AB7">
              <w:rPr>
                <w:noProof/>
                <w:webHidden/>
              </w:rPr>
            </w:r>
            <w:r w:rsidR="00CB0AB7">
              <w:rPr>
                <w:noProof/>
                <w:webHidden/>
              </w:rPr>
              <w:fldChar w:fldCharType="separate"/>
            </w:r>
            <w:r w:rsidR="00CB0D8F">
              <w:rPr>
                <w:noProof/>
                <w:webHidden/>
              </w:rPr>
              <w:t>166</w:t>
            </w:r>
            <w:r w:rsidR="00CB0AB7">
              <w:rPr>
                <w:noProof/>
                <w:webHidden/>
              </w:rPr>
              <w:fldChar w:fldCharType="end"/>
            </w:r>
          </w:hyperlink>
        </w:p>
        <w:p w14:paraId="3A11DA25" w14:textId="65BA85E1" w:rsidR="00CB0AB7" w:rsidRDefault="00B568C9" w:rsidP="00CB0AB7">
          <w:pPr>
            <w:pStyle w:val="TOC2"/>
            <w:tabs>
              <w:tab w:val="left" w:pos="800"/>
              <w:tab w:val="left" w:pos="993"/>
              <w:tab w:val="right" w:leader="dot" w:pos="8779"/>
            </w:tabs>
            <w:rPr>
              <w:rFonts w:cstheme="minorBidi"/>
              <w:b w:val="0"/>
              <w:bCs w:val="0"/>
              <w:noProof/>
              <w:sz w:val="24"/>
              <w:szCs w:val="24"/>
              <w:lang w:eastAsia="en-GB"/>
            </w:rPr>
          </w:pPr>
          <w:hyperlink w:anchor="_Toc57035929" w:history="1">
            <w:r w:rsidR="00CB0AB7" w:rsidRPr="008819BD">
              <w:rPr>
                <w:rStyle w:val="Hyperlink"/>
                <w:noProof/>
              </w:rPr>
              <w:t>4.5</w:t>
            </w:r>
            <w:r w:rsidR="00CB0AB7">
              <w:rPr>
                <w:rFonts w:cstheme="minorBidi"/>
                <w:b w:val="0"/>
                <w:bCs w:val="0"/>
                <w:noProof/>
                <w:sz w:val="24"/>
                <w:szCs w:val="24"/>
                <w:lang w:eastAsia="en-GB"/>
              </w:rPr>
              <w:tab/>
            </w:r>
            <w:r w:rsidR="00CB0AB7" w:rsidRPr="008819BD">
              <w:rPr>
                <w:rStyle w:val="Hyperlink"/>
                <w:noProof/>
              </w:rPr>
              <w:t>Further analysis: Dimension reduction</w:t>
            </w:r>
            <w:r w:rsidR="00CB0AB7">
              <w:rPr>
                <w:noProof/>
                <w:webHidden/>
              </w:rPr>
              <w:tab/>
            </w:r>
            <w:r w:rsidR="00CB0AB7">
              <w:rPr>
                <w:noProof/>
                <w:webHidden/>
              </w:rPr>
              <w:fldChar w:fldCharType="begin"/>
            </w:r>
            <w:r w:rsidR="00CB0AB7">
              <w:rPr>
                <w:noProof/>
                <w:webHidden/>
              </w:rPr>
              <w:instrText xml:space="preserve"> PAGEREF _Toc57035929 \h </w:instrText>
            </w:r>
            <w:r w:rsidR="00CB0AB7">
              <w:rPr>
                <w:noProof/>
                <w:webHidden/>
              </w:rPr>
            </w:r>
            <w:r w:rsidR="00CB0AB7">
              <w:rPr>
                <w:noProof/>
                <w:webHidden/>
              </w:rPr>
              <w:fldChar w:fldCharType="separate"/>
            </w:r>
            <w:r w:rsidR="00CB0D8F">
              <w:rPr>
                <w:noProof/>
                <w:webHidden/>
              </w:rPr>
              <w:t>168</w:t>
            </w:r>
            <w:r w:rsidR="00CB0AB7">
              <w:rPr>
                <w:noProof/>
                <w:webHidden/>
              </w:rPr>
              <w:fldChar w:fldCharType="end"/>
            </w:r>
          </w:hyperlink>
        </w:p>
        <w:p w14:paraId="59EA867F" w14:textId="61745E95" w:rsidR="00CB0AB7" w:rsidRDefault="00B568C9" w:rsidP="00CB0AB7">
          <w:pPr>
            <w:pStyle w:val="TOC3"/>
            <w:tabs>
              <w:tab w:val="left" w:pos="800"/>
              <w:tab w:val="left" w:pos="993"/>
              <w:tab w:val="right" w:leader="dot" w:pos="8779"/>
            </w:tabs>
            <w:rPr>
              <w:rFonts w:cstheme="minorBidi"/>
              <w:noProof/>
              <w:sz w:val="24"/>
              <w:szCs w:val="24"/>
              <w:lang w:eastAsia="en-GB"/>
            </w:rPr>
          </w:pPr>
          <w:hyperlink w:anchor="_Toc57035930" w:history="1">
            <w:r w:rsidR="00CB0AB7" w:rsidRPr="008819BD">
              <w:rPr>
                <w:rStyle w:val="Hyperlink"/>
                <w:noProof/>
              </w:rPr>
              <w:t>I</w:t>
            </w:r>
            <w:r w:rsidR="00CB0AB7">
              <w:rPr>
                <w:rFonts w:cstheme="minorBidi"/>
                <w:noProof/>
                <w:sz w:val="24"/>
                <w:szCs w:val="24"/>
                <w:lang w:eastAsia="en-GB"/>
              </w:rPr>
              <w:tab/>
            </w:r>
            <w:r w:rsidR="00CB0AB7">
              <w:rPr>
                <w:rFonts w:cstheme="minorBidi"/>
                <w:noProof/>
                <w:sz w:val="24"/>
                <w:szCs w:val="24"/>
                <w:lang w:eastAsia="en-GB"/>
              </w:rPr>
              <w:tab/>
            </w:r>
            <w:r w:rsidR="00CB0AB7" w:rsidRPr="008819BD">
              <w:rPr>
                <w:rStyle w:val="Hyperlink"/>
                <w:noProof/>
              </w:rPr>
              <w:t>Applying dimension reduction to the ABC Scales and the Dx Profilers</w:t>
            </w:r>
            <w:r w:rsidR="00CB0AB7">
              <w:rPr>
                <w:noProof/>
                <w:webHidden/>
              </w:rPr>
              <w:tab/>
            </w:r>
            <w:r w:rsidR="00CB0AB7">
              <w:rPr>
                <w:noProof/>
                <w:webHidden/>
              </w:rPr>
              <w:fldChar w:fldCharType="begin"/>
            </w:r>
            <w:r w:rsidR="00CB0AB7">
              <w:rPr>
                <w:noProof/>
                <w:webHidden/>
              </w:rPr>
              <w:instrText xml:space="preserve"> PAGEREF _Toc57035930 \h </w:instrText>
            </w:r>
            <w:r w:rsidR="00CB0AB7">
              <w:rPr>
                <w:noProof/>
                <w:webHidden/>
              </w:rPr>
            </w:r>
            <w:r w:rsidR="00CB0AB7">
              <w:rPr>
                <w:noProof/>
                <w:webHidden/>
              </w:rPr>
              <w:fldChar w:fldCharType="separate"/>
            </w:r>
            <w:r w:rsidR="00CB0D8F">
              <w:rPr>
                <w:noProof/>
                <w:webHidden/>
              </w:rPr>
              <w:t>168</w:t>
            </w:r>
            <w:r w:rsidR="00CB0AB7">
              <w:rPr>
                <w:noProof/>
                <w:webHidden/>
              </w:rPr>
              <w:fldChar w:fldCharType="end"/>
            </w:r>
          </w:hyperlink>
        </w:p>
        <w:p w14:paraId="153693CD" w14:textId="2EBAF310" w:rsidR="00CB0AB7" w:rsidRDefault="00B568C9" w:rsidP="00CB0AB7">
          <w:pPr>
            <w:pStyle w:val="TOC3"/>
            <w:tabs>
              <w:tab w:val="left" w:pos="800"/>
              <w:tab w:val="left" w:pos="993"/>
              <w:tab w:val="right" w:leader="dot" w:pos="8779"/>
            </w:tabs>
            <w:rPr>
              <w:rFonts w:cstheme="minorBidi"/>
              <w:noProof/>
              <w:sz w:val="24"/>
              <w:szCs w:val="24"/>
              <w:lang w:eastAsia="en-GB"/>
            </w:rPr>
          </w:pPr>
          <w:hyperlink w:anchor="_Toc57035931" w:history="1">
            <w:r w:rsidR="00CB0AB7" w:rsidRPr="008819BD">
              <w:rPr>
                <w:rStyle w:val="Hyperlink"/>
                <w:rFonts w:eastAsia="Times New Roman"/>
                <w:noProof/>
                <w:lang w:eastAsia="en-GB"/>
              </w:rPr>
              <w:t>II</w:t>
            </w:r>
            <w:r w:rsidR="00CB0AB7">
              <w:rPr>
                <w:rFonts w:cstheme="minorBidi"/>
                <w:noProof/>
                <w:sz w:val="24"/>
                <w:szCs w:val="24"/>
                <w:lang w:eastAsia="en-GB"/>
              </w:rPr>
              <w:tab/>
            </w:r>
            <w:r w:rsidR="00CB0AB7">
              <w:rPr>
                <w:rFonts w:cstheme="minorBidi"/>
                <w:noProof/>
                <w:sz w:val="24"/>
                <w:szCs w:val="24"/>
                <w:lang w:eastAsia="en-GB"/>
              </w:rPr>
              <w:tab/>
            </w:r>
            <w:r w:rsidR="00CB0AB7" w:rsidRPr="008819BD">
              <w:rPr>
                <w:rStyle w:val="Hyperlink"/>
                <w:rFonts w:eastAsia="Times New Roman"/>
                <w:noProof/>
                <w:lang w:eastAsia="en-GB"/>
              </w:rPr>
              <w:t>Eigenvalue Monte Carlo Simulations</w:t>
            </w:r>
            <w:r w:rsidR="00CB0AB7">
              <w:rPr>
                <w:noProof/>
                <w:webHidden/>
              </w:rPr>
              <w:tab/>
            </w:r>
            <w:r w:rsidR="00CB0AB7">
              <w:rPr>
                <w:noProof/>
                <w:webHidden/>
              </w:rPr>
              <w:fldChar w:fldCharType="begin"/>
            </w:r>
            <w:r w:rsidR="00CB0AB7">
              <w:rPr>
                <w:noProof/>
                <w:webHidden/>
              </w:rPr>
              <w:instrText xml:space="preserve"> PAGEREF _Toc57035931 \h </w:instrText>
            </w:r>
            <w:r w:rsidR="00CB0AB7">
              <w:rPr>
                <w:noProof/>
                <w:webHidden/>
              </w:rPr>
            </w:r>
            <w:r w:rsidR="00CB0AB7">
              <w:rPr>
                <w:noProof/>
                <w:webHidden/>
              </w:rPr>
              <w:fldChar w:fldCharType="separate"/>
            </w:r>
            <w:r w:rsidR="00CB0D8F">
              <w:rPr>
                <w:noProof/>
                <w:webHidden/>
              </w:rPr>
              <w:t>170</w:t>
            </w:r>
            <w:r w:rsidR="00CB0AB7">
              <w:rPr>
                <w:noProof/>
                <w:webHidden/>
              </w:rPr>
              <w:fldChar w:fldCharType="end"/>
            </w:r>
          </w:hyperlink>
        </w:p>
        <w:p w14:paraId="69D0D4E5" w14:textId="0CF13638" w:rsidR="00CB0AB7" w:rsidRDefault="00B568C9" w:rsidP="00CB0AB7">
          <w:pPr>
            <w:pStyle w:val="TOC3"/>
            <w:tabs>
              <w:tab w:val="left" w:pos="800"/>
              <w:tab w:val="left" w:pos="993"/>
              <w:tab w:val="right" w:leader="dot" w:pos="8779"/>
            </w:tabs>
            <w:rPr>
              <w:rFonts w:cstheme="minorBidi"/>
              <w:noProof/>
              <w:sz w:val="24"/>
              <w:szCs w:val="24"/>
              <w:lang w:eastAsia="en-GB"/>
            </w:rPr>
          </w:pPr>
          <w:hyperlink w:anchor="_Toc57035932" w:history="1">
            <w:r w:rsidR="00CB0AB7" w:rsidRPr="008819BD">
              <w:rPr>
                <w:rStyle w:val="Hyperlink"/>
                <w:noProof/>
              </w:rPr>
              <w:t>III</w:t>
            </w:r>
            <w:r w:rsidR="00CB0AB7">
              <w:rPr>
                <w:rFonts w:cstheme="minorBidi"/>
                <w:noProof/>
                <w:sz w:val="24"/>
                <w:szCs w:val="24"/>
                <w:lang w:eastAsia="en-GB"/>
              </w:rPr>
              <w:tab/>
            </w:r>
            <w:r w:rsidR="00CB0AB7">
              <w:rPr>
                <w:rFonts w:cstheme="minorBidi"/>
                <w:noProof/>
                <w:sz w:val="24"/>
                <w:szCs w:val="24"/>
                <w:lang w:eastAsia="en-GB"/>
              </w:rPr>
              <w:tab/>
            </w:r>
            <w:r w:rsidR="00CB0AB7" w:rsidRPr="008819BD">
              <w:rPr>
                <w:rStyle w:val="Hyperlink"/>
                <w:noProof/>
              </w:rPr>
              <w:t>PCA on Academic Behavioural Confidence</w:t>
            </w:r>
            <w:r w:rsidR="00CB0AB7">
              <w:rPr>
                <w:noProof/>
                <w:webHidden/>
              </w:rPr>
              <w:tab/>
            </w:r>
            <w:r w:rsidR="00CB0AB7">
              <w:rPr>
                <w:noProof/>
                <w:webHidden/>
              </w:rPr>
              <w:fldChar w:fldCharType="begin"/>
            </w:r>
            <w:r w:rsidR="00CB0AB7">
              <w:rPr>
                <w:noProof/>
                <w:webHidden/>
              </w:rPr>
              <w:instrText xml:space="preserve"> PAGEREF _Toc57035932 \h </w:instrText>
            </w:r>
            <w:r w:rsidR="00CB0AB7">
              <w:rPr>
                <w:noProof/>
                <w:webHidden/>
              </w:rPr>
            </w:r>
            <w:r w:rsidR="00CB0AB7">
              <w:rPr>
                <w:noProof/>
                <w:webHidden/>
              </w:rPr>
              <w:fldChar w:fldCharType="separate"/>
            </w:r>
            <w:r w:rsidR="00CB0D8F">
              <w:rPr>
                <w:noProof/>
                <w:webHidden/>
              </w:rPr>
              <w:t>174</w:t>
            </w:r>
            <w:r w:rsidR="00CB0AB7">
              <w:rPr>
                <w:noProof/>
                <w:webHidden/>
              </w:rPr>
              <w:fldChar w:fldCharType="end"/>
            </w:r>
          </w:hyperlink>
        </w:p>
        <w:p w14:paraId="0B844297" w14:textId="053075D0" w:rsidR="00CB0AB7" w:rsidRDefault="00B568C9" w:rsidP="00CB0AB7">
          <w:pPr>
            <w:pStyle w:val="TOC3"/>
            <w:tabs>
              <w:tab w:val="left" w:pos="993"/>
              <w:tab w:val="right" w:leader="dot" w:pos="8779"/>
            </w:tabs>
            <w:rPr>
              <w:rFonts w:cstheme="minorBidi"/>
              <w:noProof/>
              <w:sz w:val="24"/>
              <w:szCs w:val="24"/>
              <w:lang w:eastAsia="en-GB"/>
            </w:rPr>
          </w:pPr>
          <w:hyperlink w:anchor="_Toc57035933" w:history="1">
            <w:r w:rsidR="00CB0AB7" w:rsidRPr="008819BD">
              <w:rPr>
                <w:rStyle w:val="Hyperlink"/>
                <w:noProof/>
              </w:rPr>
              <w:t>IV</w:t>
            </w:r>
            <w:r w:rsidR="00CB0AB7">
              <w:rPr>
                <w:rFonts w:cstheme="minorBidi"/>
                <w:noProof/>
                <w:sz w:val="24"/>
                <w:szCs w:val="24"/>
                <w:lang w:eastAsia="en-GB"/>
              </w:rPr>
              <w:tab/>
            </w:r>
            <w:r w:rsidR="00CB0AB7" w:rsidRPr="008819BD">
              <w:rPr>
                <w:rStyle w:val="Hyperlink"/>
                <w:noProof/>
              </w:rPr>
              <w:t>PCA on Dyslexia Index</w:t>
            </w:r>
            <w:r w:rsidR="00CB0AB7">
              <w:rPr>
                <w:noProof/>
                <w:webHidden/>
              </w:rPr>
              <w:tab/>
            </w:r>
            <w:r w:rsidR="00CB0AB7">
              <w:rPr>
                <w:noProof/>
                <w:webHidden/>
              </w:rPr>
              <w:fldChar w:fldCharType="begin"/>
            </w:r>
            <w:r w:rsidR="00CB0AB7">
              <w:rPr>
                <w:noProof/>
                <w:webHidden/>
              </w:rPr>
              <w:instrText xml:space="preserve"> PAGEREF _Toc57035933 \h </w:instrText>
            </w:r>
            <w:r w:rsidR="00CB0AB7">
              <w:rPr>
                <w:noProof/>
                <w:webHidden/>
              </w:rPr>
            </w:r>
            <w:r w:rsidR="00CB0AB7">
              <w:rPr>
                <w:noProof/>
                <w:webHidden/>
              </w:rPr>
              <w:fldChar w:fldCharType="separate"/>
            </w:r>
            <w:r w:rsidR="00CB0D8F">
              <w:rPr>
                <w:noProof/>
                <w:webHidden/>
              </w:rPr>
              <w:t>180</w:t>
            </w:r>
            <w:r w:rsidR="00CB0AB7">
              <w:rPr>
                <w:noProof/>
                <w:webHidden/>
              </w:rPr>
              <w:fldChar w:fldCharType="end"/>
            </w:r>
          </w:hyperlink>
        </w:p>
        <w:p w14:paraId="6BFB55D2" w14:textId="137602EC" w:rsidR="00CB0AB7" w:rsidRDefault="00B568C9" w:rsidP="00CB0AB7">
          <w:pPr>
            <w:pStyle w:val="TOC3"/>
            <w:tabs>
              <w:tab w:val="left" w:pos="800"/>
              <w:tab w:val="left" w:pos="993"/>
              <w:tab w:val="right" w:leader="dot" w:pos="8779"/>
            </w:tabs>
            <w:rPr>
              <w:rFonts w:cstheme="minorBidi"/>
              <w:noProof/>
              <w:sz w:val="24"/>
              <w:szCs w:val="24"/>
              <w:lang w:eastAsia="en-GB"/>
            </w:rPr>
          </w:pPr>
          <w:hyperlink w:anchor="_Toc57035934" w:history="1">
            <w:r w:rsidR="00CB0AB7" w:rsidRPr="008819BD">
              <w:rPr>
                <w:rStyle w:val="Hyperlink"/>
                <w:noProof/>
              </w:rPr>
              <w:t>V</w:t>
            </w:r>
            <w:r w:rsidR="00CB0AB7">
              <w:rPr>
                <w:rFonts w:cstheme="minorBidi"/>
                <w:noProof/>
                <w:sz w:val="24"/>
                <w:szCs w:val="24"/>
                <w:lang w:eastAsia="en-GB"/>
              </w:rPr>
              <w:tab/>
            </w:r>
            <w:r w:rsidR="00CB0AB7">
              <w:rPr>
                <w:rFonts w:cstheme="minorBidi"/>
                <w:noProof/>
                <w:sz w:val="24"/>
                <w:szCs w:val="24"/>
                <w:lang w:eastAsia="en-GB"/>
              </w:rPr>
              <w:tab/>
            </w:r>
            <w:r w:rsidR="00CB0AB7" w:rsidRPr="008819BD">
              <w:rPr>
                <w:rStyle w:val="Hyperlink"/>
                <w:noProof/>
              </w:rPr>
              <w:t>Comparing ABC Factor Means</w:t>
            </w:r>
            <w:r w:rsidR="00CB0AB7">
              <w:rPr>
                <w:noProof/>
                <w:webHidden/>
              </w:rPr>
              <w:tab/>
            </w:r>
            <w:r w:rsidR="00CB0AB7">
              <w:rPr>
                <w:noProof/>
                <w:webHidden/>
              </w:rPr>
              <w:fldChar w:fldCharType="begin"/>
            </w:r>
            <w:r w:rsidR="00CB0AB7">
              <w:rPr>
                <w:noProof/>
                <w:webHidden/>
              </w:rPr>
              <w:instrText xml:space="preserve"> PAGEREF _Toc57035934 \h </w:instrText>
            </w:r>
            <w:r w:rsidR="00CB0AB7">
              <w:rPr>
                <w:noProof/>
                <w:webHidden/>
              </w:rPr>
            </w:r>
            <w:r w:rsidR="00CB0AB7">
              <w:rPr>
                <w:noProof/>
                <w:webHidden/>
              </w:rPr>
              <w:fldChar w:fldCharType="separate"/>
            </w:r>
            <w:r w:rsidR="00CB0D8F">
              <w:rPr>
                <w:noProof/>
                <w:webHidden/>
              </w:rPr>
              <w:t>184</w:t>
            </w:r>
            <w:r w:rsidR="00CB0AB7">
              <w:rPr>
                <w:noProof/>
                <w:webHidden/>
              </w:rPr>
              <w:fldChar w:fldCharType="end"/>
            </w:r>
          </w:hyperlink>
        </w:p>
        <w:p w14:paraId="2418579F" w14:textId="14807029" w:rsidR="00CB0AB7" w:rsidRDefault="00B568C9" w:rsidP="00CB0AB7">
          <w:pPr>
            <w:pStyle w:val="TOC2"/>
            <w:tabs>
              <w:tab w:val="left" w:pos="800"/>
              <w:tab w:val="left" w:pos="993"/>
              <w:tab w:val="right" w:leader="dot" w:pos="8779"/>
            </w:tabs>
            <w:rPr>
              <w:rFonts w:cstheme="minorBidi"/>
              <w:b w:val="0"/>
              <w:bCs w:val="0"/>
              <w:noProof/>
              <w:sz w:val="24"/>
              <w:szCs w:val="24"/>
              <w:lang w:eastAsia="en-GB"/>
            </w:rPr>
          </w:pPr>
          <w:hyperlink w:anchor="_Toc57035935" w:history="1">
            <w:r w:rsidR="00CB0AB7" w:rsidRPr="008819BD">
              <w:rPr>
                <w:rStyle w:val="Hyperlink"/>
                <w:noProof/>
              </w:rPr>
              <w:t>4.6</w:t>
            </w:r>
            <w:r w:rsidR="00CB0AB7">
              <w:rPr>
                <w:rFonts w:cstheme="minorBidi"/>
                <w:b w:val="0"/>
                <w:bCs w:val="0"/>
                <w:noProof/>
                <w:sz w:val="24"/>
                <w:szCs w:val="24"/>
                <w:lang w:eastAsia="en-GB"/>
              </w:rPr>
              <w:tab/>
            </w:r>
            <w:r w:rsidR="00CB0AB7" w:rsidRPr="008819BD">
              <w:rPr>
                <w:rStyle w:val="Hyperlink"/>
                <w:noProof/>
              </w:rPr>
              <w:t>Applying multiple regression analysis</w:t>
            </w:r>
            <w:r w:rsidR="00CB0AB7">
              <w:rPr>
                <w:noProof/>
                <w:webHidden/>
              </w:rPr>
              <w:tab/>
            </w:r>
            <w:r w:rsidR="00CB0AB7">
              <w:rPr>
                <w:noProof/>
                <w:webHidden/>
              </w:rPr>
              <w:fldChar w:fldCharType="begin"/>
            </w:r>
            <w:r w:rsidR="00CB0AB7">
              <w:rPr>
                <w:noProof/>
                <w:webHidden/>
              </w:rPr>
              <w:instrText xml:space="preserve"> PAGEREF _Toc57035935 \h </w:instrText>
            </w:r>
            <w:r w:rsidR="00CB0AB7">
              <w:rPr>
                <w:noProof/>
                <w:webHidden/>
              </w:rPr>
            </w:r>
            <w:r w:rsidR="00CB0AB7">
              <w:rPr>
                <w:noProof/>
                <w:webHidden/>
              </w:rPr>
              <w:fldChar w:fldCharType="separate"/>
            </w:r>
            <w:r w:rsidR="00CB0D8F">
              <w:rPr>
                <w:noProof/>
                <w:webHidden/>
              </w:rPr>
              <w:t>189</w:t>
            </w:r>
            <w:r w:rsidR="00CB0AB7">
              <w:rPr>
                <w:noProof/>
                <w:webHidden/>
              </w:rPr>
              <w:fldChar w:fldCharType="end"/>
            </w:r>
          </w:hyperlink>
        </w:p>
        <w:p w14:paraId="54E62BD4" w14:textId="2911052D" w:rsidR="00CB0AB7" w:rsidRDefault="00B568C9" w:rsidP="00CB0AB7">
          <w:pPr>
            <w:pStyle w:val="TOC1"/>
            <w:tabs>
              <w:tab w:val="left" w:pos="400"/>
              <w:tab w:val="left" w:pos="993"/>
              <w:tab w:val="right" w:leader="dot" w:pos="8779"/>
            </w:tabs>
            <w:rPr>
              <w:rFonts w:cstheme="minorBidi"/>
              <w:b w:val="0"/>
              <w:bCs w:val="0"/>
              <w:i w:val="0"/>
              <w:iCs w:val="0"/>
              <w:noProof/>
              <w:lang w:eastAsia="en-GB"/>
            </w:rPr>
          </w:pPr>
          <w:hyperlink w:anchor="_Toc57035936" w:history="1">
            <w:r w:rsidR="00CB0AB7" w:rsidRPr="008819BD">
              <w:rPr>
                <w:rStyle w:val="Hyperlink"/>
                <w:noProof/>
              </w:rPr>
              <w:t>5</w:t>
            </w:r>
            <w:r w:rsidR="00CB0AB7">
              <w:rPr>
                <w:rFonts w:cstheme="minorBidi"/>
                <w:b w:val="0"/>
                <w:bCs w:val="0"/>
                <w:i w:val="0"/>
                <w:iCs w:val="0"/>
                <w:noProof/>
                <w:lang w:eastAsia="en-GB"/>
              </w:rPr>
              <w:tab/>
            </w:r>
            <w:r w:rsidR="00CB0AB7" w:rsidRPr="008819BD">
              <w:rPr>
                <w:rStyle w:val="Hyperlink"/>
                <w:noProof/>
              </w:rPr>
              <w:t>Discussion</w:t>
            </w:r>
            <w:r w:rsidR="00CB0AB7">
              <w:rPr>
                <w:noProof/>
                <w:webHidden/>
              </w:rPr>
              <w:tab/>
            </w:r>
            <w:r w:rsidR="00CB0AB7">
              <w:rPr>
                <w:noProof/>
                <w:webHidden/>
              </w:rPr>
              <w:fldChar w:fldCharType="begin"/>
            </w:r>
            <w:r w:rsidR="00CB0AB7">
              <w:rPr>
                <w:noProof/>
                <w:webHidden/>
              </w:rPr>
              <w:instrText xml:space="preserve"> PAGEREF _Toc57035936 \h </w:instrText>
            </w:r>
            <w:r w:rsidR="00CB0AB7">
              <w:rPr>
                <w:noProof/>
                <w:webHidden/>
              </w:rPr>
            </w:r>
            <w:r w:rsidR="00CB0AB7">
              <w:rPr>
                <w:noProof/>
                <w:webHidden/>
              </w:rPr>
              <w:fldChar w:fldCharType="separate"/>
            </w:r>
            <w:r w:rsidR="00CB0D8F">
              <w:rPr>
                <w:noProof/>
                <w:webHidden/>
              </w:rPr>
              <w:t>194</w:t>
            </w:r>
            <w:r w:rsidR="00CB0AB7">
              <w:rPr>
                <w:noProof/>
                <w:webHidden/>
              </w:rPr>
              <w:fldChar w:fldCharType="end"/>
            </w:r>
          </w:hyperlink>
        </w:p>
        <w:p w14:paraId="1D2C3F48" w14:textId="202C6758" w:rsidR="00CB0AB7" w:rsidRDefault="00B568C9" w:rsidP="00CB0AB7">
          <w:pPr>
            <w:pStyle w:val="TOC2"/>
            <w:tabs>
              <w:tab w:val="left" w:pos="800"/>
              <w:tab w:val="left" w:pos="993"/>
              <w:tab w:val="right" w:leader="dot" w:pos="8779"/>
            </w:tabs>
            <w:rPr>
              <w:rFonts w:cstheme="minorBidi"/>
              <w:b w:val="0"/>
              <w:bCs w:val="0"/>
              <w:noProof/>
              <w:sz w:val="24"/>
              <w:szCs w:val="24"/>
              <w:lang w:eastAsia="en-GB"/>
            </w:rPr>
          </w:pPr>
          <w:hyperlink w:anchor="_Toc57035937" w:history="1">
            <w:r w:rsidR="00CB0AB7" w:rsidRPr="008819BD">
              <w:rPr>
                <w:rStyle w:val="Hyperlink"/>
                <w:noProof/>
              </w:rPr>
              <w:t>5.1</w:t>
            </w:r>
            <w:r w:rsidR="00CB0AB7">
              <w:rPr>
                <w:rFonts w:cstheme="minorBidi"/>
                <w:b w:val="0"/>
                <w:bCs w:val="0"/>
                <w:noProof/>
                <w:sz w:val="24"/>
                <w:szCs w:val="24"/>
                <w:lang w:eastAsia="en-GB"/>
              </w:rPr>
              <w:tab/>
            </w:r>
            <w:r w:rsidR="00CB0AB7" w:rsidRPr="008819BD">
              <w:rPr>
                <w:rStyle w:val="Hyperlink"/>
                <w:noProof/>
              </w:rPr>
              <w:t>Context of the enquiry</w:t>
            </w:r>
            <w:r w:rsidR="00CB0AB7">
              <w:rPr>
                <w:noProof/>
                <w:webHidden/>
              </w:rPr>
              <w:tab/>
            </w:r>
            <w:r w:rsidR="00CB0AB7">
              <w:rPr>
                <w:noProof/>
                <w:webHidden/>
              </w:rPr>
              <w:fldChar w:fldCharType="begin"/>
            </w:r>
            <w:r w:rsidR="00CB0AB7">
              <w:rPr>
                <w:noProof/>
                <w:webHidden/>
              </w:rPr>
              <w:instrText xml:space="preserve"> PAGEREF _Toc57035937 \h </w:instrText>
            </w:r>
            <w:r w:rsidR="00CB0AB7">
              <w:rPr>
                <w:noProof/>
                <w:webHidden/>
              </w:rPr>
            </w:r>
            <w:r w:rsidR="00CB0AB7">
              <w:rPr>
                <w:noProof/>
                <w:webHidden/>
              </w:rPr>
              <w:fldChar w:fldCharType="separate"/>
            </w:r>
            <w:r w:rsidR="00CB0D8F">
              <w:rPr>
                <w:noProof/>
                <w:webHidden/>
              </w:rPr>
              <w:t>195</w:t>
            </w:r>
            <w:r w:rsidR="00CB0AB7">
              <w:rPr>
                <w:noProof/>
                <w:webHidden/>
              </w:rPr>
              <w:fldChar w:fldCharType="end"/>
            </w:r>
          </w:hyperlink>
        </w:p>
        <w:p w14:paraId="458469C6" w14:textId="73691C41" w:rsidR="00CB0AB7" w:rsidRDefault="00B568C9" w:rsidP="00CB0AB7">
          <w:pPr>
            <w:pStyle w:val="TOC2"/>
            <w:tabs>
              <w:tab w:val="left" w:pos="800"/>
              <w:tab w:val="left" w:pos="993"/>
              <w:tab w:val="right" w:leader="dot" w:pos="8779"/>
            </w:tabs>
            <w:rPr>
              <w:rFonts w:cstheme="minorBidi"/>
              <w:b w:val="0"/>
              <w:bCs w:val="0"/>
              <w:noProof/>
              <w:sz w:val="24"/>
              <w:szCs w:val="24"/>
              <w:lang w:eastAsia="en-GB"/>
            </w:rPr>
          </w:pPr>
          <w:hyperlink w:anchor="_Toc57035938" w:history="1">
            <w:r w:rsidR="00CB0AB7" w:rsidRPr="008819BD">
              <w:rPr>
                <w:rStyle w:val="Hyperlink"/>
                <w:noProof/>
              </w:rPr>
              <w:t>5.2</w:t>
            </w:r>
            <w:r w:rsidR="00CB0AB7">
              <w:rPr>
                <w:rFonts w:cstheme="minorBidi"/>
                <w:b w:val="0"/>
                <w:bCs w:val="0"/>
                <w:noProof/>
                <w:sz w:val="24"/>
                <w:szCs w:val="24"/>
                <w:lang w:eastAsia="en-GB"/>
              </w:rPr>
              <w:tab/>
            </w:r>
            <w:r w:rsidR="00CB0AB7" w:rsidRPr="008819BD">
              <w:rPr>
                <w:rStyle w:val="Hyperlink"/>
                <w:noProof/>
              </w:rPr>
              <w:t>Summary of the outcomes</w:t>
            </w:r>
            <w:r w:rsidR="00CB0AB7">
              <w:rPr>
                <w:noProof/>
                <w:webHidden/>
              </w:rPr>
              <w:tab/>
            </w:r>
            <w:r w:rsidR="00CB0AB7">
              <w:rPr>
                <w:noProof/>
                <w:webHidden/>
              </w:rPr>
              <w:fldChar w:fldCharType="begin"/>
            </w:r>
            <w:r w:rsidR="00CB0AB7">
              <w:rPr>
                <w:noProof/>
                <w:webHidden/>
              </w:rPr>
              <w:instrText xml:space="preserve"> PAGEREF _Toc57035938 \h </w:instrText>
            </w:r>
            <w:r w:rsidR="00CB0AB7">
              <w:rPr>
                <w:noProof/>
                <w:webHidden/>
              </w:rPr>
            </w:r>
            <w:r w:rsidR="00CB0AB7">
              <w:rPr>
                <w:noProof/>
                <w:webHidden/>
              </w:rPr>
              <w:fldChar w:fldCharType="separate"/>
            </w:r>
            <w:r w:rsidR="00CB0D8F">
              <w:rPr>
                <w:noProof/>
                <w:webHidden/>
              </w:rPr>
              <w:t>200</w:t>
            </w:r>
            <w:r w:rsidR="00CB0AB7">
              <w:rPr>
                <w:noProof/>
                <w:webHidden/>
              </w:rPr>
              <w:fldChar w:fldCharType="end"/>
            </w:r>
          </w:hyperlink>
        </w:p>
        <w:p w14:paraId="03DAA8C0" w14:textId="067A1715" w:rsidR="00CB0AB7" w:rsidRDefault="00B568C9" w:rsidP="00CB0AB7">
          <w:pPr>
            <w:pStyle w:val="TOC3"/>
            <w:tabs>
              <w:tab w:val="left" w:pos="800"/>
              <w:tab w:val="left" w:pos="993"/>
              <w:tab w:val="right" w:leader="dot" w:pos="8779"/>
            </w:tabs>
            <w:rPr>
              <w:rFonts w:cstheme="minorBidi"/>
              <w:noProof/>
              <w:sz w:val="24"/>
              <w:szCs w:val="24"/>
              <w:lang w:eastAsia="en-GB"/>
            </w:rPr>
          </w:pPr>
          <w:hyperlink w:anchor="_Toc57035939" w:history="1">
            <w:r w:rsidR="00CB0AB7" w:rsidRPr="008819BD">
              <w:rPr>
                <w:rStyle w:val="Hyperlink"/>
                <w:rFonts w:eastAsia="Times New Roman"/>
                <w:noProof/>
                <w:lang w:eastAsia="en-GB"/>
              </w:rPr>
              <w:t>I</w:t>
            </w:r>
            <w:r w:rsidR="00CB0AB7">
              <w:rPr>
                <w:rFonts w:cstheme="minorBidi"/>
                <w:noProof/>
                <w:sz w:val="24"/>
                <w:szCs w:val="24"/>
                <w:lang w:eastAsia="en-GB"/>
              </w:rPr>
              <w:tab/>
            </w:r>
            <w:r w:rsidR="00CB0AB7">
              <w:rPr>
                <w:rFonts w:cstheme="minorBidi"/>
                <w:noProof/>
                <w:sz w:val="24"/>
                <w:szCs w:val="24"/>
                <w:lang w:eastAsia="en-GB"/>
              </w:rPr>
              <w:tab/>
            </w:r>
            <w:r w:rsidR="00CB0AB7" w:rsidRPr="008819BD">
              <w:rPr>
                <w:rStyle w:val="Hyperlink"/>
                <w:rFonts w:eastAsia="Times New Roman"/>
                <w:noProof/>
                <w:lang w:eastAsia="en-GB"/>
              </w:rPr>
              <w:t>Composition of the datapool</w:t>
            </w:r>
            <w:r w:rsidR="00CB0AB7">
              <w:rPr>
                <w:noProof/>
                <w:webHidden/>
              </w:rPr>
              <w:tab/>
            </w:r>
            <w:r w:rsidR="00CB0AB7">
              <w:rPr>
                <w:noProof/>
                <w:webHidden/>
              </w:rPr>
              <w:fldChar w:fldCharType="begin"/>
            </w:r>
            <w:r w:rsidR="00CB0AB7">
              <w:rPr>
                <w:noProof/>
                <w:webHidden/>
              </w:rPr>
              <w:instrText xml:space="preserve"> PAGEREF _Toc57035939 \h </w:instrText>
            </w:r>
            <w:r w:rsidR="00CB0AB7">
              <w:rPr>
                <w:noProof/>
                <w:webHidden/>
              </w:rPr>
            </w:r>
            <w:r w:rsidR="00CB0AB7">
              <w:rPr>
                <w:noProof/>
                <w:webHidden/>
              </w:rPr>
              <w:fldChar w:fldCharType="separate"/>
            </w:r>
            <w:r w:rsidR="00CB0D8F">
              <w:rPr>
                <w:noProof/>
                <w:webHidden/>
              </w:rPr>
              <w:t>200</w:t>
            </w:r>
            <w:r w:rsidR="00CB0AB7">
              <w:rPr>
                <w:noProof/>
                <w:webHidden/>
              </w:rPr>
              <w:fldChar w:fldCharType="end"/>
            </w:r>
          </w:hyperlink>
        </w:p>
        <w:p w14:paraId="76887CBA" w14:textId="6581914A" w:rsidR="00CB0AB7" w:rsidRDefault="00B568C9" w:rsidP="00CB0AB7">
          <w:pPr>
            <w:pStyle w:val="TOC3"/>
            <w:tabs>
              <w:tab w:val="left" w:pos="800"/>
              <w:tab w:val="left" w:pos="993"/>
              <w:tab w:val="right" w:leader="dot" w:pos="8779"/>
            </w:tabs>
            <w:rPr>
              <w:rFonts w:cstheme="minorBidi"/>
              <w:noProof/>
              <w:sz w:val="24"/>
              <w:szCs w:val="24"/>
              <w:lang w:eastAsia="en-GB"/>
            </w:rPr>
          </w:pPr>
          <w:hyperlink w:anchor="_Toc57035940" w:history="1">
            <w:r w:rsidR="00CB0AB7" w:rsidRPr="008819BD">
              <w:rPr>
                <w:rStyle w:val="Hyperlink"/>
                <w:rFonts w:eastAsia="Times New Roman"/>
                <w:noProof/>
                <w:lang w:eastAsia="en-GB"/>
              </w:rPr>
              <w:t>II</w:t>
            </w:r>
            <w:r w:rsidR="00CB0AB7">
              <w:rPr>
                <w:rFonts w:cstheme="minorBidi"/>
                <w:noProof/>
                <w:sz w:val="24"/>
                <w:szCs w:val="24"/>
                <w:lang w:eastAsia="en-GB"/>
              </w:rPr>
              <w:tab/>
            </w:r>
            <w:r w:rsidR="00CB0AB7">
              <w:rPr>
                <w:rFonts w:cstheme="minorBidi"/>
                <w:noProof/>
                <w:sz w:val="24"/>
                <w:szCs w:val="24"/>
                <w:lang w:eastAsia="en-GB"/>
              </w:rPr>
              <w:tab/>
            </w:r>
            <w:r w:rsidR="00CB0AB7" w:rsidRPr="008819BD">
              <w:rPr>
                <w:rStyle w:val="Hyperlink"/>
                <w:rFonts w:eastAsia="Times New Roman"/>
                <w:noProof/>
                <w:lang w:eastAsia="en-GB"/>
              </w:rPr>
              <w:t>Prevalence of dyslexia in this current study</w:t>
            </w:r>
            <w:r w:rsidR="00CB0AB7">
              <w:rPr>
                <w:noProof/>
                <w:webHidden/>
              </w:rPr>
              <w:tab/>
            </w:r>
            <w:r w:rsidR="00CB0AB7">
              <w:rPr>
                <w:noProof/>
                <w:webHidden/>
              </w:rPr>
              <w:fldChar w:fldCharType="begin"/>
            </w:r>
            <w:r w:rsidR="00CB0AB7">
              <w:rPr>
                <w:noProof/>
                <w:webHidden/>
              </w:rPr>
              <w:instrText xml:space="preserve"> PAGEREF _Toc57035940 \h </w:instrText>
            </w:r>
            <w:r w:rsidR="00CB0AB7">
              <w:rPr>
                <w:noProof/>
                <w:webHidden/>
              </w:rPr>
            </w:r>
            <w:r w:rsidR="00CB0AB7">
              <w:rPr>
                <w:noProof/>
                <w:webHidden/>
              </w:rPr>
              <w:fldChar w:fldCharType="separate"/>
            </w:r>
            <w:r w:rsidR="00CB0D8F">
              <w:rPr>
                <w:noProof/>
                <w:webHidden/>
              </w:rPr>
              <w:t>201</w:t>
            </w:r>
            <w:r w:rsidR="00CB0AB7">
              <w:rPr>
                <w:noProof/>
                <w:webHidden/>
              </w:rPr>
              <w:fldChar w:fldCharType="end"/>
            </w:r>
          </w:hyperlink>
        </w:p>
        <w:p w14:paraId="6D25E780" w14:textId="30A18030" w:rsidR="00CB0AB7" w:rsidRDefault="00B568C9" w:rsidP="00CB0AB7">
          <w:pPr>
            <w:pStyle w:val="TOC3"/>
            <w:tabs>
              <w:tab w:val="left" w:pos="800"/>
              <w:tab w:val="left" w:pos="993"/>
              <w:tab w:val="right" w:leader="dot" w:pos="8779"/>
            </w:tabs>
            <w:rPr>
              <w:rFonts w:cstheme="minorBidi"/>
              <w:noProof/>
              <w:sz w:val="24"/>
              <w:szCs w:val="24"/>
              <w:lang w:eastAsia="en-GB"/>
            </w:rPr>
          </w:pPr>
          <w:hyperlink w:anchor="_Toc57035941" w:history="1">
            <w:r w:rsidR="00CB0AB7" w:rsidRPr="008819BD">
              <w:rPr>
                <w:rStyle w:val="Hyperlink"/>
                <w:rFonts w:eastAsia="Times New Roman"/>
                <w:noProof/>
                <w:lang w:eastAsia="en-GB"/>
              </w:rPr>
              <w:t>III</w:t>
            </w:r>
            <w:r w:rsidR="00CB0AB7">
              <w:rPr>
                <w:rFonts w:cstheme="minorBidi"/>
                <w:noProof/>
                <w:sz w:val="24"/>
                <w:szCs w:val="24"/>
                <w:lang w:eastAsia="en-GB"/>
              </w:rPr>
              <w:tab/>
            </w:r>
            <w:r w:rsidR="00CB0AB7">
              <w:rPr>
                <w:rFonts w:cstheme="minorBidi"/>
                <w:noProof/>
                <w:sz w:val="24"/>
                <w:szCs w:val="24"/>
                <w:lang w:eastAsia="en-GB"/>
              </w:rPr>
              <w:tab/>
            </w:r>
            <w:r w:rsidR="00CB0AB7" w:rsidRPr="008819BD">
              <w:rPr>
                <w:rStyle w:val="Hyperlink"/>
                <w:rFonts w:eastAsia="Times New Roman"/>
                <w:noProof/>
                <w:lang w:eastAsia="en-GB"/>
              </w:rPr>
              <w:t>The relationships between dyslexia-ness and academic confidence</w:t>
            </w:r>
            <w:r w:rsidR="00CB0AB7">
              <w:rPr>
                <w:noProof/>
                <w:webHidden/>
              </w:rPr>
              <w:tab/>
            </w:r>
            <w:r w:rsidR="00CB0AB7">
              <w:rPr>
                <w:noProof/>
                <w:webHidden/>
              </w:rPr>
              <w:fldChar w:fldCharType="begin"/>
            </w:r>
            <w:r w:rsidR="00CB0AB7">
              <w:rPr>
                <w:noProof/>
                <w:webHidden/>
              </w:rPr>
              <w:instrText xml:space="preserve"> PAGEREF _Toc57035941 \h </w:instrText>
            </w:r>
            <w:r w:rsidR="00CB0AB7">
              <w:rPr>
                <w:noProof/>
                <w:webHidden/>
              </w:rPr>
            </w:r>
            <w:r w:rsidR="00CB0AB7">
              <w:rPr>
                <w:noProof/>
                <w:webHidden/>
              </w:rPr>
              <w:fldChar w:fldCharType="separate"/>
            </w:r>
            <w:r w:rsidR="00CB0D8F">
              <w:rPr>
                <w:noProof/>
                <w:webHidden/>
              </w:rPr>
              <w:t>202</w:t>
            </w:r>
            <w:r w:rsidR="00CB0AB7">
              <w:rPr>
                <w:noProof/>
                <w:webHidden/>
              </w:rPr>
              <w:fldChar w:fldCharType="end"/>
            </w:r>
          </w:hyperlink>
        </w:p>
        <w:p w14:paraId="622F041F" w14:textId="451F85CF" w:rsidR="00CB0AB7" w:rsidRDefault="00B568C9" w:rsidP="00CB0AB7">
          <w:pPr>
            <w:pStyle w:val="TOC3"/>
            <w:tabs>
              <w:tab w:val="left" w:pos="993"/>
              <w:tab w:val="right" w:leader="dot" w:pos="8779"/>
            </w:tabs>
            <w:rPr>
              <w:rFonts w:cstheme="minorBidi"/>
              <w:noProof/>
              <w:sz w:val="24"/>
              <w:szCs w:val="24"/>
              <w:lang w:eastAsia="en-GB"/>
            </w:rPr>
          </w:pPr>
          <w:hyperlink w:anchor="_Toc57035942" w:history="1">
            <w:r w:rsidR="00CB0AB7" w:rsidRPr="008819BD">
              <w:rPr>
                <w:rStyle w:val="Hyperlink"/>
                <w:noProof/>
              </w:rPr>
              <w:t>IV</w:t>
            </w:r>
            <w:r w:rsidR="00CB0AB7">
              <w:rPr>
                <w:rFonts w:cstheme="minorBidi"/>
                <w:noProof/>
                <w:sz w:val="24"/>
                <w:szCs w:val="24"/>
                <w:lang w:eastAsia="en-GB"/>
              </w:rPr>
              <w:tab/>
            </w:r>
            <w:r w:rsidR="00CB0AB7" w:rsidRPr="008819BD">
              <w:rPr>
                <w:rStyle w:val="Hyperlink"/>
                <w:noProof/>
              </w:rPr>
              <w:t>Diagnosing dyslexia: Does this impact significantly on academic confidence?</w:t>
            </w:r>
            <w:r w:rsidR="00CB0AB7">
              <w:rPr>
                <w:noProof/>
                <w:webHidden/>
              </w:rPr>
              <w:tab/>
            </w:r>
            <w:r w:rsidR="00CB0AB7">
              <w:rPr>
                <w:noProof/>
                <w:webHidden/>
              </w:rPr>
              <w:fldChar w:fldCharType="begin"/>
            </w:r>
            <w:r w:rsidR="00CB0AB7">
              <w:rPr>
                <w:noProof/>
                <w:webHidden/>
              </w:rPr>
              <w:instrText xml:space="preserve"> PAGEREF _Toc57035942 \h </w:instrText>
            </w:r>
            <w:r w:rsidR="00CB0AB7">
              <w:rPr>
                <w:noProof/>
                <w:webHidden/>
              </w:rPr>
            </w:r>
            <w:r w:rsidR="00CB0AB7">
              <w:rPr>
                <w:noProof/>
                <w:webHidden/>
              </w:rPr>
              <w:fldChar w:fldCharType="separate"/>
            </w:r>
            <w:r w:rsidR="00CB0D8F">
              <w:rPr>
                <w:noProof/>
                <w:webHidden/>
              </w:rPr>
              <w:t>204</w:t>
            </w:r>
            <w:r w:rsidR="00CB0AB7">
              <w:rPr>
                <w:noProof/>
                <w:webHidden/>
              </w:rPr>
              <w:fldChar w:fldCharType="end"/>
            </w:r>
          </w:hyperlink>
        </w:p>
        <w:p w14:paraId="40BE0562" w14:textId="41CD899E" w:rsidR="00CB0AB7" w:rsidRDefault="00B568C9" w:rsidP="00CB0AB7">
          <w:pPr>
            <w:pStyle w:val="TOC1"/>
            <w:tabs>
              <w:tab w:val="left" w:pos="400"/>
              <w:tab w:val="left" w:pos="993"/>
              <w:tab w:val="right" w:leader="dot" w:pos="8779"/>
            </w:tabs>
            <w:rPr>
              <w:rFonts w:cstheme="minorBidi"/>
              <w:b w:val="0"/>
              <w:bCs w:val="0"/>
              <w:i w:val="0"/>
              <w:iCs w:val="0"/>
              <w:noProof/>
              <w:lang w:eastAsia="en-GB"/>
            </w:rPr>
          </w:pPr>
          <w:hyperlink w:anchor="_Toc57035943" w:history="1">
            <w:r w:rsidR="00CB0AB7" w:rsidRPr="008819BD">
              <w:rPr>
                <w:rStyle w:val="Hyperlink"/>
                <w:noProof/>
              </w:rPr>
              <w:t>6</w:t>
            </w:r>
            <w:r w:rsidR="00CB0AB7">
              <w:rPr>
                <w:rFonts w:cstheme="minorBidi"/>
                <w:b w:val="0"/>
                <w:bCs w:val="0"/>
                <w:i w:val="0"/>
                <w:iCs w:val="0"/>
                <w:noProof/>
                <w:lang w:eastAsia="en-GB"/>
              </w:rPr>
              <w:tab/>
            </w:r>
            <w:r w:rsidR="00CB0AB7" w:rsidRPr="008819BD">
              <w:rPr>
                <w:rStyle w:val="Hyperlink"/>
                <w:noProof/>
              </w:rPr>
              <w:t>Conclusions and Reflections</w:t>
            </w:r>
            <w:r w:rsidR="00CB0AB7">
              <w:rPr>
                <w:noProof/>
                <w:webHidden/>
              </w:rPr>
              <w:tab/>
            </w:r>
            <w:r w:rsidR="00CB0AB7">
              <w:rPr>
                <w:noProof/>
                <w:webHidden/>
              </w:rPr>
              <w:fldChar w:fldCharType="begin"/>
            </w:r>
            <w:r w:rsidR="00CB0AB7">
              <w:rPr>
                <w:noProof/>
                <w:webHidden/>
              </w:rPr>
              <w:instrText xml:space="preserve"> PAGEREF _Toc57035943 \h </w:instrText>
            </w:r>
            <w:r w:rsidR="00CB0AB7">
              <w:rPr>
                <w:noProof/>
                <w:webHidden/>
              </w:rPr>
            </w:r>
            <w:r w:rsidR="00CB0AB7">
              <w:rPr>
                <w:noProof/>
                <w:webHidden/>
              </w:rPr>
              <w:fldChar w:fldCharType="separate"/>
            </w:r>
            <w:r w:rsidR="00CB0D8F">
              <w:rPr>
                <w:noProof/>
                <w:webHidden/>
              </w:rPr>
              <w:t>210</w:t>
            </w:r>
            <w:r w:rsidR="00CB0AB7">
              <w:rPr>
                <w:noProof/>
                <w:webHidden/>
              </w:rPr>
              <w:fldChar w:fldCharType="end"/>
            </w:r>
          </w:hyperlink>
        </w:p>
        <w:p w14:paraId="54E15E90" w14:textId="36ABC32F" w:rsidR="00CB0AB7" w:rsidRDefault="00B568C9" w:rsidP="00CB0AB7">
          <w:pPr>
            <w:pStyle w:val="TOC2"/>
            <w:tabs>
              <w:tab w:val="left" w:pos="800"/>
              <w:tab w:val="left" w:pos="993"/>
              <w:tab w:val="right" w:leader="dot" w:pos="8779"/>
            </w:tabs>
            <w:rPr>
              <w:rFonts w:cstheme="minorBidi"/>
              <w:b w:val="0"/>
              <w:bCs w:val="0"/>
              <w:noProof/>
              <w:sz w:val="24"/>
              <w:szCs w:val="24"/>
              <w:lang w:eastAsia="en-GB"/>
            </w:rPr>
          </w:pPr>
          <w:hyperlink w:anchor="_Toc57035944" w:history="1">
            <w:r w:rsidR="00CB0AB7" w:rsidRPr="008819BD">
              <w:rPr>
                <w:rStyle w:val="Hyperlink"/>
                <w:noProof/>
              </w:rPr>
              <w:t>6.1</w:t>
            </w:r>
            <w:r w:rsidR="00CB0AB7">
              <w:rPr>
                <w:rFonts w:cstheme="minorBidi"/>
                <w:b w:val="0"/>
                <w:bCs w:val="0"/>
                <w:noProof/>
                <w:sz w:val="24"/>
                <w:szCs w:val="24"/>
                <w:lang w:eastAsia="en-GB"/>
              </w:rPr>
              <w:tab/>
            </w:r>
            <w:r w:rsidR="00CB0AB7" w:rsidRPr="008819BD">
              <w:rPr>
                <w:rStyle w:val="Hyperlink"/>
                <w:noProof/>
              </w:rPr>
              <w:t>Summarizing the purpose of the research ...</w:t>
            </w:r>
            <w:r w:rsidR="00CB0AB7">
              <w:rPr>
                <w:noProof/>
                <w:webHidden/>
              </w:rPr>
              <w:tab/>
            </w:r>
            <w:r w:rsidR="00CB0AB7">
              <w:rPr>
                <w:noProof/>
                <w:webHidden/>
              </w:rPr>
              <w:fldChar w:fldCharType="begin"/>
            </w:r>
            <w:r w:rsidR="00CB0AB7">
              <w:rPr>
                <w:noProof/>
                <w:webHidden/>
              </w:rPr>
              <w:instrText xml:space="preserve"> PAGEREF _Toc57035944 \h </w:instrText>
            </w:r>
            <w:r w:rsidR="00CB0AB7">
              <w:rPr>
                <w:noProof/>
                <w:webHidden/>
              </w:rPr>
            </w:r>
            <w:r w:rsidR="00CB0AB7">
              <w:rPr>
                <w:noProof/>
                <w:webHidden/>
              </w:rPr>
              <w:fldChar w:fldCharType="separate"/>
            </w:r>
            <w:r w:rsidR="00CB0D8F">
              <w:rPr>
                <w:noProof/>
                <w:webHidden/>
              </w:rPr>
              <w:t>211</w:t>
            </w:r>
            <w:r w:rsidR="00CB0AB7">
              <w:rPr>
                <w:noProof/>
                <w:webHidden/>
              </w:rPr>
              <w:fldChar w:fldCharType="end"/>
            </w:r>
          </w:hyperlink>
        </w:p>
        <w:p w14:paraId="64F58B9C" w14:textId="673EC3A5" w:rsidR="00CB0AB7" w:rsidRDefault="00B568C9" w:rsidP="00CB0AB7">
          <w:pPr>
            <w:pStyle w:val="TOC3"/>
            <w:tabs>
              <w:tab w:val="left" w:pos="993"/>
              <w:tab w:val="right" w:leader="dot" w:pos="8779"/>
            </w:tabs>
            <w:rPr>
              <w:rFonts w:cstheme="minorBidi"/>
              <w:noProof/>
              <w:sz w:val="24"/>
              <w:szCs w:val="24"/>
              <w:lang w:eastAsia="en-GB"/>
            </w:rPr>
          </w:pPr>
          <w:hyperlink w:anchor="_Toc57035945" w:history="1">
            <w:r w:rsidR="00CB0AB7" w:rsidRPr="008819BD">
              <w:rPr>
                <w:rStyle w:val="Hyperlink"/>
                <w:noProof/>
              </w:rPr>
              <w:t>... and reflecting on the wider implications</w:t>
            </w:r>
            <w:r w:rsidR="00CB0AB7">
              <w:rPr>
                <w:noProof/>
                <w:webHidden/>
              </w:rPr>
              <w:tab/>
            </w:r>
            <w:r w:rsidR="00CB0AB7">
              <w:rPr>
                <w:noProof/>
                <w:webHidden/>
              </w:rPr>
              <w:fldChar w:fldCharType="begin"/>
            </w:r>
            <w:r w:rsidR="00CB0AB7">
              <w:rPr>
                <w:noProof/>
                <w:webHidden/>
              </w:rPr>
              <w:instrText xml:space="preserve"> PAGEREF _Toc57035945 \h </w:instrText>
            </w:r>
            <w:r w:rsidR="00CB0AB7">
              <w:rPr>
                <w:noProof/>
                <w:webHidden/>
              </w:rPr>
            </w:r>
            <w:r w:rsidR="00CB0AB7">
              <w:rPr>
                <w:noProof/>
                <w:webHidden/>
              </w:rPr>
              <w:fldChar w:fldCharType="separate"/>
            </w:r>
            <w:r w:rsidR="00CB0D8F">
              <w:rPr>
                <w:noProof/>
                <w:webHidden/>
              </w:rPr>
              <w:t>211</w:t>
            </w:r>
            <w:r w:rsidR="00CB0AB7">
              <w:rPr>
                <w:noProof/>
                <w:webHidden/>
              </w:rPr>
              <w:fldChar w:fldCharType="end"/>
            </w:r>
          </w:hyperlink>
        </w:p>
        <w:p w14:paraId="3AF9BC95" w14:textId="380518B2" w:rsidR="00CB0AB7" w:rsidRDefault="00B568C9" w:rsidP="00CB0AB7">
          <w:pPr>
            <w:pStyle w:val="TOC2"/>
            <w:tabs>
              <w:tab w:val="left" w:pos="800"/>
              <w:tab w:val="left" w:pos="993"/>
              <w:tab w:val="right" w:leader="dot" w:pos="8779"/>
            </w:tabs>
            <w:rPr>
              <w:rFonts w:cstheme="minorBidi"/>
              <w:b w:val="0"/>
              <w:bCs w:val="0"/>
              <w:noProof/>
              <w:sz w:val="24"/>
              <w:szCs w:val="24"/>
              <w:lang w:eastAsia="en-GB"/>
            </w:rPr>
          </w:pPr>
          <w:hyperlink w:anchor="_Toc57035946" w:history="1">
            <w:r w:rsidR="00CB0AB7" w:rsidRPr="008819BD">
              <w:rPr>
                <w:rStyle w:val="Hyperlink"/>
                <w:noProof/>
              </w:rPr>
              <w:t>6.2</w:t>
            </w:r>
            <w:r w:rsidR="00CB0AB7">
              <w:rPr>
                <w:rFonts w:cstheme="minorBidi"/>
                <w:b w:val="0"/>
                <w:bCs w:val="0"/>
                <w:noProof/>
                <w:sz w:val="24"/>
                <w:szCs w:val="24"/>
                <w:lang w:eastAsia="en-GB"/>
              </w:rPr>
              <w:tab/>
            </w:r>
            <w:r w:rsidR="00CB0AB7" w:rsidRPr="008819BD">
              <w:rPr>
                <w:rStyle w:val="Hyperlink"/>
                <w:noProof/>
              </w:rPr>
              <w:t>Summarizing the research outcomes</w:t>
            </w:r>
            <w:r w:rsidR="00CB0AB7">
              <w:rPr>
                <w:noProof/>
                <w:webHidden/>
              </w:rPr>
              <w:tab/>
            </w:r>
            <w:r w:rsidR="00CB0AB7">
              <w:rPr>
                <w:noProof/>
                <w:webHidden/>
              </w:rPr>
              <w:fldChar w:fldCharType="begin"/>
            </w:r>
            <w:r w:rsidR="00CB0AB7">
              <w:rPr>
                <w:noProof/>
                <w:webHidden/>
              </w:rPr>
              <w:instrText xml:space="preserve"> PAGEREF _Toc57035946 \h </w:instrText>
            </w:r>
            <w:r w:rsidR="00CB0AB7">
              <w:rPr>
                <w:noProof/>
                <w:webHidden/>
              </w:rPr>
            </w:r>
            <w:r w:rsidR="00CB0AB7">
              <w:rPr>
                <w:noProof/>
                <w:webHidden/>
              </w:rPr>
              <w:fldChar w:fldCharType="separate"/>
            </w:r>
            <w:r w:rsidR="00CB0D8F">
              <w:rPr>
                <w:noProof/>
                <w:webHidden/>
              </w:rPr>
              <w:t>214</w:t>
            </w:r>
            <w:r w:rsidR="00CB0AB7">
              <w:rPr>
                <w:noProof/>
                <w:webHidden/>
              </w:rPr>
              <w:fldChar w:fldCharType="end"/>
            </w:r>
          </w:hyperlink>
        </w:p>
        <w:p w14:paraId="19C482F6" w14:textId="15F7895A" w:rsidR="00CB0AB7" w:rsidRDefault="00B568C9" w:rsidP="00CB0AB7">
          <w:pPr>
            <w:pStyle w:val="TOC2"/>
            <w:tabs>
              <w:tab w:val="left" w:pos="800"/>
              <w:tab w:val="left" w:pos="993"/>
              <w:tab w:val="right" w:leader="dot" w:pos="8779"/>
            </w:tabs>
            <w:rPr>
              <w:rFonts w:cstheme="minorBidi"/>
              <w:b w:val="0"/>
              <w:bCs w:val="0"/>
              <w:noProof/>
              <w:sz w:val="24"/>
              <w:szCs w:val="24"/>
              <w:lang w:eastAsia="en-GB"/>
            </w:rPr>
          </w:pPr>
          <w:hyperlink w:anchor="_Toc57035947" w:history="1">
            <w:r w:rsidR="00CB0AB7" w:rsidRPr="008819BD">
              <w:rPr>
                <w:rStyle w:val="Hyperlink"/>
                <w:noProof/>
              </w:rPr>
              <w:t>6.3</w:t>
            </w:r>
            <w:r w:rsidR="00CB0AB7">
              <w:rPr>
                <w:rFonts w:cstheme="minorBidi"/>
                <w:b w:val="0"/>
                <w:bCs w:val="0"/>
                <w:noProof/>
                <w:sz w:val="24"/>
                <w:szCs w:val="24"/>
                <w:lang w:eastAsia="en-GB"/>
              </w:rPr>
              <w:tab/>
            </w:r>
            <w:r w:rsidR="00CB0AB7" w:rsidRPr="008819BD">
              <w:rPr>
                <w:rStyle w:val="Hyperlink"/>
                <w:noProof/>
              </w:rPr>
              <w:t>Limitations of the research</w:t>
            </w:r>
            <w:r w:rsidR="00CB0AB7">
              <w:rPr>
                <w:noProof/>
                <w:webHidden/>
              </w:rPr>
              <w:tab/>
            </w:r>
            <w:r w:rsidR="00CB0AB7">
              <w:rPr>
                <w:noProof/>
                <w:webHidden/>
              </w:rPr>
              <w:fldChar w:fldCharType="begin"/>
            </w:r>
            <w:r w:rsidR="00CB0AB7">
              <w:rPr>
                <w:noProof/>
                <w:webHidden/>
              </w:rPr>
              <w:instrText xml:space="preserve"> PAGEREF _Toc57035947 \h </w:instrText>
            </w:r>
            <w:r w:rsidR="00CB0AB7">
              <w:rPr>
                <w:noProof/>
                <w:webHidden/>
              </w:rPr>
            </w:r>
            <w:r w:rsidR="00CB0AB7">
              <w:rPr>
                <w:noProof/>
                <w:webHidden/>
              </w:rPr>
              <w:fldChar w:fldCharType="separate"/>
            </w:r>
            <w:r w:rsidR="00CB0D8F">
              <w:rPr>
                <w:noProof/>
                <w:webHidden/>
              </w:rPr>
              <w:t>215</w:t>
            </w:r>
            <w:r w:rsidR="00CB0AB7">
              <w:rPr>
                <w:noProof/>
                <w:webHidden/>
              </w:rPr>
              <w:fldChar w:fldCharType="end"/>
            </w:r>
          </w:hyperlink>
        </w:p>
        <w:p w14:paraId="22E0E140" w14:textId="41D23238" w:rsidR="00CB0AB7" w:rsidRDefault="00B568C9" w:rsidP="00CB0AB7">
          <w:pPr>
            <w:pStyle w:val="TOC3"/>
            <w:tabs>
              <w:tab w:val="left" w:pos="800"/>
              <w:tab w:val="left" w:pos="993"/>
              <w:tab w:val="right" w:leader="dot" w:pos="8779"/>
            </w:tabs>
            <w:rPr>
              <w:rFonts w:cstheme="minorBidi"/>
              <w:noProof/>
              <w:sz w:val="24"/>
              <w:szCs w:val="24"/>
              <w:lang w:eastAsia="en-GB"/>
            </w:rPr>
          </w:pPr>
          <w:hyperlink w:anchor="_Toc57035948" w:history="1">
            <w:r w:rsidR="00CB0AB7" w:rsidRPr="008819BD">
              <w:rPr>
                <w:rStyle w:val="Hyperlink"/>
                <w:rFonts w:eastAsia="Times New Roman"/>
                <w:noProof/>
                <w:lang w:eastAsia="en-GB"/>
              </w:rPr>
              <w:t>I</w:t>
            </w:r>
            <w:r w:rsidR="00CB0AB7">
              <w:rPr>
                <w:rFonts w:cstheme="minorBidi"/>
                <w:noProof/>
                <w:sz w:val="24"/>
                <w:szCs w:val="24"/>
                <w:lang w:eastAsia="en-GB"/>
              </w:rPr>
              <w:tab/>
            </w:r>
            <w:r w:rsidR="00CB0AB7">
              <w:rPr>
                <w:rFonts w:cstheme="minorBidi"/>
                <w:noProof/>
                <w:sz w:val="24"/>
                <w:szCs w:val="24"/>
                <w:lang w:eastAsia="en-GB"/>
              </w:rPr>
              <w:tab/>
            </w:r>
            <w:r w:rsidR="00CB0AB7" w:rsidRPr="008819BD">
              <w:rPr>
                <w:rStyle w:val="Hyperlink"/>
                <w:rFonts w:eastAsia="Times New Roman"/>
                <w:noProof/>
                <w:lang w:eastAsia="en-GB"/>
              </w:rPr>
              <w:t>Scale limitations</w:t>
            </w:r>
            <w:r w:rsidR="00CB0AB7">
              <w:rPr>
                <w:noProof/>
                <w:webHidden/>
              </w:rPr>
              <w:tab/>
            </w:r>
            <w:r w:rsidR="00CB0AB7">
              <w:rPr>
                <w:noProof/>
                <w:webHidden/>
              </w:rPr>
              <w:fldChar w:fldCharType="begin"/>
            </w:r>
            <w:r w:rsidR="00CB0AB7">
              <w:rPr>
                <w:noProof/>
                <w:webHidden/>
              </w:rPr>
              <w:instrText xml:space="preserve"> PAGEREF _Toc57035948 \h </w:instrText>
            </w:r>
            <w:r w:rsidR="00CB0AB7">
              <w:rPr>
                <w:noProof/>
                <w:webHidden/>
              </w:rPr>
            </w:r>
            <w:r w:rsidR="00CB0AB7">
              <w:rPr>
                <w:noProof/>
                <w:webHidden/>
              </w:rPr>
              <w:fldChar w:fldCharType="separate"/>
            </w:r>
            <w:r w:rsidR="00CB0D8F">
              <w:rPr>
                <w:noProof/>
                <w:webHidden/>
              </w:rPr>
              <w:t>216</w:t>
            </w:r>
            <w:r w:rsidR="00CB0AB7">
              <w:rPr>
                <w:noProof/>
                <w:webHidden/>
              </w:rPr>
              <w:fldChar w:fldCharType="end"/>
            </w:r>
          </w:hyperlink>
        </w:p>
        <w:p w14:paraId="282E0B79" w14:textId="359020A0" w:rsidR="00CB0AB7" w:rsidRDefault="00B568C9" w:rsidP="00CB0AB7">
          <w:pPr>
            <w:pStyle w:val="TOC3"/>
            <w:tabs>
              <w:tab w:val="left" w:pos="800"/>
              <w:tab w:val="left" w:pos="993"/>
              <w:tab w:val="right" w:leader="dot" w:pos="8779"/>
            </w:tabs>
            <w:rPr>
              <w:rFonts w:cstheme="minorBidi"/>
              <w:noProof/>
              <w:sz w:val="24"/>
              <w:szCs w:val="24"/>
              <w:lang w:eastAsia="en-GB"/>
            </w:rPr>
          </w:pPr>
          <w:hyperlink w:anchor="_Toc57035949" w:history="1">
            <w:r w:rsidR="00CB0AB7" w:rsidRPr="008819BD">
              <w:rPr>
                <w:rStyle w:val="Hyperlink"/>
                <w:noProof/>
                <w:lang w:eastAsia="en-GB"/>
              </w:rPr>
              <w:t>II</w:t>
            </w:r>
            <w:r w:rsidR="00CB0AB7">
              <w:rPr>
                <w:rFonts w:cstheme="minorBidi"/>
                <w:noProof/>
                <w:sz w:val="24"/>
                <w:szCs w:val="24"/>
                <w:lang w:eastAsia="en-GB"/>
              </w:rPr>
              <w:tab/>
            </w:r>
            <w:r w:rsidR="00CB0AB7">
              <w:rPr>
                <w:rFonts w:cstheme="minorBidi"/>
                <w:noProof/>
                <w:sz w:val="24"/>
                <w:szCs w:val="24"/>
                <w:lang w:eastAsia="en-GB"/>
              </w:rPr>
              <w:tab/>
            </w:r>
            <w:r w:rsidR="00CB0AB7" w:rsidRPr="008819BD">
              <w:rPr>
                <w:rStyle w:val="Hyperlink"/>
                <w:noProof/>
                <w:lang w:eastAsia="en-GB"/>
              </w:rPr>
              <w:t>Data collection, sampling and datapool limitations; measuring issues</w:t>
            </w:r>
            <w:r w:rsidR="00CB0AB7">
              <w:rPr>
                <w:noProof/>
                <w:webHidden/>
              </w:rPr>
              <w:tab/>
            </w:r>
            <w:r w:rsidR="00CB0AB7">
              <w:rPr>
                <w:noProof/>
                <w:webHidden/>
              </w:rPr>
              <w:fldChar w:fldCharType="begin"/>
            </w:r>
            <w:r w:rsidR="00CB0AB7">
              <w:rPr>
                <w:noProof/>
                <w:webHidden/>
              </w:rPr>
              <w:instrText xml:space="preserve"> PAGEREF _Toc57035949 \h </w:instrText>
            </w:r>
            <w:r w:rsidR="00CB0AB7">
              <w:rPr>
                <w:noProof/>
                <w:webHidden/>
              </w:rPr>
            </w:r>
            <w:r w:rsidR="00CB0AB7">
              <w:rPr>
                <w:noProof/>
                <w:webHidden/>
              </w:rPr>
              <w:fldChar w:fldCharType="separate"/>
            </w:r>
            <w:r w:rsidR="00CB0D8F">
              <w:rPr>
                <w:noProof/>
                <w:webHidden/>
              </w:rPr>
              <w:t>218</w:t>
            </w:r>
            <w:r w:rsidR="00CB0AB7">
              <w:rPr>
                <w:noProof/>
                <w:webHidden/>
              </w:rPr>
              <w:fldChar w:fldCharType="end"/>
            </w:r>
          </w:hyperlink>
        </w:p>
        <w:p w14:paraId="097AF5C8" w14:textId="37BC9335" w:rsidR="00CB0AB7" w:rsidRDefault="00B568C9" w:rsidP="00CB0AB7">
          <w:pPr>
            <w:pStyle w:val="TOC2"/>
            <w:tabs>
              <w:tab w:val="left" w:pos="800"/>
              <w:tab w:val="left" w:pos="993"/>
              <w:tab w:val="right" w:leader="dot" w:pos="8779"/>
            </w:tabs>
            <w:rPr>
              <w:rFonts w:cstheme="minorBidi"/>
              <w:b w:val="0"/>
              <w:bCs w:val="0"/>
              <w:noProof/>
              <w:sz w:val="24"/>
              <w:szCs w:val="24"/>
              <w:lang w:eastAsia="en-GB"/>
            </w:rPr>
          </w:pPr>
          <w:hyperlink w:anchor="_Toc57035950" w:history="1">
            <w:r w:rsidR="00CB0AB7" w:rsidRPr="008819BD">
              <w:rPr>
                <w:rStyle w:val="Hyperlink"/>
                <w:noProof/>
              </w:rPr>
              <w:t>6.4</w:t>
            </w:r>
            <w:r w:rsidR="00CB0AB7">
              <w:rPr>
                <w:rFonts w:cstheme="minorBidi"/>
                <w:b w:val="0"/>
                <w:bCs w:val="0"/>
                <w:noProof/>
                <w:sz w:val="24"/>
                <w:szCs w:val="24"/>
                <w:lang w:eastAsia="en-GB"/>
              </w:rPr>
              <w:tab/>
            </w:r>
            <w:r w:rsidR="00CB0AB7" w:rsidRPr="008819BD">
              <w:rPr>
                <w:rStyle w:val="Hyperlink"/>
                <w:noProof/>
              </w:rPr>
              <w:t>Directions for future research</w:t>
            </w:r>
            <w:r w:rsidR="00CB0AB7">
              <w:rPr>
                <w:noProof/>
                <w:webHidden/>
              </w:rPr>
              <w:tab/>
            </w:r>
            <w:r w:rsidR="00CB0AB7">
              <w:rPr>
                <w:noProof/>
                <w:webHidden/>
              </w:rPr>
              <w:fldChar w:fldCharType="begin"/>
            </w:r>
            <w:r w:rsidR="00CB0AB7">
              <w:rPr>
                <w:noProof/>
                <w:webHidden/>
              </w:rPr>
              <w:instrText xml:space="preserve"> PAGEREF _Toc57035950 \h </w:instrText>
            </w:r>
            <w:r w:rsidR="00CB0AB7">
              <w:rPr>
                <w:noProof/>
                <w:webHidden/>
              </w:rPr>
            </w:r>
            <w:r w:rsidR="00CB0AB7">
              <w:rPr>
                <w:noProof/>
                <w:webHidden/>
              </w:rPr>
              <w:fldChar w:fldCharType="separate"/>
            </w:r>
            <w:r w:rsidR="00CB0D8F">
              <w:rPr>
                <w:noProof/>
                <w:webHidden/>
              </w:rPr>
              <w:t>220</w:t>
            </w:r>
            <w:r w:rsidR="00CB0AB7">
              <w:rPr>
                <w:noProof/>
                <w:webHidden/>
              </w:rPr>
              <w:fldChar w:fldCharType="end"/>
            </w:r>
          </w:hyperlink>
        </w:p>
        <w:p w14:paraId="4D339E72" w14:textId="550F8395" w:rsidR="00CB0AB7" w:rsidRDefault="00B568C9" w:rsidP="00CB0AB7">
          <w:pPr>
            <w:pStyle w:val="TOC2"/>
            <w:tabs>
              <w:tab w:val="left" w:pos="800"/>
              <w:tab w:val="left" w:pos="993"/>
              <w:tab w:val="right" w:leader="dot" w:pos="8779"/>
            </w:tabs>
            <w:rPr>
              <w:rFonts w:cstheme="minorBidi"/>
              <w:b w:val="0"/>
              <w:bCs w:val="0"/>
              <w:noProof/>
              <w:sz w:val="24"/>
              <w:szCs w:val="24"/>
              <w:lang w:eastAsia="en-GB"/>
            </w:rPr>
          </w:pPr>
          <w:hyperlink w:anchor="_Toc57035951" w:history="1">
            <w:r w:rsidR="00CB0AB7" w:rsidRPr="008819BD">
              <w:rPr>
                <w:rStyle w:val="Hyperlink"/>
                <w:noProof/>
              </w:rPr>
              <w:t>6.5</w:t>
            </w:r>
            <w:r w:rsidR="00CB0AB7">
              <w:rPr>
                <w:rFonts w:cstheme="minorBidi"/>
                <w:b w:val="0"/>
                <w:bCs w:val="0"/>
                <w:noProof/>
                <w:sz w:val="24"/>
                <w:szCs w:val="24"/>
                <w:lang w:eastAsia="en-GB"/>
              </w:rPr>
              <w:tab/>
            </w:r>
            <w:r w:rsidR="00CB0AB7" w:rsidRPr="008819BD">
              <w:rPr>
                <w:rStyle w:val="Hyperlink"/>
                <w:noProof/>
              </w:rPr>
              <w:t>Concluding remarks</w:t>
            </w:r>
            <w:r w:rsidR="00CB0AB7">
              <w:rPr>
                <w:noProof/>
                <w:webHidden/>
              </w:rPr>
              <w:tab/>
            </w:r>
            <w:r w:rsidR="00CB0AB7">
              <w:rPr>
                <w:noProof/>
                <w:webHidden/>
              </w:rPr>
              <w:fldChar w:fldCharType="begin"/>
            </w:r>
            <w:r w:rsidR="00CB0AB7">
              <w:rPr>
                <w:noProof/>
                <w:webHidden/>
              </w:rPr>
              <w:instrText xml:space="preserve"> PAGEREF _Toc57035951 \h </w:instrText>
            </w:r>
            <w:r w:rsidR="00CB0AB7">
              <w:rPr>
                <w:noProof/>
                <w:webHidden/>
              </w:rPr>
            </w:r>
            <w:r w:rsidR="00CB0AB7">
              <w:rPr>
                <w:noProof/>
                <w:webHidden/>
              </w:rPr>
              <w:fldChar w:fldCharType="separate"/>
            </w:r>
            <w:r w:rsidR="00CB0D8F">
              <w:rPr>
                <w:noProof/>
                <w:webHidden/>
              </w:rPr>
              <w:t>222</w:t>
            </w:r>
            <w:r w:rsidR="00CB0AB7">
              <w:rPr>
                <w:noProof/>
                <w:webHidden/>
              </w:rPr>
              <w:fldChar w:fldCharType="end"/>
            </w:r>
          </w:hyperlink>
        </w:p>
        <w:p w14:paraId="50525C5F" w14:textId="4342F7D7" w:rsidR="00CB0AB7" w:rsidRDefault="00B568C9" w:rsidP="00CB0AB7">
          <w:pPr>
            <w:pStyle w:val="TOC1"/>
            <w:tabs>
              <w:tab w:val="left" w:pos="400"/>
              <w:tab w:val="left" w:pos="993"/>
              <w:tab w:val="right" w:leader="dot" w:pos="8779"/>
            </w:tabs>
            <w:rPr>
              <w:rFonts w:cstheme="minorBidi"/>
              <w:b w:val="0"/>
              <w:bCs w:val="0"/>
              <w:i w:val="0"/>
              <w:iCs w:val="0"/>
              <w:noProof/>
              <w:lang w:eastAsia="en-GB"/>
            </w:rPr>
          </w:pPr>
          <w:hyperlink w:anchor="_Toc57035952" w:history="1">
            <w:r w:rsidR="00CB0AB7" w:rsidRPr="008819BD">
              <w:rPr>
                <w:rStyle w:val="Hyperlink"/>
                <w:noProof/>
              </w:rPr>
              <w:t>7</w:t>
            </w:r>
            <w:r w:rsidR="00CB0AB7">
              <w:rPr>
                <w:rFonts w:cstheme="minorBidi"/>
                <w:b w:val="0"/>
                <w:bCs w:val="0"/>
                <w:i w:val="0"/>
                <w:iCs w:val="0"/>
                <w:noProof/>
                <w:lang w:eastAsia="en-GB"/>
              </w:rPr>
              <w:tab/>
            </w:r>
            <w:r w:rsidR="00CB0AB7" w:rsidRPr="008819BD">
              <w:rPr>
                <w:rStyle w:val="Hyperlink"/>
                <w:noProof/>
              </w:rPr>
              <w:t>References</w:t>
            </w:r>
            <w:r w:rsidR="00CB0AB7">
              <w:rPr>
                <w:noProof/>
                <w:webHidden/>
              </w:rPr>
              <w:tab/>
            </w:r>
            <w:r w:rsidR="00CB0AB7">
              <w:rPr>
                <w:noProof/>
                <w:webHidden/>
              </w:rPr>
              <w:fldChar w:fldCharType="begin"/>
            </w:r>
            <w:r w:rsidR="00CB0AB7">
              <w:rPr>
                <w:noProof/>
                <w:webHidden/>
              </w:rPr>
              <w:instrText xml:space="preserve"> PAGEREF _Toc57035952 \h </w:instrText>
            </w:r>
            <w:r w:rsidR="00CB0AB7">
              <w:rPr>
                <w:noProof/>
                <w:webHidden/>
              </w:rPr>
            </w:r>
            <w:r w:rsidR="00CB0AB7">
              <w:rPr>
                <w:noProof/>
                <w:webHidden/>
              </w:rPr>
              <w:fldChar w:fldCharType="separate"/>
            </w:r>
            <w:r w:rsidR="00CB0D8F">
              <w:rPr>
                <w:noProof/>
                <w:webHidden/>
              </w:rPr>
              <w:t>226</w:t>
            </w:r>
            <w:r w:rsidR="00CB0AB7">
              <w:rPr>
                <w:noProof/>
                <w:webHidden/>
              </w:rPr>
              <w:fldChar w:fldCharType="end"/>
            </w:r>
          </w:hyperlink>
        </w:p>
        <w:p w14:paraId="02AE8401" w14:textId="54762927" w:rsidR="00CB0AB7" w:rsidRDefault="00B568C9" w:rsidP="00CB0AB7">
          <w:pPr>
            <w:pStyle w:val="TOC1"/>
            <w:tabs>
              <w:tab w:val="left" w:pos="400"/>
              <w:tab w:val="left" w:pos="993"/>
              <w:tab w:val="right" w:leader="dot" w:pos="8779"/>
            </w:tabs>
            <w:rPr>
              <w:rFonts w:cstheme="minorBidi"/>
              <w:b w:val="0"/>
              <w:bCs w:val="0"/>
              <w:i w:val="0"/>
              <w:iCs w:val="0"/>
              <w:noProof/>
              <w:lang w:eastAsia="en-GB"/>
            </w:rPr>
          </w:pPr>
          <w:hyperlink w:anchor="_Toc57035953" w:history="1">
            <w:r w:rsidR="00CB0AB7" w:rsidRPr="008819BD">
              <w:rPr>
                <w:rStyle w:val="Hyperlink"/>
                <w:noProof/>
              </w:rPr>
              <w:t>8</w:t>
            </w:r>
            <w:r w:rsidR="00CB0AB7">
              <w:rPr>
                <w:rFonts w:cstheme="minorBidi"/>
                <w:b w:val="0"/>
                <w:bCs w:val="0"/>
                <w:i w:val="0"/>
                <w:iCs w:val="0"/>
                <w:noProof/>
                <w:lang w:eastAsia="en-GB"/>
              </w:rPr>
              <w:tab/>
            </w:r>
            <w:r w:rsidR="00CB0AB7" w:rsidRPr="008819BD">
              <w:rPr>
                <w:rStyle w:val="Hyperlink"/>
                <w:noProof/>
              </w:rPr>
              <w:t>Appendices</w:t>
            </w:r>
            <w:r w:rsidR="00CB0AB7">
              <w:rPr>
                <w:noProof/>
                <w:webHidden/>
              </w:rPr>
              <w:tab/>
            </w:r>
            <w:r w:rsidR="00CB0AB7">
              <w:rPr>
                <w:noProof/>
                <w:webHidden/>
              </w:rPr>
              <w:fldChar w:fldCharType="begin"/>
            </w:r>
            <w:r w:rsidR="00CB0AB7">
              <w:rPr>
                <w:noProof/>
                <w:webHidden/>
              </w:rPr>
              <w:instrText xml:space="preserve"> PAGEREF _Toc57035953 \h </w:instrText>
            </w:r>
            <w:r w:rsidR="00CB0AB7">
              <w:rPr>
                <w:noProof/>
                <w:webHidden/>
              </w:rPr>
            </w:r>
            <w:r w:rsidR="00CB0AB7">
              <w:rPr>
                <w:noProof/>
                <w:webHidden/>
              </w:rPr>
              <w:fldChar w:fldCharType="separate"/>
            </w:r>
            <w:r w:rsidR="00CB0D8F">
              <w:rPr>
                <w:noProof/>
                <w:webHidden/>
              </w:rPr>
              <w:t>271</w:t>
            </w:r>
            <w:r w:rsidR="00CB0AB7">
              <w:rPr>
                <w:noProof/>
                <w:webHidden/>
              </w:rPr>
              <w:fldChar w:fldCharType="end"/>
            </w:r>
          </w:hyperlink>
        </w:p>
        <w:p w14:paraId="7C0AC585" w14:textId="2B2EAB3E" w:rsidR="00CB0AB7" w:rsidRDefault="00B568C9" w:rsidP="00CB0AB7">
          <w:pPr>
            <w:pStyle w:val="TOC2"/>
            <w:tabs>
              <w:tab w:val="left" w:pos="800"/>
              <w:tab w:val="left" w:pos="993"/>
              <w:tab w:val="right" w:leader="dot" w:pos="8779"/>
            </w:tabs>
            <w:rPr>
              <w:rFonts w:cstheme="minorBidi"/>
              <w:b w:val="0"/>
              <w:bCs w:val="0"/>
              <w:noProof/>
              <w:sz w:val="24"/>
              <w:szCs w:val="24"/>
              <w:lang w:eastAsia="en-GB"/>
            </w:rPr>
          </w:pPr>
          <w:hyperlink w:anchor="_Toc57035954" w:history="1">
            <w:r w:rsidR="00CB0AB7" w:rsidRPr="008819BD">
              <w:rPr>
                <w:rStyle w:val="Hyperlink"/>
                <w:noProof/>
              </w:rPr>
              <w:t>8.1</w:t>
            </w:r>
            <w:r w:rsidR="00CB0AB7">
              <w:rPr>
                <w:rFonts w:cstheme="minorBidi"/>
                <w:b w:val="0"/>
                <w:bCs w:val="0"/>
                <w:noProof/>
                <w:sz w:val="24"/>
                <w:szCs w:val="24"/>
                <w:lang w:eastAsia="en-GB"/>
              </w:rPr>
              <w:tab/>
            </w:r>
            <w:r w:rsidR="00CB0AB7" w:rsidRPr="008819BD">
              <w:rPr>
                <w:rStyle w:val="Hyperlink"/>
                <w:noProof/>
              </w:rPr>
              <w:t>The Research Questionnaire (qnr)</w:t>
            </w:r>
            <w:r w:rsidR="00CB0AB7">
              <w:rPr>
                <w:noProof/>
                <w:webHidden/>
              </w:rPr>
              <w:tab/>
            </w:r>
            <w:r w:rsidR="00CB0AB7">
              <w:rPr>
                <w:noProof/>
                <w:webHidden/>
              </w:rPr>
              <w:fldChar w:fldCharType="begin"/>
            </w:r>
            <w:r w:rsidR="00CB0AB7">
              <w:rPr>
                <w:noProof/>
                <w:webHidden/>
              </w:rPr>
              <w:instrText xml:space="preserve"> PAGEREF _Toc57035954 \h </w:instrText>
            </w:r>
            <w:r w:rsidR="00CB0AB7">
              <w:rPr>
                <w:noProof/>
                <w:webHidden/>
              </w:rPr>
            </w:r>
            <w:r w:rsidR="00CB0AB7">
              <w:rPr>
                <w:noProof/>
                <w:webHidden/>
              </w:rPr>
              <w:fldChar w:fldCharType="separate"/>
            </w:r>
            <w:r w:rsidR="00CB0D8F">
              <w:rPr>
                <w:noProof/>
                <w:webHidden/>
              </w:rPr>
              <w:t>271</w:t>
            </w:r>
            <w:r w:rsidR="00CB0AB7">
              <w:rPr>
                <w:noProof/>
                <w:webHidden/>
              </w:rPr>
              <w:fldChar w:fldCharType="end"/>
            </w:r>
          </w:hyperlink>
        </w:p>
        <w:p w14:paraId="44487123" w14:textId="386E5FD1" w:rsidR="00CB0AB7" w:rsidRDefault="00B568C9" w:rsidP="00CB0AB7">
          <w:pPr>
            <w:pStyle w:val="TOC3"/>
            <w:tabs>
              <w:tab w:val="left" w:pos="800"/>
              <w:tab w:val="left" w:pos="993"/>
              <w:tab w:val="right" w:leader="dot" w:pos="8779"/>
            </w:tabs>
            <w:rPr>
              <w:rFonts w:cstheme="minorBidi"/>
              <w:noProof/>
              <w:sz w:val="24"/>
              <w:szCs w:val="24"/>
              <w:lang w:eastAsia="en-GB"/>
            </w:rPr>
          </w:pPr>
          <w:hyperlink w:anchor="_Toc57035955" w:history="1">
            <w:r w:rsidR="00CB0AB7" w:rsidRPr="008819BD">
              <w:rPr>
                <w:rStyle w:val="Hyperlink"/>
                <w:noProof/>
              </w:rPr>
              <w:t>I</w:t>
            </w:r>
            <w:r w:rsidR="00CB0AB7">
              <w:rPr>
                <w:rFonts w:cstheme="minorBidi"/>
                <w:noProof/>
                <w:sz w:val="24"/>
                <w:szCs w:val="24"/>
                <w:lang w:eastAsia="en-GB"/>
              </w:rPr>
              <w:tab/>
            </w:r>
            <w:r w:rsidR="00CB0AB7">
              <w:rPr>
                <w:rFonts w:cstheme="minorBidi"/>
                <w:noProof/>
                <w:sz w:val="24"/>
                <w:szCs w:val="24"/>
                <w:lang w:eastAsia="en-GB"/>
              </w:rPr>
              <w:tab/>
            </w:r>
            <w:r w:rsidR="00CB0AB7" w:rsidRPr="008819BD">
              <w:rPr>
                <w:rStyle w:val="Hyperlink"/>
                <w:noProof/>
              </w:rPr>
              <w:t>QNR Preliminary information</w:t>
            </w:r>
            <w:r w:rsidR="00CB0AB7">
              <w:rPr>
                <w:noProof/>
                <w:webHidden/>
              </w:rPr>
              <w:tab/>
            </w:r>
            <w:r w:rsidR="00CB0AB7">
              <w:rPr>
                <w:noProof/>
                <w:webHidden/>
              </w:rPr>
              <w:fldChar w:fldCharType="begin"/>
            </w:r>
            <w:r w:rsidR="00CB0AB7">
              <w:rPr>
                <w:noProof/>
                <w:webHidden/>
              </w:rPr>
              <w:instrText xml:space="preserve"> PAGEREF _Toc57035955 \h </w:instrText>
            </w:r>
            <w:r w:rsidR="00CB0AB7">
              <w:rPr>
                <w:noProof/>
                <w:webHidden/>
              </w:rPr>
            </w:r>
            <w:r w:rsidR="00CB0AB7">
              <w:rPr>
                <w:noProof/>
                <w:webHidden/>
              </w:rPr>
              <w:fldChar w:fldCharType="separate"/>
            </w:r>
            <w:r w:rsidR="00CB0D8F">
              <w:rPr>
                <w:noProof/>
                <w:webHidden/>
              </w:rPr>
              <w:t>272</w:t>
            </w:r>
            <w:r w:rsidR="00CB0AB7">
              <w:rPr>
                <w:noProof/>
                <w:webHidden/>
              </w:rPr>
              <w:fldChar w:fldCharType="end"/>
            </w:r>
          </w:hyperlink>
        </w:p>
        <w:p w14:paraId="2A2912D3" w14:textId="397ED979" w:rsidR="00CB0AB7" w:rsidRDefault="00B568C9" w:rsidP="00CB0AB7">
          <w:pPr>
            <w:pStyle w:val="TOC3"/>
            <w:tabs>
              <w:tab w:val="left" w:pos="800"/>
              <w:tab w:val="left" w:pos="993"/>
              <w:tab w:val="right" w:leader="dot" w:pos="8779"/>
            </w:tabs>
            <w:rPr>
              <w:rFonts w:cstheme="minorBidi"/>
              <w:noProof/>
              <w:sz w:val="24"/>
              <w:szCs w:val="24"/>
              <w:lang w:eastAsia="en-GB"/>
            </w:rPr>
          </w:pPr>
          <w:hyperlink w:anchor="_Toc57035956" w:history="1">
            <w:r w:rsidR="00CB0AB7" w:rsidRPr="008819BD">
              <w:rPr>
                <w:rStyle w:val="Hyperlink"/>
                <w:noProof/>
              </w:rPr>
              <w:t>II</w:t>
            </w:r>
            <w:r w:rsidR="00CB0AB7">
              <w:rPr>
                <w:rFonts w:cstheme="minorBidi"/>
                <w:noProof/>
                <w:sz w:val="24"/>
                <w:szCs w:val="24"/>
                <w:lang w:eastAsia="en-GB"/>
              </w:rPr>
              <w:tab/>
            </w:r>
            <w:r w:rsidR="00CB0AB7">
              <w:rPr>
                <w:rFonts w:cstheme="minorBidi"/>
                <w:noProof/>
                <w:sz w:val="24"/>
                <w:szCs w:val="24"/>
                <w:lang w:eastAsia="en-GB"/>
              </w:rPr>
              <w:tab/>
            </w:r>
            <w:r w:rsidR="00CB0AB7" w:rsidRPr="008819BD">
              <w:rPr>
                <w:rStyle w:val="Hyperlink"/>
                <w:noProof/>
              </w:rPr>
              <w:t>The Research Questionnaire</w:t>
            </w:r>
            <w:r w:rsidR="00CB0AB7">
              <w:rPr>
                <w:noProof/>
                <w:webHidden/>
              </w:rPr>
              <w:tab/>
            </w:r>
            <w:r w:rsidR="00CB0AB7">
              <w:rPr>
                <w:noProof/>
                <w:webHidden/>
              </w:rPr>
              <w:fldChar w:fldCharType="begin"/>
            </w:r>
            <w:r w:rsidR="00CB0AB7">
              <w:rPr>
                <w:noProof/>
                <w:webHidden/>
              </w:rPr>
              <w:instrText xml:space="preserve"> PAGEREF _Toc57035956 \h </w:instrText>
            </w:r>
            <w:r w:rsidR="00CB0AB7">
              <w:rPr>
                <w:noProof/>
                <w:webHidden/>
              </w:rPr>
            </w:r>
            <w:r w:rsidR="00CB0AB7">
              <w:rPr>
                <w:noProof/>
                <w:webHidden/>
              </w:rPr>
              <w:fldChar w:fldCharType="separate"/>
            </w:r>
            <w:r w:rsidR="00CB0D8F">
              <w:rPr>
                <w:noProof/>
                <w:webHidden/>
              </w:rPr>
              <w:t>274</w:t>
            </w:r>
            <w:r w:rsidR="00CB0AB7">
              <w:rPr>
                <w:noProof/>
                <w:webHidden/>
              </w:rPr>
              <w:fldChar w:fldCharType="end"/>
            </w:r>
          </w:hyperlink>
        </w:p>
        <w:p w14:paraId="04C3EA98" w14:textId="7C2FE706" w:rsidR="00CB0AB7" w:rsidRDefault="00B568C9" w:rsidP="00CB0AB7">
          <w:pPr>
            <w:pStyle w:val="TOC2"/>
            <w:tabs>
              <w:tab w:val="left" w:pos="800"/>
              <w:tab w:val="left" w:pos="993"/>
              <w:tab w:val="right" w:leader="dot" w:pos="8779"/>
            </w:tabs>
            <w:rPr>
              <w:rFonts w:cstheme="minorBidi"/>
              <w:b w:val="0"/>
              <w:bCs w:val="0"/>
              <w:noProof/>
              <w:sz w:val="24"/>
              <w:szCs w:val="24"/>
              <w:lang w:eastAsia="en-GB"/>
            </w:rPr>
          </w:pPr>
          <w:hyperlink w:anchor="_Toc57035957" w:history="1">
            <w:r w:rsidR="00CB0AB7" w:rsidRPr="008819BD">
              <w:rPr>
                <w:rStyle w:val="Hyperlink"/>
                <w:noProof/>
              </w:rPr>
              <w:t>8.2</w:t>
            </w:r>
            <w:r w:rsidR="00CB0AB7">
              <w:rPr>
                <w:rFonts w:cstheme="minorBidi"/>
                <w:b w:val="0"/>
                <w:bCs w:val="0"/>
                <w:noProof/>
                <w:sz w:val="24"/>
                <w:szCs w:val="24"/>
                <w:lang w:eastAsia="en-GB"/>
              </w:rPr>
              <w:tab/>
            </w:r>
            <w:r w:rsidR="00CB0AB7" w:rsidRPr="008819BD">
              <w:rPr>
                <w:rStyle w:val="Hyperlink"/>
                <w:noProof/>
              </w:rPr>
              <w:t>Ethics approval documen</w:t>
            </w:r>
            <w:r w:rsidR="00CB0AB7" w:rsidRPr="008819BD">
              <w:rPr>
                <w:rStyle w:val="Hyperlink"/>
                <w:noProof/>
              </w:rPr>
              <w:t>t</w:t>
            </w:r>
            <w:r w:rsidR="00CB0AB7" w:rsidRPr="008819BD">
              <w:rPr>
                <w:rStyle w:val="Hyperlink"/>
                <w:noProof/>
              </w:rPr>
              <w:t>ation</w:t>
            </w:r>
            <w:r w:rsidR="00CB0AB7">
              <w:rPr>
                <w:noProof/>
                <w:webHidden/>
              </w:rPr>
              <w:tab/>
            </w:r>
            <w:r w:rsidR="00CB0AB7">
              <w:rPr>
                <w:noProof/>
                <w:webHidden/>
              </w:rPr>
              <w:fldChar w:fldCharType="begin"/>
            </w:r>
            <w:r w:rsidR="00CB0AB7">
              <w:rPr>
                <w:noProof/>
                <w:webHidden/>
              </w:rPr>
              <w:instrText xml:space="preserve"> PAGEREF _Toc57035957 \h </w:instrText>
            </w:r>
            <w:r w:rsidR="00CB0AB7">
              <w:rPr>
                <w:noProof/>
                <w:webHidden/>
              </w:rPr>
            </w:r>
            <w:r w:rsidR="00CB0AB7">
              <w:rPr>
                <w:noProof/>
                <w:webHidden/>
              </w:rPr>
              <w:fldChar w:fldCharType="separate"/>
            </w:r>
            <w:r w:rsidR="00CB0D8F">
              <w:rPr>
                <w:noProof/>
                <w:webHidden/>
              </w:rPr>
              <w:t>279</w:t>
            </w:r>
            <w:r w:rsidR="00CB0AB7">
              <w:rPr>
                <w:noProof/>
                <w:webHidden/>
              </w:rPr>
              <w:fldChar w:fldCharType="end"/>
            </w:r>
          </w:hyperlink>
        </w:p>
        <w:p w14:paraId="6B0B76B3" w14:textId="7029DD90" w:rsidR="00CB0AB7" w:rsidRDefault="00B568C9" w:rsidP="00CB0AB7">
          <w:pPr>
            <w:pStyle w:val="TOC3"/>
            <w:tabs>
              <w:tab w:val="left" w:pos="993"/>
              <w:tab w:val="right" w:leader="dot" w:pos="8779"/>
            </w:tabs>
            <w:rPr>
              <w:rFonts w:cstheme="minorBidi"/>
              <w:noProof/>
              <w:sz w:val="24"/>
              <w:szCs w:val="24"/>
              <w:lang w:eastAsia="en-GB"/>
            </w:rPr>
          </w:pPr>
          <w:hyperlink w:anchor="_Toc57035958" w:history="1">
            <w:r w:rsidR="00CB0AB7" w:rsidRPr="008819BD">
              <w:rPr>
                <w:rStyle w:val="Hyperlink"/>
                <w:noProof/>
              </w:rPr>
              <w:t>Ethics application and approval documents available:</w:t>
            </w:r>
            <w:r w:rsidR="00CB0AB7">
              <w:rPr>
                <w:noProof/>
                <w:webHidden/>
              </w:rPr>
              <w:tab/>
            </w:r>
            <w:r w:rsidR="00CB0AB7">
              <w:rPr>
                <w:noProof/>
                <w:webHidden/>
              </w:rPr>
              <w:fldChar w:fldCharType="begin"/>
            </w:r>
            <w:r w:rsidR="00CB0AB7">
              <w:rPr>
                <w:noProof/>
                <w:webHidden/>
              </w:rPr>
              <w:instrText xml:space="preserve"> PAGEREF _Toc57035958 \h </w:instrText>
            </w:r>
            <w:r w:rsidR="00CB0AB7">
              <w:rPr>
                <w:noProof/>
                <w:webHidden/>
              </w:rPr>
            </w:r>
            <w:r w:rsidR="00CB0AB7">
              <w:rPr>
                <w:noProof/>
                <w:webHidden/>
              </w:rPr>
              <w:fldChar w:fldCharType="separate"/>
            </w:r>
            <w:r w:rsidR="00CB0D8F">
              <w:rPr>
                <w:noProof/>
                <w:webHidden/>
              </w:rPr>
              <w:t>279</w:t>
            </w:r>
            <w:r w:rsidR="00CB0AB7">
              <w:rPr>
                <w:noProof/>
                <w:webHidden/>
              </w:rPr>
              <w:fldChar w:fldCharType="end"/>
            </w:r>
          </w:hyperlink>
        </w:p>
        <w:p w14:paraId="31D594AF" w14:textId="69D564B8" w:rsidR="00CB0AB7" w:rsidRDefault="00B568C9" w:rsidP="00CB0AB7">
          <w:pPr>
            <w:pStyle w:val="TOC3"/>
            <w:tabs>
              <w:tab w:val="left" w:pos="800"/>
              <w:tab w:val="left" w:pos="993"/>
              <w:tab w:val="right" w:leader="dot" w:pos="8779"/>
            </w:tabs>
            <w:rPr>
              <w:rFonts w:cstheme="minorBidi"/>
              <w:noProof/>
              <w:sz w:val="24"/>
              <w:szCs w:val="24"/>
              <w:lang w:eastAsia="en-GB"/>
            </w:rPr>
          </w:pPr>
          <w:hyperlink w:anchor="_Toc57035959" w:history="1">
            <w:r w:rsidR="00CB0AB7" w:rsidRPr="008819BD">
              <w:rPr>
                <w:rStyle w:val="Hyperlink"/>
                <w:noProof/>
              </w:rPr>
              <w:t>I</w:t>
            </w:r>
            <w:r w:rsidR="00CB0AB7">
              <w:rPr>
                <w:rFonts w:cstheme="minorBidi"/>
                <w:noProof/>
                <w:sz w:val="24"/>
                <w:szCs w:val="24"/>
                <w:lang w:eastAsia="en-GB"/>
              </w:rPr>
              <w:tab/>
            </w:r>
            <w:r w:rsidR="00CB0AB7">
              <w:rPr>
                <w:rFonts w:cstheme="minorBidi"/>
                <w:noProof/>
                <w:sz w:val="24"/>
                <w:szCs w:val="24"/>
                <w:lang w:eastAsia="en-GB"/>
              </w:rPr>
              <w:tab/>
            </w:r>
            <w:r w:rsidR="00CB0AB7" w:rsidRPr="008819BD">
              <w:rPr>
                <w:rStyle w:val="Hyperlink"/>
                <w:noProof/>
              </w:rPr>
              <w:t>Middlesex University Research Ethics Review Form A</w:t>
            </w:r>
            <w:r w:rsidR="00CB0AB7">
              <w:rPr>
                <w:noProof/>
                <w:webHidden/>
              </w:rPr>
              <w:tab/>
            </w:r>
            <w:r w:rsidR="00CB0AB7">
              <w:rPr>
                <w:noProof/>
                <w:webHidden/>
              </w:rPr>
              <w:fldChar w:fldCharType="begin"/>
            </w:r>
            <w:r w:rsidR="00CB0AB7">
              <w:rPr>
                <w:noProof/>
                <w:webHidden/>
              </w:rPr>
              <w:instrText xml:space="preserve"> PAGEREF _Toc57035959 \h </w:instrText>
            </w:r>
            <w:r w:rsidR="00CB0AB7">
              <w:rPr>
                <w:noProof/>
                <w:webHidden/>
              </w:rPr>
            </w:r>
            <w:r w:rsidR="00CB0AB7">
              <w:rPr>
                <w:noProof/>
                <w:webHidden/>
              </w:rPr>
              <w:fldChar w:fldCharType="separate"/>
            </w:r>
            <w:r w:rsidR="00CB0D8F">
              <w:rPr>
                <w:noProof/>
                <w:webHidden/>
              </w:rPr>
              <w:t>280</w:t>
            </w:r>
            <w:r w:rsidR="00CB0AB7">
              <w:rPr>
                <w:noProof/>
                <w:webHidden/>
              </w:rPr>
              <w:fldChar w:fldCharType="end"/>
            </w:r>
          </w:hyperlink>
        </w:p>
        <w:p w14:paraId="69B5C787" w14:textId="729278F7" w:rsidR="00CB0AB7" w:rsidRDefault="00B568C9" w:rsidP="00CB0AB7">
          <w:pPr>
            <w:pStyle w:val="TOC3"/>
            <w:tabs>
              <w:tab w:val="left" w:pos="800"/>
              <w:tab w:val="left" w:pos="993"/>
              <w:tab w:val="right" w:leader="dot" w:pos="8779"/>
            </w:tabs>
            <w:rPr>
              <w:rFonts w:cstheme="minorBidi"/>
              <w:noProof/>
              <w:sz w:val="24"/>
              <w:szCs w:val="24"/>
              <w:lang w:eastAsia="en-GB"/>
            </w:rPr>
          </w:pPr>
          <w:hyperlink w:anchor="_Toc57035960" w:history="1">
            <w:r w:rsidR="00CB0AB7" w:rsidRPr="008819BD">
              <w:rPr>
                <w:rStyle w:val="Hyperlink"/>
                <w:noProof/>
              </w:rPr>
              <w:t>II</w:t>
            </w:r>
            <w:r w:rsidR="00CB0AB7">
              <w:rPr>
                <w:rFonts w:cstheme="minorBidi"/>
                <w:noProof/>
                <w:sz w:val="24"/>
                <w:szCs w:val="24"/>
                <w:lang w:eastAsia="en-GB"/>
              </w:rPr>
              <w:tab/>
            </w:r>
            <w:r w:rsidR="00CB0AB7">
              <w:rPr>
                <w:rFonts w:cstheme="minorBidi"/>
                <w:noProof/>
                <w:sz w:val="24"/>
                <w:szCs w:val="24"/>
                <w:lang w:eastAsia="en-GB"/>
              </w:rPr>
              <w:tab/>
            </w:r>
            <w:r w:rsidR="00CB0AB7" w:rsidRPr="008819BD">
              <w:rPr>
                <w:rStyle w:val="Hyperlink"/>
                <w:noProof/>
              </w:rPr>
              <w:t>Ethics Sub-Committee request for research clarification</w:t>
            </w:r>
            <w:r w:rsidR="00CB0AB7">
              <w:rPr>
                <w:noProof/>
                <w:webHidden/>
              </w:rPr>
              <w:tab/>
            </w:r>
            <w:r w:rsidR="00CB0AB7">
              <w:rPr>
                <w:noProof/>
                <w:webHidden/>
              </w:rPr>
              <w:fldChar w:fldCharType="begin"/>
            </w:r>
            <w:r w:rsidR="00CB0AB7">
              <w:rPr>
                <w:noProof/>
                <w:webHidden/>
              </w:rPr>
              <w:instrText xml:space="preserve"> PAGEREF _Toc57035960 \h </w:instrText>
            </w:r>
            <w:r w:rsidR="00CB0AB7">
              <w:rPr>
                <w:noProof/>
                <w:webHidden/>
              </w:rPr>
            </w:r>
            <w:r w:rsidR="00CB0AB7">
              <w:rPr>
                <w:noProof/>
                <w:webHidden/>
              </w:rPr>
              <w:fldChar w:fldCharType="separate"/>
            </w:r>
            <w:r w:rsidR="00CB0D8F">
              <w:rPr>
                <w:noProof/>
                <w:webHidden/>
              </w:rPr>
              <w:t>281</w:t>
            </w:r>
            <w:r w:rsidR="00CB0AB7">
              <w:rPr>
                <w:noProof/>
                <w:webHidden/>
              </w:rPr>
              <w:fldChar w:fldCharType="end"/>
            </w:r>
          </w:hyperlink>
        </w:p>
        <w:p w14:paraId="7DB46A98" w14:textId="28FDB7FC" w:rsidR="00CB0AB7" w:rsidRDefault="00B568C9" w:rsidP="00CB0AB7">
          <w:pPr>
            <w:pStyle w:val="TOC3"/>
            <w:tabs>
              <w:tab w:val="left" w:pos="800"/>
              <w:tab w:val="left" w:pos="993"/>
              <w:tab w:val="right" w:leader="dot" w:pos="8779"/>
            </w:tabs>
            <w:rPr>
              <w:rFonts w:cstheme="minorBidi"/>
              <w:noProof/>
              <w:sz w:val="24"/>
              <w:szCs w:val="24"/>
              <w:lang w:eastAsia="en-GB"/>
            </w:rPr>
          </w:pPr>
          <w:hyperlink w:anchor="_Toc57035961" w:history="1">
            <w:r w:rsidR="00CB0AB7" w:rsidRPr="008819BD">
              <w:rPr>
                <w:rStyle w:val="Hyperlink"/>
                <w:noProof/>
              </w:rPr>
              <w:t>III</w:t>
            </w:r>
            <w:r w:rsidR="00CB0AB7">
              <w:rPr>
                <w:rFonts w:cstheme="minorBidi"/>
                <w:noProof/>
                <w:sz w:val="24"/>
                <w:szCs w:val="24"/>
                <w:lang w:eastAsia="en-GB"/>
              </w:rPr>
              <w:tab/>
            </w:r>
            <w:r w:rsidR="00CB0AB7">
              <w:rPr>
                <w:rFonts w:cstheme="minorBidi"/>
                <w:noProof/>
                <w:sz w:val="24"/>
                <w:szCs w:val="24"/>
                <w:lang w:eastAsia="en-GB"/>
              </w:rPr>
              <w:tab/>
            </w:r>
            <w:r w:rsidR="00CB0AB7" w:rsidRPr="008819BD">
              <w:rPr>
                <w:rStyle w:val="Hyperlink"/>
                <w:noProof/>
              </w:rPr>
              <w:t>Response to request for research clarification</w:t>
            </w:r>
            <w:r w:rsidR="00CB0AB7">
              <w:rPr>
                <w:noProof/>
                <w:webHidden/>
              </w:rPr>
              <w:tab/>
            </w:r>
            <w:r w:rsidR="00CB0AB7">
              <w:rPr>
                <w:noProof/>
                <w:webHidden/>
              </w:rPr>
              <w:fldChar w:fldCharType="begin"/>
            </w:r>
            <w:r w:rsidR="00CB0AB7">
              <w:rPr>
                <w:noProof/>
                <w:webHidden/>
              </w:rPr>
              <w:instrText xml:space="preserve"> PAGEREF _Toc57035961 \h </w:instrText>
            </w:r>
            <w:r w:rsidR="00CB0AB7">
              <w:rPr>
                <w:noProof/>
                <w:webHidden/>
              </w:rPr>
            </w:r>
            <w:r w:rsidR="00CB0AB7">
              <w:rPr>
                <w:noProof/>
                <w:webHidden/>
              </w:rPr>
              <w:fldChar w:fldCharType="separate"/>
            </w:r>
            <w:r w:rsidR="00CB0D8F">
              <w:rPr>
                <w:noProof/>
                <w:webHidden/>
              </w:rPr>
              <w:t>282</w:t>
            </w:r>
            <w:r w:rsidR="00CB0AB7">
              <w:rPr>
                <w:noProof/>
                <w:webHidden/>
              </w:rPr>
              <w:fldChar w:fldCharType="end"/>
            </w:r>
          </w:hyperlink>
        </w:p>
        <w:p w14:paraId="0D6A4049" w14:textId="03742353" w:rsidR="00CB0AB7" w:rsidRDefault="00B568C9" w:rsidP="00CB0AB7">
          <w:pPr>
            <w:pStyle w:val="TOC3"/>
            <w:tabs>
              <w:tab w:val="left" w:pos="993"/>
              <w:tab w:val="right" w:leader="dot" w:pos="8779"/>
            </w:tabs>
            <w:rPr>
              <w:rFonts w:cstheme="minorBidi"/>
              <w:noProof/>
              <w:sz w:val="24"/>
              <w:szCs w:val="24"/>
              <w:lang w:eastAsia="en-GB"/>
            </w:rPr>
          </w:pPr>
          <w:hyperlink w:anchor="_Toc57035962" w:history="1">
            <w:r w:rsidR="00CB0AB7" w:rsidRPr="008819BD">
              <w:rPr>
                <w:rStyle w:val="Hyperlink"/>
                <w:noProof/>
              </w:rPr>
              <w:t>IV</w:t>
            </w:r>
            <w:r w:rsidR="00CB0AB7">
              <w:rPr>
                <w:rFonts w:cstheme="minorBidi"/>
                <w:noProof/>
                <w:sz w:val="24"/>
                <w:szCs w:val="24"/>
                <w:lang w:eastAsia="en-GB"/>
              </w:rPr>
              <w:tab/>
            </w:r>
            <w:r w:rsidR="00CB0AB7" w:rsidRPr="008819BD">
              <w:rPr>
                <w:rStyle w:val="Hyperlink"/>
                <w:noProof/>
              </w:rPr>
              <w:t>Middlesex University Ethics Approval Document</w:t>
            </w:r>
            <w:r w:rsidR="00CB0AB7">
              <w:rPr>
                <w:noProof/>
                <w:webHidden/>
              </w:rPr>
              <w:tab/>
            </w:r>
            <w:r w:rsidR="00CB0AB7">
              <w:rPr>
                <w:noProof/>
                <w:webHidden/>
              </w:rPr>
              <w:fldChar w:fldCharType="begin"/>
            </w:r>
            <w:r w:rsidR="00CB0AB7">
              <w:rPr>
                <w:noProof/>
                <w:webHidden/>
              </w:rPr>
              <w:instrText xml:space="preserve"> PAGEREF _Toc57035962 \h </w:instrText>
            </w:r>
            <w:r w:rsidR="00CB0AB7">
              <w:rPr>
                <w:noProof/>
                <w:webHidden/>
              </w:rPr>
            </w:r>
            <w:r w:rsidR="00CB0AB7">
              <w:rPr>
                <w:noProof/>
                <w:webHidden/>
              </w:rPr>
              <w:fldChar w:fldCharType="separate"/>
            </w:r>
            <w:r w:rsidR="00CB0D8F">
              <w:rPr>
                <w:noProof/>
                <w:webHidden/>
              </w:rPr>
              <w:t>283</w:t>
            </w:r>
            <w:r w:rsidR="00CB0AB7">
              <w:rPr>
                <w:noProof/>
                <w:webHidden/>
              </w:rPr>
              <w:fldChar w:fldCharType="end"/>
            </w:r>
          </w:hyperlink>
        </w:p>
        <w:p w14:paraId="4030D5C2" w14:textId="4A0DBA3C" w:rsidR="00CB0AB7" w:rsidRDefault="00B568C9" w:rsidP="00CB0AB7">
          <w:pPr>
            <w:pStyle w:val="TOC3"/>
            <w:tabs>
              <w:tab w:val="left" w:pos="800"/>
              <w:tab w:val="left" w:pos="993"/>
              <w:tab w:val="right" w:leader="dot" w:pos="8779"/>
            </w:tabs>
            <w:rPr>
              <w:rFonts w:cstheme="minorBidi"/>
              <w:noProof/>
              <w:sz w:val="24"/>
              <w:szCs w:val="24"/>
              <w:lang w:eastAsia="en-GB"/>
            </w:rPr>
          </w:pPr>
          <w:hyperlink w:anchor="_Toc57035963" w:history="1">
            <w:r w:rsidR="00CB0AB7" w:rsidRPr="008819BD">
              <w:rPr>
                <w:rStyle w:val="Hyperlink"/>
                <w:noProof/>
              </w:rPr>
              <w:t>V</w:t>
            </w:r>
            <w:r w:rsidR="00CB0AB7">
              <w:rPr>
                <w:rFonts w:cstheme="minorBidi"/>
                <w:noProof/>
                <w:sz w:val="24"/>
                <w:szCs w:val="24"/>
                <w:lang w:eastAsia="en-GB"/>
              </w:rPr>
              <w:tab/>
            </w:r>
            <w:r w:rsidR="00CB0AB7">
              <w:rPr>
                <w:rFonts w:cstheme="minorBidi"/>
                <w:noProof/>
                <w:sz w:val="24"/>
                <w:szCs w:val="24"/>
                <w:lang w:eastAsia="en-GB"/>
              </w:rPr>
              <w:tab/>
            </w:r>
            <w:r w:rsidR="00CB0AB7" w:rsidRPr="008819BD">
              <w:rPr>
                <w:rStyle w:val="Hyperlink"/>
                <w:noProof/>
              </w:rPr>
              <w:t>Middlesex University Independent Field/Location Work Risk Assessment Form FRA1</w:t>
            </w:r>
            <w:r w:rsidR="00CB0AB7">
              <w:rPr>
                <w:noProof/>
                <w:webHidden/>
              </w:rPr>
              <w:tab/>
            </w:r>
            <w:r w:rsidR="00CB0AB7">
              <w:rPr>
                <w:noProof/>
                <w:webHidden/>
              </w:rPr>
              <w:fldChar w:fldCharType="begin"/>
            </w:r>
            <w:r w:rsidR="00CB0AB7">
              <w:rPr>
                <w:noProof/>
                <w:webHidden/>
              </w:rPr>
              <w:instrText xml:space="preserve"> PAGEREF _Toc57035963 \h </w:instrText>
            </w:r>
            <w:r w:rsidR="00CB0AB7">
              <w:rPr>
                <w:noProof/>
                <w:webHidden/>
              </w:rPr>
            </w:r>
            <w:r w:rsidR="00CB0AB7">
              <w:rPr>
                <w:noProof/>
                <w:webHidden/>
              </w:rPr>
              <w:fldChar w:fldCharType="separate"/>
            </w:r>
            <w:r w:rsidR="00CB0D8F">
              <w:rPr>
                <w:noProof/>
                <w:webHidden/>
              </w:rPr>
              <w:t>284</w:t>
            </w:r>
            <w:r w:rsidR="00CB0AB7">
              <w:rPr>
                <w:noProof/>
                <w:webHidden/>
              </w:rPr>
              <w:fldChar w:fldCharType="end"/>
            </w:r>
          </w:hyperlink>
        </w:p>
        <w:p w14:paraId="39C5C6E6" w14:textId="2C8557E2" w:rsidR="00884C95" w:rsidRPr="009C2BEE" w:rsidRDefault="00884C95" w:rsidP="00CB0AB7">
          <w:pPr>
            <w:tabs>
              <w:tab w:val="left" w:pos="567"/>
              <w:tab w:val="left" w:pos="993"/>
              <w:tab w:val="left" w:pos="1134"/>
              <w:tab w:val="left" w:pos="1701"/>
            </w:tabs>
            <w:rPr>
              <w:rFonts w:ascii="Gill Sans MT" w:hAnsi="Gill Sans MT"/>
            </w:rPr>
          </w:pPr>
          <w:r w:rsidRPr="009C2BEE">
            <w:rPr>
              <w:rFonts w:ascii="Gill Sans MT" w:hAnsi="Gill Sans MT"/>
              <w:noProof/>
            </w:rPr>
            <w:fldChar w:fldCharType="end"/>
          </w:r>
        </w:p>
      </w:sdtContent>
    </w:sdt>
    <w:p w14:paraId="1B8CDE7E" w14:textId="69AEB299" w:rsidR="000F5E95" w:rsidRDefault="000F5E95">
      <w:pPr>
        <w:spacing w:before="0" w:after="160" w:line="259" w:lineRule="auto"/>
        <w:rPr>
          <w:b/>
          <w:smallCaps/>
          <w:color w:val="4472C4" w:themeColor="accent1"/>
          <w:spacing w:val="5"/>
          <w:sz w:val="32"/>
          <w:szCs w:val="32"/>
        </w:rPr>
      </w:pPr>
    </w:p>
    <w:p w14:paraId="6F455834" w14:textId="2AEA7E10" w:rsidR="007707AB" w:rsidRDefault="007707AB">
      <w:pPr>
        <w:spacing w:before="0" w:after="160" w:line="259" w:lineRule="auto"/>
        <w:rPr>
          <w:b/>
          <w:smallCaps/>
          <w:color w:val="4472C4" w:themeColor="accent1"/>
          <w:spacing w:val="5"/>
          <w:sz w:val="32"/>
          <w:szCs w:val="32"/>
        </w:rPr>
      </w:pPr>
    </w:p>
    <w:p w14:paraId="3CE0AF8E" w14:textId="77777777" w:rsidR="007707AB" w:rsidRDefault="007707AB" w:rsidP="007707AB">
      <w:pPr>
        <w:pStyle w:val="Heading1"/>
      </w:pPr>
    </w:p>
    <w:p w14:paraId="12BBA811" w14:textId="6AAB0F2B" w:rsidR="007707AB" w:rsidRPr="007707AB" w:rsidRDefault="007707AB" w:rsidP="007707AB">
      <w:pPr>
        <w:pStyle w:val="Heading1"/>
      </w:pPr>
      <w:bookmarkStart w:id="10" w:name="_Toc57035874"/>
      <w:r>
        <w:t>List of Figures</w:t>
      </w:r>
      <w:bookmarkEnd w:id="10"/>
    </w:p>
    <w:p w14:paraId="11F0262C" w14:textId="541E4089" w:rsidR="00040656" w:rsidRDefault="007475E7">
      <w:pPr>
        <w:pStyle w:val="TableofFigures"/>
        <w:tabs>
          <w:tab w:val="left" w:pos="1000"/>
          <w:tab w:val="right" w:leader="dot" w:pos="8779"/>
        </w:tabs>
        <w:rPr>
          <w:rFonts w:asciiTheme="minorHAnsi" w:hAnsiTheme="minorHAnsi"/>
          <w:noProof/>
          <w:sz w:val="24"/>
          <w:szCs w:val="24"/>
          <w:lang w:eastAsia="en-GB"/>
        </w:rPr>
      </w:pPr>
      <w:r>
        <w:fldChar w:fldCharType="begin"/>
      </w:r>
      <w:r>
        <w:instrText xml:space="preserve"> TOC \h \z \c "Figure" </w:instrText>
      </w:r>
      <w:r>
        <w:fldChar w:fldCharType="separate"/>
      </w:r>
      <w:hyperlink r:id="rId9" w:anchor="_Toc56495220" w:history="1">
        <w:r w:rsidR="00040656" w:rsidRPr="00BB269B">
          <w:rPr>
            <w:rStyle w:val="Hyperlink"/>
            <w:noProof/>
          </w:rPr>
          <w:t>Figure 1:</w:t>
        </w:r>
        <w:r w:rsidR="00040656">
          <w:rPr>
            <w:rFonts w:asciiTheme="minorHAnsi" w:hAnsiTheme="minorHAnsi"/>
            <w:noProof/>
            <w:sz w:val="24"/>
            <w:szCs w:val="24"/>
            <w:lang w:eastAsia="en-GB"/>
          </w:rPr>
          <w:tab/>
        </w:r>
        <w:r w:rsidR="00040656" w:rsidRPr="00BB269B">
          <w:rPr>
            <w:rStyle w:val="Hyperlink"/>
            <w:noProof/>
          </w:rPr>
          <w:t xml:space="preserve">Process chain indicating components of the cerebellar deficit theory of dyslexia (adapted from Nicholson </w:t>
        </w:r>
        <w:r w:rsidR="00040656">
          <w:rPr>
            <w:rStyle w:val="Hyperlink"/>
            <w:noProof/>
          </w:rPr>
          <w:tab/>
        </w:r>
        <w:r w:rsidR="00040656" w:rsidRPr="00BB269B">
          <w:rPr>
            <w:rStyle w:val="Hyperlink"/>
            <w:noProof/>
          </w:rPr>
          <w:t>et al., 2001, p510).</w:t>
        </w:r>
        <w:r w:rsidR="00040656">
          <w:rPr>
            <w:noProof/>
            <w:webHidden/>
          </w:rPr>
          <w:tab/>
        </w:r>
        <w:r w:rsidR="00040656">
          <w:rPr>
            <w:noProof/>
            <w:webHidden/>
          </w:rPr>
          <w:fldChar w:fldCharType="begin"/>
        </w:r>
        <w:r w:rsidR="00040656">
          <w:rPr>
            <w:noProof/>
            <w:webHidden/>
          </w:rPr>
          <w:instrText xml:space="preserve"> PAGEREF _Toc56495220 \h </w:instrText>
        </w:r>
        <w:r w:rsidR="00040656">
          <w:rPr>
            <w:noProof/>
            <w:webHidden/>
          </w:rPr>
        </w:r>
        <w:r w:rsidR="00040656">
          <w:rPr>
            <w:noProof/>
            <w:webHidden/>
          </w:rPr>
          <w:fldChar w:fldCharType="separate"/>
        </w:r>
        <w:r w:rsidR="00CB0D8F">
          <w:rPr>
            <w:noProof/>
            <w:webHidden/>
          </w:rPr>
          <w:t>43</w:t>
        </w:r>
        <w:r w:rsidR="00040656">
          <w:rPr>
            <w:noProof/>
            <w:webHidden/>
          </w:rPr>
          <w:fldChar w:fldCharType="end"/>
        </w:r>
      </w:hyperlink>
    </w:p>
    <w:p w14:paraId="44F51471" w14:textId="121EE34B" w:rsidR="00040656" w:rsidRDefault="00B568C9">
      <w:pPr>
        <w:pStyle w:val="TableofFigures"/>
        <w:tabs>
          <w:tab w:val="left" w:pos="1000"/>
          <w:tab w:val="right" w:leader="dot" w:pos="8779"/>
        </w:tabs>
        <w:rPr>
          <w:rFonts w:asciiTheme="minorHAnsi" w:hAnsiTheme="minorHAnsi"/>
          <w:noProof/>
          <w:sz w:val="24"/>
          <w:szCs w:val="24"/>
          <w:lang w:eastAsia="en-GB"/>
        </w:rPr>
      </w:pPr>
      <w:hyperlink r:id="rId10" w:anchor="_Toc56495221" w:history="1">
        <w:r w:rsidR="00040656" w:rsidRPr="00BB269B">
          <w:rPr>
            <w:rStyle w:val="Hyperlink"/>
            <w:noProof/>
          </w:rPr>
          <w:t>Figure 2:</w:t>
        </w:r>
        <w:r w:rsidR="00040656">
          <w:rPr>
            <w:rFonts w:asciiTheme="minorHAnsi" w:hAnsiTheme="minorHAnsi"/>
            <w:noProof/>
            <w:sz w:val="24"/>
            <w:szCs w:val="24"/>
            <w:lang w:eastAsia="en-GB"/>
          </w:rPr>
          <w:tab/>
        </w:r>
        <w:r w:rsidR="00040656" w:rsidRPr="00BB269B">
          <w:rPr>
            <w:rStyle w:val="Hyperlink"/>
            <w:noProof/>
          </w:rPr>
          <w:t>Com</w:t>
        </w:r>
        <w:r w:rsidR="00040656" w:rsidRPr="00BB269B">
          <w:rPr>
            <w:rStyle w:val="Hyperlink"/>
            <w:noProof/>
          </w:rPr>
          <w:t>p</w:t>
        </w:r>
        <w:r w:rsidR="00040656" w:rsidRPr="00BB269B">
          <w:rPr>
            <w:rStyle w:val="Hyperlink"/>
            <w:noProof/>
          </w:rPr>
          <w:t xml:space="preserve">eting/contributing factors which may constitute a dyslexic profile (adapted from Fletcher, 2009, </w:t>
        </w:r>
        <w:r w:rsidR="00040656">
          <w:rPr>
            <w:rStyle w:val="Hyperlink"/>
            <w:noProof/>
          </w:rPr>
          <w:tab/>
        </w:r>
        <w:r w:rsidR="00040656" w:rsidRPr="00BB269B">
          <w:rPr>
            <w:rStyle w:val="Hyperlink"/>
            <w:noProof/>
          </w:rPr>
          <w:t>p511)</w:t>
        </w:r>
        <w:r w:rsidR="00040656">
          <w:rPr>
            <w:noProof/>
            <w:webHidden/>
          </w:rPr>
          <w:tab/>
        </w:r>
        <w:r w:rsidR="00040656">
          <w:rPr>
            <w:noProof/>
            <w:webHidden/>
          </w:rPr>
          <w:fldChar w:fldCharType="begin"/>
        </w:r>
        <w:r w:rsidR="00040656">
          <w:rPr>
            <w:noProof/>
            <w:webHidden/>
          </w:rPr>
          <w:instrText xml:space="preserve"> PAGEREF _Toc56495221 \h </w:instrText>
        </w:r>
        <w:r w:rsidR="00040656">
          <w:rPr>
            <w:noProof/>
            <w:webHidden/>
          </w:rPr>
        </w:r>
        <w:r w:rsidR="00040656">
          <w:rPr>
            <w:noProof/>
            <w:webHidden/>
          </w:rPr>
          <w:fldChar w:fldCharType="separate"/>
        </w:r>
        <w:r w:rsidR="00CB0D8F">
          <w:rPr>
            <w:noProof/>
            <w:webHidden/>
          </w:rPr>
          <w:t>49</w:t>
        </w:r>
        <w:r w:rsidR="00040656">
          <w:rPr>
            <w:noProof/>
            <w:webHidden/>
          </w:rPr>
          <w:fldChar w:fldCharType="end"/>
        </w:r>
      </w:hyperlink>
    </w:p>
    <w:p w14:paraId="091DFE35" w14:textId="2A3747B0" w:rsidR="00040656" w:rsidRDefault="00B568C9">
      <w:pPr>
        <w:pStyle w:val="TableofFigures"/>
        <w:tabs>
          <w:tab w:val="left" w:pos="1000"/>
          <w:tab w:val="right" w:leader="dot" w:pos="8779"/>
        </w:tabs>
        <w:rPr>
          <w:rFonts w:asciiTheme="minorHAnsi" w:hAnsiTheme="minorHAnsi"/>
          <w:noProof/>
          <w:sz w:val="24"/>
          <w:szCs w:val="24"/>
          <w:lang w:eastAsia="en-GB"/>
        </w:rPr>
      </w:pPr>
      <w:hyperlink r:id="rId11" w:anchor="_Toc56495222" w:history="1">
        <w:r w:rsidR="00040656" w:rsidRPr="00BB269B">
          <w:rPr>
            <w:rStyle w:val="Hyperlink"/>
            <w:noProof/>
          </w:rPr>
          <w:t>Figure 3:</w:t>
        </w:r>
        <w:r w:rsidR="00040656">
          <w:rPr>
            <w:rFonts w:asciiTheme="minorHAnsi" w:hAnsiTheme="minorHAnsi"/>
            <w:noProof/>
            <w:sz w:val="24"/>
            <w:szCs w:val="24"/>
            <w:lang w:eastAsia="en-GB"/>
          </w:rPr>
          <w:tab/>
        </w:r>
        <w:r w:rsidR="00040656" w:rsidRPr="00BB269B">
          <w:rPr>
            <w:rStyle w:val="Hyperlink"/>
            <w:noProof/>
          </w:rPr>
          <w:t>An adaptation of the Triadic Reciprocal Causation model.</w:t>
        </w:r>
        <w:r w:rsidR="00040656">
          <w:rPr>
            <w:noProof/>
            <w:webHidden/>
          </w:rPr>
          <w:tab/>
        </w:r>
        <w:r w:rsidR="00040656">
          <w:rPr>
            <w:noProof/>
            <w:webHidden/>
          </w:rPr>
          <w:fldChar w:fldCharType="begin"/>
        </w:r>
        <w:r w:rsidR="00040656">
          <w:rPr>
            <w:noProof/>
            <w:webHidden/>
          </w:rPr>
          <w:instrText xml:space="preserve"> PAGEREF _Toc56495222 \h </w:instrText>
        </w:r>
        <w:r w:rsidR="00040656">
          <w:rPr>
            <w:noProof/>
            <w:webHidden/>
          </w:rPr>
        </w:r>
        <w:r w:rsidR="00040656">
          <w:rPr>
            <w:noProof/>
            <w:webHidden/>
          </w:rPr>
          <w:fldChar w:fldCharType="separate"/>
        </w:r>
        <w:r w:rsidR="00CB0D8F">
          <w:rPr>
            <w:noProof/>
            <w:webHidden/>
          </w:rPr>
          <w:t>78</w:t>
        </w:r>
        <w:r w:rsidR="00040656">
          <w:rPr>
            <w:noProof/>
            <w:webHidden/>
          </w:rPr>
          <w:fldChar w:fldCharType="end"/>
        </w:r>
      </w:hyperlink>
    </w:p>
    <w:p w14:paraId="5EADF1D9" w14:textId="58F76EE0" w:rsidR="00040656" w:rsidRDefault="00B568C9">
      <w:pPr>
        <w:pStyle w:val="TableofFigures"/>
        <w:tabs>
          <w:tab w:val="left" w:pos="1000"/>
          <w:tab w:val="right" w:leader="dot" w:pos="8779"/>
        </w:tabs>
        <w:rPr>
          <w:rFonts w:asciiTheme="minorHAnsi" w:hAnsiTheme="minorHAnsi"/>
          <w:noProof/>
          <w:sz w:val="24"/>
          <w:szCs w:val="24"/>
          <w:lang w:eastAsia="en-GB"/>
        </w:rPr>
      </w:pPr>
      <w:hyperlink w:anchor="_Toc56495223" w:history="1">
        <w:r w:rsidR="00040656" w:rsidRPr="00BB269B">
          <w:rPr>
            <w:rStyle w:val="Hyperlink"/>
            <w:noProof/>
          </w:rPr>
          <w:t>Figure 4:</w:t>
        </w:r>
        <w:r w:rsidR="00040656">
          <w:rPr>
            <w:rFonts w:asciiTheme="minorHAnsi" w:hAnsiTheme="minorHAnsi"/>
            <w:noProof/>
            <w:sz w:val="24"/>
            <w:szCs w:val="24"/>
            <w:lang w:eastAsia="en-GB"/>
          </w:rPr>
          <w:tab/>
        </w:r>
        <w:r w:rsidR="00040656" w:rsidRPr="00BB269B">
          <w:rPr>
            <w:rStyle w:val="Hyperlink"/>
            <w:noProof/>
          </w:rPr>
          <w:t xml:space="preserve">Conditional relationships between self-efficacy beliefs and outcome expectancies (Adapted from Bandura, </w:t>
        </w:r>
        <w:r w:rsidR="00040656">
          <w:rPr>
            <w:rStyle w:val="Hyperlink"/>
            <w:noProof/>
          </w:rPr>
          <w:tab/>
        </w:r>
        <w:r w:rsidR="00040656" w:rsidRPr="00BB269B">
          <w:rPr>
            <w:rStyle w:val="Hyperlink"/>
            <w:noProof/>
          </w:rPr>
          <w:t>1997, p22)</w:t>
        </w:r>
        <w:r w:rsidR="00040656" w:rsidRPr="00BB269B">
          <w:rPr>
            <w:rStyle w:val="Hyperlink"/>
            <w:rFonts w:ascii="Century Gothic" w:hAnsi="Century Gothic"/>
            <w:noProof/>
          </w:rPr>
          <w:t>.</w:t>
        </w:r>
        <w:r w:rsidR="00040656">
          <w:rPr>
            <w:noProof/>
            <w:webHidden/>
          </w:rPr>
          <w:tab/>
        </w:r>
        <w:r w:rsidR="00040656">
          <w:rPr>
            <w:noProof/>
            <w:webHidden/>
          </w:rPr>
          <w:fldChar w:fldCharType="begin"/>
        </w:r>
        <w:r w:rsidR="00040656">
          <w:rPr>
            <w:noProof/>
            <w:webHidden/>
          </w:rPr>
          <w:instrText xml:space="preserve"> PAGEREF _Toc56495223 \h </w:instrText>
        </w:r>
        <w:r w:rsidR="00040656">
          <w:rPr>
            <w:noProof/>
            <w:webHidden/>
          </w:rPr>
        </w:r>
        <w:r w:rsidR="00040656">
          <w:rPr>
            <w:noProof/>
            <w:webHidden/>
          </w:rPr>
          <w:fldChar w:fldCharType="separate"/>
        </w:r>
        <w:r w:rsidR="00CB0D8F">
          <w:rPr>
            <w:noProof/>
            <w:webHidden/>
          </w:rPr>
          <w:t>83</w:t>
        </w:r>
        <w:r w:rsidR="00040656">
          <w:rPr>
            <w:noProof/>
            <w:webHidden/>
          </w:rPr>
          <w:fldChar w:fldCharType="end"/>
        </w:r>
      </w:hyperlink>
    </w:p>
    <w:p w14:paraId="5223ED52" w14:textId="2663C8D8" w:rsidR="00040656" w:rsidRDefault="00B568C9">
      <w:pPr>
        <w:pStyle w:val="TableofFigures"/>
        <w:tabs>
          <w:tab w:val="left" w:pos="1000"/>
          <w:tab w:val="right" w:leader="dot" w:pos="8779"/>
        </w:tabs>
        <w:rPr>
          <w:rFonts w:asciiTheme="minorHAnsi" w:hAnsiTheme="minorHAnsi"/>
          <w:noProof/>
          <w:sz w:val="24"/>
          <w:szCs w:val="24"/>
          <w:lang w:eastAsia="en-GB"/>
        </w:rPr>
      </w:pPr>
      <w:hyperlink r:id="rId12" w:anchor="_Toc56495224" w:history="1">
        <w:r w:rsidR="00040656" w:rsidRPr="00BB269B">
          <w:rPr>
            <w:rStyle w:val="Hyperlink"/>
            <w:noProof/>
          </w:rPr>
          <w:t>Figure 5:</w:t>
        </w:r>
        <w:r w:rsidR="00040656">
          <w:rPr>
            <w:rFonts w:asciiTheme="minorHAnsi" w:hAnsiTheme="minorHAnsi"/>
            <w:noProof/>
            <w:sz w:val="24"/>
            <w:szCs w:val="24"/>
            <w:lang w:eastAsia="en-GB"/>
          </w:rPr>
          <w:tab/>
        </w:r>
        <w:r w:rsidR="00040656" w:rsidRPr="00BB269B">
          <w:rPr>
            <w:rStyle w:val="Hyperlink"/>
            <w:noProof/>
          </w:rPr>
          <w:t xml:space="preserve">Illustrating a contradictory, uni-directional relationship from outcome expectancies to behaviour (adapted </w:t>
        </w:r>
        <w:r w:rsidR="00040656">
          <w:rPr>
            <w:rStyle w:val="Hyperlink"/>
            <w:noProof/>
          </w:rPr>
          <w:tab/>
        </w:r>
        <w:r w:rsidR="00040656" w:rsidRPr="00BB269B">
          <w:rPr>
            <w:rStyle w:val="Hyperlink"/>
            <w:noProof/>
          </w:rPr>
          <w:t>from Williams, 2010, p420).</w:t>
        </w:r>
        <w:r w:rsidR="00040656">
          <w:rPr>
            <w:noProof/>
            <w:webHidden/>
          </w:rPr>
          <w:tab/>
        </w:r>
        <w:r w:rsidR="00040656">
          <w:rPr>
            <w:noProof/>
            <w:webHidden/>
          </w:rPr>
          <w:fldChar w:fldCharType="begin"/>
        </w:r>
        <w:r w:rsidR="00040656">
          <w:rPr>
            <w:noProof/>
            <w:webHidden/>
          </w:rPr>
          <w:instrText xml:space="preserve"> PAGEREF _Toc56495224 \h </w:instrText>
        </w:r>
        <w:r w:rsidR="00040656">
          <w:rPr>
            <w:noProof/>
            <w:webHidden/>
          </w:rPr>
        </w:r>
        <w:r w:rsidR="00040656">
          <w:rPr>
            <w:noProof/>
            <w:webHidden/>
          </w:rPr>
          <w:fldChar w:fldCharType="separate"/>
        </w:r>
        <w:r w:rsidR="00CB0D8F">
          <w:rPr>
            <w:noProof/>
            <w:webHidden/>
          </w:rPr>
          <w:t>85</w:t>
        </w:r>
        <w:r w:rsidR="00040656">
          <w:rPr>
            <w:noProof/>
            <w:webHidden/>
          </w:rPr>
          <w:fldChar w:fldCharType="end"/>
        </w:r>
      </w:hyperlink>
    </w:p>
    <w:p w14:paraId="47543450" w14:textId="6CA102A3" w:rsidR="00040656" w:rsidRDefault="00B568C9">
      <w:pPr>
        <w:pStyle w:val="TableofFigures"/>
        <w:tabs>
          <w:tab w:val="left" w:pos="1000"/>
          <w:tab w:val="right" w:leader="dot" w:pos="8779"/>
        </w:tabs>
        <w:rPr>
          <w:rFonts w:asciiTheme="minorHAnsi" w:hAnsiTheme="minorHAnsi"/>
          <w:noProof/>
          <w:sz w:val="24"/>
          <w:szCs w:val="24"/>
          <w:lang w:eastAsia="en-GB"/>
        </w:rPr>
      </w:pPr>
      <w:hyperlink r:id="rId13" w:anchor="_Toc56495225" w:history="1">
        <w:r w:rsidR="00040656" w:rsidRPr="00BB269B">
          <w:rPr>
            <w:rStyle w:val="Hyperlink"/>
            <w:noProof/>
          </w:rPr>
          <w:t>Figure 6:</w:t>
        </w:r>
        <w:r w:rsidR="00040656">
          <w:rPr>
            <w:rFonts w:asciiTheme="minorHAnsi" w:hAnsiTheme="minorHAnsi"/>
            <w:noProof/>
            <w:sz w:val="24"/>
            <w:szCs w:val="24"/>
            <w:lang w:eastAsia="en-GB"/>
          </w:rPr>
          <w:tab/>
        </w:r>
        <w:r w:rsidR="00040656" w:rsidRPr="00BB269B">
          <w:rPr>
            <w:rStyle w:val="Hyperlink"/>
            <w:noProof/>
          </w:rPr>
          <w:t>Illustrating magnitude and strength of self-efficacy.</w:t>
        </w:r>
        <w:r w:rsidR="00040656">
          <w:rPr>
            <w:noProof/>
            <w:webHidden/>
          </w:rPr>
          <w:tab/>
        </w:r>
        <w:r w:rsidR="00040656">
          <w:rPr>
            <w:noProof/>
            <w:webHidden/>
          </w:rPr>
          <w:fldChar w:fldCharType="begin"/>
        </w:r>
        <w:r w:rsidR="00040656">
          <w:rPr>
            <w:noProof/>
            <w:webHidden/>
          </w:rPr>
          <w:instrText xml:space="preserve"> PAGEREF _Toc56495225 \h </w:instrText>
        </w:r>
        <w:r w:rsidR="00040656">
          <w:rPr>
            <w:noProof/>
            <w:webHidden/>
          </w:rPr>
        </w:r>
        <w:r w:rsidR="00040656">
          <w:rPr>
            <w:noProof/>
            <w:webHidden/>
          </w:rPr>
          <w:fldChar w:fldCharType="separate"/>
        </w:r>
        <w:r w:rsidR="00CB0D8F">
          <w:rPr>
            <w:noProof/>
            <w:webHidden/>
          </w:rPr>
          <w:t>86</w:t>
        </w:r>
        <w:r w:rsidR="00040656">
          <w:rPr>
            <w:noProof/>
            <w:webHidden/>
          </w:rPr>
          <w:fldChar w:fldCharType="end"/>
        </w:r>
      </w:hyperlink>
    </w:p>
    <w:p w14:paraId="0467AC85" w14:textId="444BD1A7" w:rsidR="00040656" w:rsidRDefault="00B568C9">
      <w:pPr>
        <w:pStyle w:val="TableofFigures"/>
        <w:tabs>
          <w:tab w:val="left" w:pos="1000"/>
          <w:tab w:val="right" w:leader="dot" w:pos="8779"/>
        </w:tabs>
        <w:rPr>
          <w:rFonts w:asciiTheme="minorHAnsi" w:hAnsiTheme="minorHAnsi"/>
          <w:noProof/>
          <w:sz w:val="24"/>
          <w:szCs w:val="24"/>
          <w:lang w:eastAsia="en-GB"/>
        </w:rPr>
      </w:pPr>
      <w:hyperlink w:anchor="_Toc56495226" w:history="1">
        <w:r w:rsidR="00040656" w:rsidRPr="00BB269B">
          <w:rPr>
            <w:rStyle w:val="Hyperlink"/>
            <w:rFonts w:eastAsiaTheme="majorEastAsia" w:cstheme="majorBidi"/>
            <w:noProof/>
          </w:rPr>
          <w:t>Figure 7:</w:t>
        </w:r>
        <w:r w:rsidR="00040656">
          <w:rPr>
            <w:rFonts w:asciiTheme="minorHAnsi" w:hAnsiTheme="minorHAnsi"/>
            <w:noProof/>
            <w:sz w:val="24"/>
            <w:szCs w:val="24"/>
            <w:lang w:eastAsia="en-GB"/>
          </w:rPr>
          <w:tab/>
        </w:r>
        <w:r w:rsidR="00040656" w:rsidRPr="00BB269B">
          <w:rPr>
            <w:rStyle w:val="Hyperlink"/>
            <w:rFonts w:eastAsiaTheme="majorEastAsia" w:cstheme="majorBidi"/>
            <w:noProof/>
          </w:rPr>
          <w:t xml:space="preserve">Summary of components and factors leading from self-efficacy beliefs to outcome expectancy (summarised </w:t>
        </w:r>
        <w:r w:rsidR="00040656">
          <w:rPr>
            <w:rStyle w:val="Hyperlink"/>
            <w:rFonts w:eastAsiaTheme="majorEastAsia" w:cstheme="majorBidi"/>
            <w:noProof/>
          </w:rPr>
          <w:tab/>
        </w:r>
        <w:r w:rsidR="00040656" w:rsidRPr="00BB269B">
          <w:rPr>
            <w:rStyle w:val="Hyperlink"/>
            <w:rFonts w:eastAsiaTheme="majorEastAsia" w:cstheme="majorBidi"/>
            <w:noProof/>
          </w:rPr>
          <w:t>from Bandura, 1997a, p23-26).</w:t>
        </w:r>
        <w:r w:rsidR="00040656">
          <w:rPr>
            <w:noProof/>
            <w:webHidden/>
          </w:rPr>
          <w:tab/>
        </w:r>
        <w:r w:rsidR="00040656">
          <w:rPr>
            <w:noProof/>
            <w:webHidden/>
          </w:rPr>
          <w:fldChar w:fldCharType="begin"/>
        </w:r>
        <w:r w:rsidR="00040656">
          <w:rPr>
            <w:noProof/>
            <w:webHidden/>
          </w:rPr>
          <w:instrText xml:space="preserve"> PAGEREF _Toc56495226 \h </w:instrText>
        </w:r>
        <w:r w:rsidR="00040656">
          <w:rPr>
            <w:noProof/>
            <w:webHidden/>
          </w:rPr>
        </w:r>
        <w:r w:rsidR="00040656">
          <w:rPr>
            <w:noProof/>
            <w:webHidden/>
          </w:rPr>
          <w:fldChar w:fldCharType="separate"/>
        </w:r>
        <w:r w:rsidR="00CB0D8F">
          <w:rPr>
            <w:noProof/>
            <w:webHidden/>
          </w:rPr>
          <w:t>94</w:t>
        </w:r>
        <w:r w:rsidR="00040656">
          <w:rPr>
            <w:noProof/>
            <w:webHidden/>
          </w:rPr>
          <w:fldChar w:fldCharType="end"/>
        </w:r>
      </w:hyperlink>
    </w:p>
    <w:p w14:paraId="18521A6C" w14:textId="704C323D" w:rsidR="00040656" w:rsidRDefault="00B568C9">
      <w:pPr>
        <w:pStyle w:val="TableofFigures"/>
        <w:tabs>
          <w:tab w:val="left" w:pos="1000"/>
          <w:tab w:val="right" w:leader="dot" w:pos="8779"/>
        </w:tabs>
        <w:rPr>
          <w:rFonts w:asciiTheme="minorHAnsi" w:hAnsiTheme="minorHAnsi"/>
          <w:noProof/>
          <w:sz w:val="24"/>
          <w:szCs w:val="24"/>
          <w:lang w:eastAsia="en-GB"/>
        </w:rPr>
      </w:pPr>
      <w:hyperlink r:id="rId14" w:anchor="_Toc56495227" w:history="1">
        <w:r w:rsidR="00040656" w:rsidRPr="00BB269B">
          <w:rPr>
            <w:rStyle w:val="Hyperlink"/>
            <w:noProof/>
          </w:rPr>
          <w:t>Figure 8</w:t>
        </w:r>
        <w:r w:rsidR="00040656">
          <w:rPr>
            <w:rFonts w:asciiTheme="minorHAnsi" w:hAnsiTheme="minorHAnsi"/>
            <w:noProof/>
            <w:sz w:val="24"/>
            <w:szCs w:val="24"/>
            <w:lang w:eastAsia="en-GB"/>
          </w:rPr>
          <w:tab/>
        </w:r>
        <w:r w:rsidR="00040656" w:rsidRPr="00BB269B">
          <w:rPr>
            <w:rStyle w:val="Hyperlink"/>
            <w:noProof/>
          </w:rPr>
          <w:t>Selecting how dyslexic students learned of their dyslexia</w:t>
        </w:r>
        <w:r w:rsidR="00040656">
          <w:rPr>
            <w:noProof/>
            <w:webHidden/>
          </w:rPr>
          <w:tab/>
        </w:r>
        <w:r w:rsidR="00040656">
          <w:rPr>
            <w:noProof/>
            <w:webHidden/>
          </w:rPr>
          <w:fldChar w:fldCharType="begin"/>
        </w:r>
        <w:r w:rsidR="00040656">
          <w:rPr>
            <w:noProof/>
            <w:webHidden/>
          </w:rPr>
          <w:instrText xml:space="preserve"> PAGEREF _Toc56495227 \h </w:instrText>
        </w:r>
        <w:r w:rsidR="00040656">
          <w:rPr>
            <w:noProof/>
            <w:webHidden/>
          </w:rPr>
        </w:r>
        <w:r w:rsidR="00040656">
          <w:rPr>
            <w:noProof/>
            <w:webHidden/>
          </w:rPr>
          <w:fldChar w:fldCharType="separate"/>
        </w:r>
        <w:r w:rsidR="00CB0D8F">
          <w:rPr>
            <w:noProof/>
            <w:webHidden/>
          </w:rPr>
          <w:t>117</w:t>
        </w:r>
        <w:r w:rsidR="00040656">
          <w:rPr>
            <w:noProof/>
            <w:webHidden/>
          </w:rPr>
          <w:fldChar w:fldCharType="end"/>
        </w:r>
      </w:hyperlink>
    </w:p>
    <w:p w14:paraId="20CC6C3D" w14:textId="547F1131" w:rsidR="00040656" w:rsidRDefault="00B568C9">
      <w:pPr>
        <w:pStyle w:val="TableofFigures"/>
        <w:tabs>
          <w:tab w:val="left" w:pos="1000"/>
          <w:tab w:val="right" w:leader="dot" w:pos="8779"/>
        </w:tabs>
        <w:rPr>
          <w:rFonts w:asciiTheme="minorHAnsi" w:hAnsiTheme="minorHAnsi"/>
          <w:noProof/>
          <w:sz w:val="24"/>
          <w:szCs w:val="24"/>
          <w:lang w:eastAsia="en-GB"/>
        </w:rPr>
      </w:pPr>
      <w:hyperlink r:id="rId15" w:anchor="_Toc56495228" w:history="1">
        <w:r w:rsidR="00040656" w:rsidRPr="00BB269B">
          <w:rPr>
            <w:rStyle w:val="Hyperlink"/>
            <w:noProof/>
          </w:rPr>
          <w:t>Figure 9:</w:t>
        </w:r>
        <w:r w:rsidR="00040656">
          <w:rPr>
            <w:rFonts w:asciiTheme="minorHAnsi" w:hAnsiTheme="minorHAnsi"/>
            <w:noProof/>
            <w:sz w:val="24"/>
            <w:szCs w:val="24"/>
            <w:lang w:eastAsia="en-GB"/>
          </w:rPr>
          <w:tab/>
        </w:r>
        <w:r w:rsidR="00040656" w:rsidRPr="00BB269B">
          <w:rPr>
            <w:rStyle w:val="Hyperlink"/>
            <w:noProof/>
          </w:rPr>
          <w:t>Profile chart for a participant in the quasi-dyslexic subgroup</w:t>
        </w:r>
        <w:r w:rsidR="00040656">
          <w:rPr>
            <w:noProof/>
            <w:webHidden/>
          </w:rPr>
          <w:tab/>
        </w:r>
        <w:r w:rsidR="00040656">
          <w:rPr>
            <w:noProof/>
            <w:webHidden/>
          </w:rPr>
          <w:fldChar w:fldCharType="begin"/>
        </w:r>
        <w:r w:rsidR="00040656">
          <w:rPr>
            <w:noProof/>
            <w:webHidden/>
          </w:rPr>
          <w:instrText xml:space="preserve"> PAGEREF _Toc56495228 \h </w:instrText>
        </w:r>
        <w:r w:rsidR="00040656">
          <w:rPr>
            <w:noProof/>
            <w:webHidden/>
          </w:rPr>
        </w:r>
        <w:r w:rsidR="00040656">
          <w:rPr>
            <w:noProof/>
            <w:webHidden/>
          </w:rPr>
          <w:fldChar w:fldCharType="separate"/>
        </w:r>
        <w:r w:rsidR="00CB0D8F">
          <w:rPr>
            <w:noProof/>
            <w:webHidden/>
          </w:rPr>
          <w:t>119</w:t>
        </w:r>
        <w:r w:rsidR="00040656">
          <w:rPr>
            <w:noProof/>
            <w:webHidden/>
          </w:rPr>
          <w:fldChar w:fldCharType="end"/>
        </w:r>
      </w:hyperlink>
    </w:p>
    <w:p w14:paraId="5D61332E" w14:textId="3D288494" w:rsidR="00040656" w:rsidRDefault="00B568C9">
      <w:pPr>
        <w:pStyle w:val="TableofFigures"/>
        <w:tabs>
          <w:tab w:val="left" w:pos="1000"/>
          <w:tab w:val="right" w:leader="dot" w:pos="8779"/>
        </w:tabs>
        <w:rPr>
          <w:rFonts w:asciiTheme="minorHAnsi" w:hAnsiTheme="minorHAnsi"/>
          <w:noProof/>
          <w:sz w:val="24"/>
          <w:szCs w:val="24"/>
          <w:lang w:eastAsia="en-GB"/>
        </w:rPr>
      </w:pPr>
      <w:hyperlink w:anchor="_Toc56495229" w:history="1">
        <w:r w:rsidR="00040656" w:rsidRPr="00BB269B">
          <w:rPr>
            <w:rStyle w:val="Hyperlink"/>
            <w:noProof/>
          </w:rPr>
          <w:t>Figure 10:</w:t>
        </w:r>
        <w:r w:rsidR="00040656">
          <w:rPr>
            <w:rFonts w:asciiTheme="minorHAnsi" w:hAnsiTheme="minorHAnsi"/>
            <w:noProof/>
            <w:sz w:val="24"/>
            <w:szCs w:val="24"/>
            <w:lang w:eastAsia="en-GB"/>
          </w:rPr>
          <w:tab/>
        </w:r>
        <w:r w:rsidR="00040656" w:rsidRPr="00BB269B">
          <w:rPr>
            <w:rStyle w:val="Hyperlink"/>
            <w:noProof/>
          </w:rPr>
          <w:t>The Dyslexia-ness Continuum - displaying data from this current study</w:t>
        </w:r>
        <w:r w:rsidR="00040656">
          <w:rPr>
            <w:noProof/>
            <w:webHidden/>
          </w:rPr>
          <w:tab/>
        </w:r>
        <w:r w:rsidR="00040656">
          <w:rPr>
            <w:noProof/>
            <w:webHidden/>
          </w:rPr>
          <w:fldChar w:fldCharType="begin"/>
        </w:r>
        <w:r w:rsidR="00040656">
          <w:rPr>
            <w:noProof/>
            <w:webHidden/>
          </w:rPr>
          <w:instrText xml:space="preserve"> PAGEREF _Toc56495229 \h </w:instrText>
        </w:r>
        <w:r w:rsidR="00040656">
          <w:rPr>
            <w:noProof/>
            <w:webHidden/>
          </w:rPr>
        </w:r>
        <w:r w:rsidR="00040656">
          <w:rPr>
            <w:noProof/>
            <w:webHidden/>
          </w:rPr>
          <w:fldChar w:fldCharType="separate"/>
        </w:r>
        <w:r w:rsidR="00CB0D8F">
          <w:rPr>
            <w:noProof/>
            <w:webHidden/>
          </w:rPr>
          <w:t>124</w:t>
        </w:r>
        <w:r w:rsidR="00040656">
          <w:rPr>
            <w:noProof/>
            <w:webHidden/>
          </w:rPr>
          <w:fldChar w:fldCharType="end"/>
        </w:r>
      </w:hyperlink>
    </w:p>
    <w:p w14:paraId="74F54F70" w14:textId="63625436" w:rsidR="00040656" w:rsidRDefault="00B568C9">
      <w:pPr>
        <w:pStyle w:val="TableofFigures"/>
        <w:tabs>
          <w:tab w:val="left" w:pos="1000"/>
          <w:tab w:val="right" w:leader="dot" w:pos="8779"/>
        </w:tabs>
        <w:rPr>
          <w:rFonts w:asciiTheme="minorHAnsi" w:hAnsiTheme="minorHAnsi"/>
          <w:noProof/>
          <w:sz w:val="24"/>
          <w:szCs w:val="24"/>
          <w:lang w:eastAsia="en-GB"/>
        </w:rPr>
      </w:pPr>
      <w:hyperlink w:anchor="_Toc56495230" w:history="1">
        <w:r w:rsidR="00040656" w:rsidRPr="00BB269B">
          <w:rPr>
            <w:rStyle w:val="Hyperlink"/>
            <w:rFonts w:eastAsiaTheme="majorEastAsia" w:cstheme="majorBidi"/>
            <w:noProof/>
          </w:rPr>
          <w:t>Figure 11:</w:t>
        </w:r>
        <w:r w:rsidR="00040656">
          <w:rPr>
            <w:rFonts w:asciiTheme="minorHAnsi" w:hAnsiTheme="minorHAnsi"/>
            <w:noProof/>
            <w:sz w:val="24"/>
            <w:szCs w:val="24"/>
            <w:lang w:eastAsia="en-GB"/>
          </w:rPr>
          <w:tab/>
        </w:r>
        <w:r w:rsidR="00040656" w:rsidRPr="00BB269B">
          <w:rPr>
            <w:rStyle w:val="Hyperlink"/>
            <w:rFonts w:eastAsiaTheme="majorEastAsia" w:cstheme="majorBidi"/>
            <w:noProof/>
          </w:rPr>
          <w:t>Dyslexia dimensions distributed across BDA components</w:t>
        </w:r>
        <w:r w:rsidR="00040656">
          <w:rPr>
            <w:noProof/>
            <w:webHidden/>
          </w:rPr>
          <w:tab/>
        </w:r>
        <w:r w:rsidR="00040656">
          <w:rPr>
            <w:noProof/>
            <w:webHidden/>
          </w:rPr>
          <w:fldChar w:fldCharType="begin"/>
        </w:r>
        <w:r w:rsidR="00040656">
          <w:rPr>
            <w:noProof/>
            <w:webHidden/>
          </w:rPr>
          <w:instrText xml:space="preserve"> PAGEREF _Toc56495230 \h </w:instrText>
        </w:r>
        <w:r w:rsidR="00040656">
          <w:rPr>
            <w:noProof/>
            <w:webHidden/>
          </w:rPr>
        </w:r>
        <w:r w:rsidR="00040656">
          <w:rPr>
            <w:noProof/>
            <w:webHidden/>
          </w:rPr>
          <w:fldChar w:fldCharType="separate"/>
        </w:r>
        <w:r w:rsidR="00CB0D8F">
          <w:rPr>
            <w:noProof/>
            <w:webHidden/>
          </w:rPr>
          <w:t>130</w:t>
        </w:r>
        <w:r w:rsidR="00040656">
          <w:rPr>
            <w:noProof/>
            <w:webHidden/>
          </w:rPr>
          <w:fldChar w:fldCharType="end"/>
        </w:r>
      </w:hyperlink>
    </w:p>
    <w:p w14:paraId="01F572D4" w14:textId="76F0CBE7" w:rsidR="00040656" w:rsidRDefault="00B568C9">
      <w:pPr>
        <w:pStyle w:val="TableofFigures"/>
        <w:tabs>
          <w:tab w:val="left" w:pos="1000"/>
          <w:tab w:val="right" w:leader="dot" w:pos="8779"/>
        </w:tabs>
        <w:rPr>
          <w:rFonts w:asciiTheme="minorHAnsi" w:hAnsiTheme="minorHAnsi"/>
          <w:noProof/>
          <w:sz w:val="24"/>
          <w:szCs w:val="24"/>
          <w:lang w:eastAsia="en-GB"/>
        </w:rPr>
      </w:pPr>
      <w:hyperlink r:id="rId16" w:anchor="_Toc56495231" w:history="1">
        <w:r w:rsidR="00040656" w:rsidRPr="00BB269B">
          <w:rPr>
            <w:rStyle w:val="Hyperlink"/>
            <w:noProof/>
          </w:rPr>
          <w:t>Figure 12:</w:t>
        </w:r>
        <w:r w:rsidR="00040656">
          <w:rPr>
            <w:rFonts w:asciiTheme="minorHAnsi" w:hAnsiTheme="minorHAnsi"/>
            <w:noProof/>
            <w:sz w:val="24"/>
            <w:szCs w:val="24"/>
            <w:lang w:eastAsia="en-GB"/>
          </w:rPr>
          <w:tab/>
        </w:r>
        <w:r w:rsidR="00040656" w:rsidRPr="00BB269B">
          <w:rPr>
            <w:rStyle w:val="Hyperlink"/>
            <w:noProof/>
          </w:rPr>
          <w:t>Likert-style scale item continuous range input slider used in the Straw-Poll of dyslexia practitioners</w:t>
        </w:r>
        <w:r w:rsidR="00040656">
          <w:rPr>
            <w:noProof/>
            <w:webHidden/>
          </w:rPr>
          <w:tab/>
        </w:r>
        <w:r w:rsidR="00040656">
          <w:rPr>
            <w:noProof/>
            <w:webHidden/>
          </w:rPr>
          <w:fldChar w:fldCharType="begin"/>
        </w:r>
        <w:r w:rsidR="00040656">
          <w:rPr>
            <w:noProof/>
            <w:webHidden/>
          </w:rPr>
          <w:instrText xml:space="preserve"> PAGEREF _Toc56495231 \h </w:instrText>
        </w:r>
        <w:r w:rsidR="00040656">
          <w:rPr>
            <w:noProof/>
            <w:webHidden/>
          </w:rPr>
        </w:r>
        <w:r w:rsidR="00040656">
          <w:rPr>
            <w:noProof/>
            <w:webHidden/>
          </w:rPr>
          <w:fldChar w:fldCharType="separate"/>
        </w:r>
        <w:r w:rsidR="00CB0D8F">
          <w:rPr>
            <w:noProof/>
            <w:webHidden/>
          </w:rPr>
          <w:t>132</w:t>
        </w:r>
        <w:r w:rsidR="00040656">
          <w:rPr>
            <w:noProof/>
            <w:webHidden/>
          </w:rPr>
          <w:fldChar w:fldCharType="end"/>
        </w:r>
      </w:hyperlink>
    </w:p>
    <w:p w14:paraId="4042DB4C" w14:textId="211D11AE" w:rsidR="00040656" w:rsidRDefault="00B568C9">
      <w:pPr>
        <w:pStyle w:val="TableofFigures"/>
        <w:tabs>
          <w:tab w:val="left" w:pos="1000"/>
          <w:tab w:val="right" w:leader="dot" w:pos="8779"/>
        </w:tabs>
        <w:rPr>
          <w:rFonts w:asciiTheme="minorHAnsi" w:hAnsiTheme="minorHAnsi"/>
          <w:noProof/>
          <w:sz w:val="24"/>
          <w:szCs w:val="24"/>
          <w:lang w:eastAsia="en-GB"/>
        </w:rPr>
      </w:pPr>
      <w:hyperlink r:id="rId17" w:anchor="_Toc56495232" w:history="1">
        <w:r w:rsidR="00040656" w:rsidRPr="00BB269B">
          <w:rPr>
            <w:rStyle w:val="Hyperlink"/>
            <w:noProof/>
          </w:rPr>
          <w:t>Figure 13:</w:t>
        </w:r>
        <w:r w:rsidR="00040656">
          <w:rPr>
            <w:rFonts w:asciiTheme="minorHAnsi" w:hAnsiTheme="minorHAnsi"/>
            <w:noProof/>
            <w:sz w:val="24"/>
            <w:szCs w:val="24"/>
            <w:lang w:eastAsia="en-GB"/>
          </w:rPr>
          <w:tab/>
        </w:r>
        <w:r w:rsidR="00040656" w:rsidRPr="00BB269B">
          <w:rPr>
            <w:rStyle w:val="Hyperlink"/>
            <w:noProof/>
          </w:rPr>
          <w:t>Option-selection sentence to indicate how students learned of their dyslexia</w:t>
        </w:r>
        <w:r w:rsidR="00040656">
          <w:rPr>
            <w:noProof/>
            <w:webHidden/>
          </w:rPr>
          <w:tab/>
        </w:r>
        <w:r w:rsidR="00040656">
          <w:rPr>
            <w:noProof/>
            <w:webHidden/>
          </w:rPr>
          <w:fldChar w:fldCharType="begin"/>
        </w:r>
        <w:r w:rsidR="00040656">
          <w:rPr>
            <w:noProof/>
            <w:webHidden/>
          </w:rPr>
          <w:instrText xml:space="preserve"> PAGEREF _Toc56495232 \h </w:instrText>
        </w:r>
        <w:r w:rsidR="00040656">
          <w:rPr>
            <w:noProof/>
            <w:webHidden/>
          </w:rPr>
        </w:r>
        <w:r w:rsidR="00040656">
          <w:rPr>
            <w:noProof/>
            <w:webHidden/>
          </w:rPr>
          <w:fldChar w:fldCharType="separate"/>
        </w:r>
        <w:r w:rsidR="00CB0D8F">
          <w:rPr>
            <w:noProof/>
            <w:webHidden/>
          </w:rPr>
          <w:t>151</w:t>
        </w:r>
        <w:r w:rsidR="00040656">
          <w:rPr>
            <w:noProof/>
            <w:webHidden/>
          </w:rPr>
          <w:fldChar w:fldCharType="end"/>
        </w:r>
      </w:hyperlink>
    </w:p>
    <w:p w14:paraId="5FE3D9DC" w14:textId="27182CBC" w:rsidR="00040656" w:rsidRDefault="00B568C9">
      <w:pPr>
        <w:pStyle w:val="TableofFigures"/>
        <w:tabs>
          <w:tab w:val="left" w:pos="1000"/>
          <w:tab w:val="right" w:leader="dot" w:pos="8779"/>
        </w:tabs>
        <w:rPr>
          <w:rFonts w:asciiTheme="minorHAnsi" w:hAnsiTheme="minorHAnsi"/>
          <w:noProof/>
          <w:sz w:val="24"/>
          <w:szCs w:val="24"/>
          <w:lang w:eastAsia="en-GB"/>
        </w:rPr>
      </w:pPr>
      <w:hyperlink w:anchor="_Toc56495233" w:history="1">
        <w:r w:rsidR="00040656" w:rsidRPr="00BB269B">
          <w:rPr>
            <w:rStyle w:val="Hyperlink"/>
            <w:noProof/>
          </w:rPr>
          <w:t>Figure 14:</w:t>
        </w:r>
        <w:r w:rsidR="00040656">
          <w:rPr>
            <w:rFonts w:asciiTheme="minorHAnsi" w:hAnsiTheme="minorHAnsi"/>
            <w:noProof/>
            <w:sz w:val="24"/>
            <w:szCs w:val="24"/>
            <w:lang w:eastAsia="en-GB"/>
          </w:rPr>
          <w:tab/>
        </w:r>
        <w:r w:rsidR="00040656" w:rsidRPr="00BB269B">
          <w:rPr>
            <w:rStyle w:val="Hyperlink"/>
            <w:noProof/>
          </w:rPr>
          <w:t>Distributions of Dyslexia Index for the Non-Dyslexic, (RG:ND), and the Dyslexic (RG:DI), groups.</w:t>
        </w:r>
        <w:r w:rsidR="00040656">
          <w:rPr>
            <w:noProof/>
            <w:webHidden/>
          </w:rPr>
          <w:tab/>
        </w:r>
        <w:r w:rsidR="00040656">
          <w:rPr>
            <w:noProof/>
            <w:webHidden/>
          </w:rPr>
          <w:fldChar w:fldCharType="begin"/>
        </w:r>
        <w:r w:rsidR="00040656">
          <w:rPr>
            <w:noProof/>
            <w:webHidden/>
          </w:rPr>
          <w:instrText xml:space="preserve"> PAGEREF _Toc56495233 \h </w:instrText>
        </w:r>
        <w:r w:rsidR="00040656">
          <w:rPr>
            <w:noProof/>
            <w:webHidden/>
          </w:rPr>
        </w:r>
        <w:r w:rsidR="00040656">
          <w:rPr>
            <w:noProof/>
            <w:webHidden/>
          </w:rPr>
          <w:fldChar w:fldCharType="separate"/>
        </w:r>
        <w:r w:rsidR="00CB0D8F">
          <w:rPr>
            <w:noProof/>
            <w:webHidden/>
          </w:rPr>
          <w:t>158</w:t>
        </w:r>
        <w:r w:rsidR="00040656">
          <w:rPr>
            <w:noProof/>
            <w:webHidden/>
          </w:rPr>
          <w:fldChar w:fldCharType="end"/>
        </w:r>
      </w:hyperlink>
    </w:p>
    <w:p w14:paraId="4329C94E" w14:textId="4B709994" w:rsidR="00040656" w:rsidRDefault="00B568C9">
      <w:pPr>
        <w:pStyle w:val="TableofFigures"/>
        <w:tabs>
          <w:tab w:val="left" w:pos="1000"/>
          <w:tab w:val="right" w:leader="dot" w:pos="8779"/>
        </w:tabs>
        <w:rPr>
          <w:rFonts w:asciiTheme="minorHAnsi" w:hAnsiTheme="minorHAnsi"/>
          <w:noProof/>
          <w:sz w:val="24"/>
          <w:szCs w:val="24"/>
          <w:lang w:eastAsia="en-GB"/>
        </w:rPr>
      </w:pPr>
      <w:hyperlink w:anchor="_Toc56495234" w:history="1">
        <w:r w:rsidR="00040656" w:rsidRPr="00BB269B">
          <w:rPr>
            <w:rStyle w:val="Hyperlink"/>
            <w:noProof/>
          </w:rPr>
          <w:t>Figure 15.</w:t>
        </w:r>
        <w:r w:rsidR="00040656">
          <w:rPr>
            <w:rFonts w:asciiTheme="minorHAnsi" w:hAnsiTheme="minorHAnsi"/>
            <w:noProof/>
            <w:sz w:val="24"/>
            <w:szCs w:val="24"/>
            <w:lang w:eastAsia="en-GB"/>
          </w:rPr>
          <w:tab/>
        </w:r>
        <w:r w:rsidR="00040656" w:rsidRPr="00BB269B">
          <w:rPr>
            <w:rStyle w:val="Hyperlink"/>
            <w:noProof/>
          </w:rPr>
          <w:t>Research groups located on the Dyslexia-ness Continuum using the Dx20, and Dx16 sca</w:t>
        </w:r>
        <w:r w:rsidR="00040656">
          <w:rPr>
            <w:noProof/>
            <w:webHidden/>
          </w:rPr>
          <w:tab/>
        </w:r>
        <w:r w:rsidR="00040656">
          <w:rPr>
            <w:noProof/>
            <w:webHidden/>
          </w:rPr>
          <w:fldChar w:fldCharType="begin"/>
        </w:r>
        <w:r w:rsidR="00040656">
          <w:rPr>
            <w:noProof/>
            <w:webHidden/>
          </w:rPr>
          <w:instrText xml:space="preserve"> PAGEREF _Toc56495234 \h </w:instrText>
        </w:r>
        <w:r w:rsidR="00040656">
          <w:rPr>
            <w:noProof/>
            <w:webHidden/>
          </w:rPr>
        </w:r>
        <w:r w:rsidR="00040656">
          <w:rPr>
            <w:noProof/>
            <w:webHidden/>
          </w:rPr>
          <w:fldChar w:fldCharType="separate"/>
        </w:r>
        <w:r w:rsidR="00CB0D8F">
          <w:rPr>
            <w:noProof/>
            <w:webHidden/>
          </w:rPr>
          <w:t>159</w:t>
        </w:r>
        <w:r w:rsidR="00040656">
          <w:rPr>
            <w:noProof/>
            <w:webHidden/>
          </w:rPr>
          <w:fldChar w:fldCharType="end"/>
        </w:r>
      </w:hyperlink>
    </w:p>
    <w:p w14:paraId="351C7CE5" w14:textId="7DB6D5B0" w:rsidR="00040656" w:rsidRDefault="00B568C9">
      <w:pPr>
        <w:pStyle w:val="TableofFigures"/>
        <w:tabs>
          <w:tab w:val="left" w:pos="1000"/>
          <w:tab w:val="right" w:leader="dot" w:pos="8779"/>
        </w:tabs>
        <w:rPr>
          <w:rFonts w:asciiTheme="minorHAnsi" w:hAnsiTheme="minorHAnsi"/>
          <w:noProof/>
          <w:sz w:val="24"/>
          <w:szCs w:val="24"/>
          <w:lang w:eastAsia="en-GB"/>
        </w:rPr>
      </w:pPr>
      <w:hyperlink r:id="rId18" w:anchor="_Toc56495235" w:history="1">
        <w:r w:rsidR="00040656" w:rsidRPr="00BB269B">
          <w:rPr>
            <w:rStyle w:val="Hyperlink"/>
            <w:noProof/>
          </w:rPr>
          <w:t>Figure 16:</w:t>
        </w:r>
        <w:r w:rsidR="00040656">
          <w:rPr>
            <w:rFonts w:asciiTheme="minorHAnsi" w:hAnsiTheme="minorHAnsi"/>
            <w:noProof/>
            <w:sz w:val="24"/>
            <w:szCs w:val="24"/>
            <w:lang w:eastAsia="en-GB"/>
          </w:rPr>
          <w:tab/>
        </w:r>
        <w:r w:rsidR="00040656" w:rsidRPr="00BB269B">
          <w:rPr>
            <w:rStyle w:val="Hyperlink"/>
            <w:noProof/>
          </w:rPr>
          <w:t>Normal Q-Q plots for Dyslexia Index.</w:t>
        </w:r>
        <w:r w:rsidR="00040656">
          <w:rPr>
            <w:noProof/>
            <w:webHidden/>
          </w:rPr>
          <w:tab/>
        </w:r>
        <w:r w:rsidR="00040656">
          <w:rPr>
            <w:noProof/>
            <w:webHidden/>
          </w:rPr>
          <w:fldChar w:fldCharType="begin"/>
        </w:r>
        <w:r w:rsidR="00040656">
          <w:rPr>
            <w:noProof/>
            <w:webHidden/>
          </w:rPr>
          <w:instrText xml:space="preserve"> PAGEREF _Toc56495235 \h </w:instrText>
        </w:r>
        <w:r w:rsidR="00040656">
          <w:rPr>
            <w:noProof/>
            <w:webHidden/>
          </w:rPr>
        </w:r>
        <w:r w:rsidR="00040656">
          <w:rPr>
            <w:noProof/>
            <w:webHidden/>
          </w:rPr>
          <w:fldChar w:fldCharType="separate"/>
        </w:r>
        <w:r w:rsidR="00CB0D8F">
          <w:rPr>
            <w:noProof/>
            <w:webHidden/>
          </w:rPr>
          <w:t>160</w:t>
        </w:r>
        <w:r w:rsidR="00040656">
          <w:rPr>
            <w:noProof/>
            <w:webHidden/>
          </w:rPr>
          <w:fldChar w:fldCharType="end"/>
        </w:r>
      </w:hyperlink>
    </w:p>
    <w:p w14:paraId="20F02294" w14:textId="0A88ADB8" w:rsidR="00040656" w:rsidRDefault="00B568C9">
      <w:pPr>
        <w:pStyle w:val="TableofFigures"/>
        <w:tabs>
          <w:tab w:val="left" w:pos="1000"/>
          <w:tab w:val="right" w:leader="dot" w:pos="8779"/>
        </w:tabs>
        <w:rPr>
          <w:rFonts w:asciiTheme="minorHAnsi" w:hAnsiTheme="minorHAnsi"/>
          <w:noProof/>
          <w:sz w:val="24"/>
          <w:szCs w:val="24"/>
          <w:lang w:eastAsia="en-GB"/>
        </w:rPr>
      </w:pPr>
      <w:hyperlink r:id="rId19" w:anchor="_Toc56495236" w:history="1">
        <w:r w:rsidR="00040656" w:rsidRPr="00BB269B">
          <w:rPr>
            <w:rStyle w:val="Hyperlink"/>
            <w:noProof/>
          </w:rPr>
          <w:t>Figure 17:</w:t>
        </w:r>
        <w:r w:rsidR="00040656">
          <w:rPr>
            <w:rFonts w:asciiTheme="minorHAnsi" w:hAnsiTheme="minorHAnsi"/>
            <w:noProof/>
            <w:sz w:val="24"/>
            <w:szCs w:val="24"/>
            <w:lang w:eastAsia="en-GB"/>
          </w:rPr>
          <w:tab/>
        </w:r>
        <w:r w:rsidR="00040656" w:rsidRPr="00BB269B">
          <w:rPr>
            <w:rStyle w:val="Hyperlink"/>
            <w:noProof/>
          </w:rPr>
          <w:t>Scree plot of raw data and Eigenvalue Monte Carlo Simulations for the ABC24 Scale</w:t>
        </w:r>
        <w:r w:rsidR="00040656">
          <w:rPr>
            <w:noProof/>
            <w:webHidden/>
          </w:rPr>
          <w:tab/>
        </w:r>
        <w:r w:rsidR="00040656">
          <w:rPr>
            <w:noProof/>
            <w:webHidden/>
          </w:rPr>
          <w:fldChar w:fldCharType="begin"/>
        </w:r>
        <w:r w:rsidR="00040656">
          <w:rPr>
            <w:noProof/>
            <w:webHidden/>
          </w:rPr>
          <w:instrText xml:space="preserve"> PAGEREF _Toc56495236 \h </w:instrText>
        </w:r>
        <w:r w:rsidR="00040656">
          <w:rPr>
            <w:noProof/>
            <w:webHidden/>
          </w:rPr>
        </w:r>
        <w:r w:rsidR="00040656">
          <w:rPr>
            <w:noProof/>
            <w:webHidden/>
          </w:rPr>
          <w:fldChar w:fldCharType="separate"/>
        </w:r>
        <w:r w:rsidR="00CB0D8F">
          <w:rPr>
            <w:noProof/>
            <w:webHidden/>
          </w:rPr>
          <w:t>172</w:t>
        </w:r>
        <w:r w:rsidR="00040656">
          <w:rPr>
            <w:noProof/>
            <w:webHidden/>
          </w:rPr>
          <w:fldChar w:fldCharType="end"/>
        </w:r>
      </w:hyperlink>
    </w:p>
    <w:p w14:paraId="376B42E3" w14:textId="54FAB2E2" w:rsidR="00040656" w:rsidRDefault="00B568C9">
      <w:pPr>
        <w:pStyle w:val="TableofFigures"/>
        <w:tabs>
          <w:tab w:val="left" w:pos="1000"/>
          <w:tab w:val="right" w:leader="dot" w:pos="8779"/>
        </w:tabs>
        <w:rPr>
          <w:rFonts w:asciiTheme="minorHAnsi" w:hAnsiTheme="minorHAnsi"/>
          <w:noProof/>
          <w:sz w:val="24"/>
          <w:szCs w:val="24"/>
          <w:lang w:eastAsia="en-GB"/>
        </w:rPr>
      </w:pPr>
      <w:hyperlink r:id="rId20" w:anchor="_Toc56495237" w:history="1">
        <w:r w:rsidR="00040656" w:rsidRPr="00BB269B">
          <w:rPr>
            <w:rStyle w:val="Hyperlink"/>
            <w:noProof/>
          </w:rPr>
          <w:t>Figure 18:</w:t>
        </w:r>
        <w:r w:rsidR="00040656">
          <w:rPr>
            <w:rFonts w:asciiTheme="minorHAnsi" w:hAnsiTheme="minorHAnsi"/>
            <w:noProof/>
            <w:sz w:val="24"/>
            <w:szCs w:val="24"/>
            <w:lang w:eastAsia="en-GB"/>
          </w:rPr>
          <w:tab/>
        </w:r>
        <w:r w:rsidR="00040656" w:rsidRPr="00BB269B">
          <w:rPr>
            <w:rStyle w:val="Hyperlink"/>
            <w:noProof/>
          </w:rPr>
          <w:t>Scree plot of raw data and Eigenvalue Monte Carlo Simulations for the Dx20 Profiler Scale.</w:t>
        </w:r>
        <w:r w:rsidR="00040656">
          <w:rPr>
            <w:noProof/>
            <w:webHidden/>
          </w:rPr>
          <w:tab/>
        </w:r>
        <w:r w:rsidR="00040656">
          <w:rPr>
            <w:noProof/>
            <w:webHidden/>
          </w:rPr>
          <w:fldChar w:fldCharType="begin"/>
        </w:r>
        <w:r w:rsidR="00040656">
          <w:rPr>
            <w:noProof/>
            <w:webHidden/>
          </w:rPr>
          <w:instrText xml:space="preserve"> PAGEREF _Toc56495237 \h </w:instrText>
        </w:r>
        <w:r w:rsidR="00040656">
          <w:rPr>
            <w:noProof/>
            <w:webHidden/>
          </w:rPr>
        </w:r>
        <w:r w:rsidR="00040656">
          <w:rPr>
            <w:noProof/>
            <w:webHidden/>
          </w:rPr>
          <w:fldChar w:fldCharType="separate"/>
        </w:r>
        <w:r w:rsidR="00CB0D8F">
          <w:rPr>
            <w:noProof/>
            <w:webHidden/>
          </w:rPr>
          <w:t>173</w:t>
        </w:r>
        <w:r w:rsidR="00040656">
          <w:rPr>
            <w:noProof/>
            <w:webHidden/>
          </w:rPr>
          <w:fldChar w:fldCharType="end"/>
        </w:r>
      </w:hyperlink>
    </w:p>
    <w:p w14:paraId="28F1BE01" w14:textId="11795A31" w:rsidR="00040656" w:rsidRDefault="00B568C9">
      <w:pPr>
        <w:pStyle w:val="TableofFigures"/>
        <w:tabs>
          <w:tab w:val="left" w:pos="1000"/>
          <w:tab w:val="right" w:leader="dot" w:pos="8779"/>
        </w:tabs>
        <w:rPr>
          <w:rFonts w:asciiTheme="minorHAnsi" w:hAnsiTheme="minorHAnsi"/>
          <w:noProof/>
          <w:sz w:val="24"/>
          <w:szCs w:val="24"/>
          <w:lang w:eastAsia="en-GB"/>
        </w:rPr>
      </w:pPr>
      <w:hyperlink w:anchor="_Toc56495238" w:history="1">
        <w:r w:rsidR="00040656" w:rsidRPr="00BB269B">
          <w:rPr>
            <w:rStyle w:val="Hyperlink"/>
            <w:noProof/>
          </w:rPr>
          <w:t>Figure 19:</w:t>
        </w:r>
        <w:r w:rsidR="00040656">
          <w:rPr>
            <w:rFonts w:asciiTheme="minorHAnsi" w:hAnsiTheme="minorHAnsi"/>
            <w:noProof/>
            <w:sz w:val="24"/>
            <w:szCs w:val="24"/>
            <w:lang w:eastAsia="en-GB"/>
          </w:rPr>
          <w:tab/>
        </w:r>
        <w:r w:rsidR="00040656" w:rsidRPr="00BB269B">
          <w:rPr>
            <w:rStyle w:val="Hyperlink"/>
            <w:noProof/>
          </w:rPr>
          <w:t>Scree plot of eigenvalues for components (factors) of PCA on the ABC24 Scale</w:t>
        </w:r>
        <w:r w:rsidR="00040656">
          <w:rPr>
            <w:noProof/>
            <w:webHidden/>
          </w:rPr>
          <w:tab/>
        </w:r>
        <w:r w:rsidR="00040656">
          <w:rPr>
            <w:noProof/>
            <w:webHidden/>
          </w:rPr>
          <w:fldChar w:fldCharType="begin"/>
        </w:r>
        <w:r w:rsidR="00040656">
          <w:rPr>
            <w:noProof/>
            <w:webHidden/>
          </w:rPr>
          <w:instrText xml:space="preserve"> PAGEREF _Toc56495238 \h </w:instrText>
        </w:r>
        <w:r w:rsidR="00040656">
          <w:rPr>
            <w:noProof/>
            <w:webHidden/>
          </w:rPr>
        </w:r>
        <w:r w:rsidR="00040656">
          <w:rPr>
            <w:noProof/>
            <w:webHidden/>
          </w:rPr>
          <w:fldChar w:fldCharType="separate"/>
        </w:r>
        <w:r w:rsidR="00CB0D8F">
          <w:rPr>
            <w:noProof/>
            <w:webHidden/>
          </w:rPr>
          <w:t>178</w:t>
        </w:r>
        <w:r w:rsidR="00040656">
          <w:rPr>
            <w:noProof/>
            <w:webHidden/>
          </w:rPr>
          <w:fldChar w:fldCharType="end"/>
        </w:r>
      </w:hyperlink>
    </w:p>
    <w:p w14:paraId="5D130766" w14:textId="3E6801F8" w:rsidR="00040656" w:rsidRDefault="00B568C9">
      <w:pPr>
        <w:pStyle w:val="TableofFigures"/>
        <w:tabs>
          <w:tab w:val="left" w:pos="1000"/>
          <w:tab w:val="right" w:leader="dot" w:pos="8779"/>
        </w:tabs>
        <w:rPr>
          <w:rFonts w:asciiTheme="minorHAnsi" w:hAnsiTheme="minorHAnsi"/>
          <w:noProof/>
          <w:sz w:val="24"/>
          <w:szCs w:val="24"/>
          <w:lang w:eastAsia="en-GB"/>
        </w:rPr>
      </w:pPr>
      <w:hyperlink w:anchor="_Toc56495239" w:history="1">
        <w:r w:rsidR="00040656" w:rsidRPr="00BB269B">
          <w:rPr>
            <w:rStyle w:val="Hyperlink"/>
            <w:noProof/>
          </w:rPr>
          <w:t>Figure 20:</w:t>
        </w:r>
        <w:r w:rsidR="00040656">
          <w:rPr>
            <w:rFonts w:asciiTheme="minorHAnsi" w:hAnsiTheme="minorHAnsi"/>
            <w:noProof/>
            <w:sz w:val="24"/>
            <w:szCs w:val="24"/>
            <w:lang w:eastAsia="en-GB"/>
          </w:rPr>
          <w:tab/>
        </w:r>
        <w:r w:rsidR="00040656" w:rsidRPr="00BB269B">
          <w:rPr>
            <w:rStyle w:val="Hyperlink"/>
            <w:noProof/>
          </w:rPr>
          <w:t>Scree plot of eigenvalues for components (factors) of PCA on the Dx20 Profiler Scale.</w:t>
        </w:r>
        <w:r w:rsidR="00040656">
          <w:rPr>
            <w:noProof/>
            <w:webHidden/>
          </w:rPr>
          <w:tab/>
        </w:r>
        <w:r w:rsidR="00040656">
          <w:rPr>
            <w:noProof/>
            <w:webHidden/>
          </w:rPr>
          <w:fldChar w:fldCharType="begin"/>
        </w:r>
        <w:r w:rsidR="00040656">
          <w:rPr>
            <w:noProof/>
            <w:webHidden/>
          </w:rPr>
          <w:instrText xml:space="preserve"> PAGEREF _Toc56495239 \h </w:instrText>
        </w:r>
        <w:r w:rsidR="00040656">
          <w:rPr>
            <w:noProof/>
            <w:webHidden/>
          </w:rPr>
        </w:r>
        <w:r w:rsidR="00040656">
          <w:rPr>
            <w:noProof/>
            <w:webHidden/>
          </w:rPr>
          <w:fldChar w:fldCharType="separate"/>
        </w:r>
        <w:r w:rsidR="00CB0D8F">
          <w:rPr>
            <w:noProof/>
            <w:webHidden/>
          </w:rPr>
          <w:t>181</w:t>
        </w:r>
        <w:r w:rsidR="00040656">
          <w:rPr>
            <w:noProof/>
            <w:webHidden/>
          </w:rPr>
          <w:fldChar w:fldCharType="end"/>
        </w:r>
      </w:hyperlink>
    </w:p>
    <w:p w14:paraId="3E0FC87E" w14:textId="4DF55933" w:rsidR="00040656" w:rsidRDefault="00B568C9">
      <w:pPr>
        <w:pStyle w:val="TableofFigures"/>
        <w:tabs>
          <w:tab w:val="left" w:pos="1000"/>
          <w:tab w:val="right" w:leader="dot" w:pos="8779"/>
        </w:tabs>
        <w:rPr>
          <w:rFonts w:asciiTheme="minorHAnsi" w:hAnsiTheme="minorHAnsi"/>
          <w:noProof/>
          <w:sz w:val="24"/>
          <w:szCs w:val="24"/>
          <w:lang w:eastAsia="en-GB"/>
        </w:rPr>
      </w:pPr>
      <w:hyperlink w:anchor="_Toc56495240" w:history="1">
        <w:r w:rsidR="00040656" w:rsidRPr="00BB269B">
          <w:rPr>
            <w:rStyle w:val="Hyperlink"/>
            <w:noProof/>
          </w:rPr>
          <w:t>Figure 21:</w:t>
        </w:r>
        <w:r w:rsidR="00040656">
          <w:rPr>
            <w:rFonts w:asciiTheme="minorHAnsi" w:hAnsiTheme="minorHAnsi"/>
            <w:noProof/>
            <w:sz w:val="24"/>
            <w:szCs w:val="24"/>
            <w:lang w:eastAsia="en-GB"/>
          </w:rPr>
          <w:tab/>
        </w:r>
        <w:r w:rsidR="00040656" w:rsidRPr="00BB269B">
          <w:rPr>
            <w:rStyle w:val="Hyperlink"/>
            <w:noProof/>
          </w:rPr>
          <w:t>Raw score differences in ABC factor means as defined by the Dx20 Profiler.</w:t>
        </w:r>
        <w:r w:rsidR="00040656">
          <w:rPr>
            <w:noProof/>
            <w:webHidden/>
          </w:rPr>
          <w:tab/>
        </w:r>
        <w:r w:rsidR="00040656">
          <w:rPr>
            <w:noProof/>
            <w:webHidden/>
          </w:rPr>
          <w:fldChar w:fldCharType="begin"/>
        </w:r>
        <w:r w:rsidR="00040656">
          <w:rPr>
            <w:noProof/>
            <w:webHidden/>
          </w:rPr>
          <w:instrText xml:space="preserve"> PAGEREF _Toc56495240 \h </w:instrText>
        </w:r>
        <w:r w:rsidR="00040656">
          <w:rPr>
            <w:noProof/>
            <w:webHidden/>
          </w:rPr>
        </w:r>
        <w:r w:rsidR="00040656">
          <w:rPr>
            <w:noProof/>
            <w:webHidden/>
          </w:rPr>
          <w:fldChar w:fldCharType="separate"/>
        </w:r>
        <w:r w:rsidR="00CB0D8F">
          <w:rPr>
            <w:noProof/>
            <w:webHidden/>
          </w:rPr>
          <w:t>186</w:t>
        </w:r>
        <w:r w:rsidR="00040656">
          <w:rPr>
            <w:noProof/>
            <w:webHidden/>
          </w:rPr>
          <w:fldChar w:fldCharType="end"/>
        </w:r>
      </w:hyperlink>
    </w:p>
    <w:p w14:paraId="7E8B6DF3" w14:textId="1829FEFD" w:rsidR="00040656" w:rsidRDefault="00B568C9">
      <w:pPr>
        <w:pStyle w:val="TableofFigures"/>
        <w:tabs>
          <w:tab w:val="left" w:pos="1000"/>
          <w:tab w:val="right" w:leader="dot" w:pos="8779"/>
        </w:tabs>
        <w:rPr>
          <w:rFonts w:asciiTheme="minorHAnsi" w:hAnsiTheme="minorHAnsi"/>
          <w:noProof/>
          <w:sz w:val="24"/>
          <w:szCs w:val="24"/>
          <w:lang w:eastAsia="en-GB"/>
        </w:rPr>
      </w:pPr>
      <w:hyperlink w:anchor="_Toc56495241" w:history="1">
        <w:r w:rsidR="00040656" w:rsidRPr="00BB269B">
          <w:rPr>
            <w:rStyle w:val="Hyperlink"/>
            <w:noProof/>
          </w:rPr>
          <w:t>Figure 22:</w:t>
        </w:r>
        <w:r w:rsidR="00040656">
          <w:rPr>
            <w:rFonts w:asciiTheme="minorHAnsi" w:hAnsiTheme="minorHAnsi"/>
            <w:noProof/>
            <w:sz w:val="24"/>
            <w:szCs w:val="24"/>
            <w:lang w:eastAsia="en-GB"/>
          </w:rPr>
          <w:tab/>
        </w:r>
        <w:r w:rsidR="00040656" w:rsidRPr="00BB269B">
          <w:rPr>
            <w:rStyle w:val="Hyperlink"/>
            <w:noProof/>
          </w:rPr>
          <w:t>Raw score differences in ABC factor means as defined by the Dx16 Profiler.</w:t>
        </w:r>
        <w:r w:rsidR="00040656">
          <w:rPr>
            <w:noProof/>
            <w:webHidden/>
          </w:rPr>
          <w:tab/>
        </w:r>
        <w:r w:rsidR="00040656">
          <w:rPr>
            <w:noProof/>
            <w:webHidden/>
          </w:rPr>
          <w:fldChar w:fldCharType="begin"/>
        </w:r>
        <w:r w:rsidR="00040656">
          <w:rPr>
            <w:noProof/>
            <w:webHidden/>
          </w:rPr>
          <w:instrText xml:space="preserve"> PAGEREF _Toc56495241 \h </w:instrText>
        </w:r>
        <w:r w:rsidR="00040656">
          <w:rPr>
            <w:noProof/>
            <w:webHidden/>
          </w:rPr>
        </w:r>
        <w:r w:rsidR="00040656">
          <w:rPr>
            <w:noProof/>
            <w:webHidden/>
          </w:rPr>
          <w:fldChar w:fldCharType="separate"/>
        </w:r>
        <w:r w:rsidR="00CB0D8F">
          <w:rPr>
            <w:noProof/>
            <w:webHidden/>
          </w:rPr>
          <w:t>186</w:t>
        </w:r>
        <w:r w:rsidR="00040656">
          <w:rPr>
            <w:noProof/>
            <w:webHidden/>
          </w:rPr>
          <w:fldChar w:fldCharType="end"/>
        </w:r>
      </w:hyperlink>
    </w:p>
    <w:p w14:paraId="4605FDDC" w14:textId="585F1420" w:rsidR="00040656" w:rsidRDefault="00B568C9">
      <w:pPr>
        <w:pStyle w:val="TableofFigures"/>
        <w:tabs>
          <w:tab w:val="left" w:pos="1000"/>
          <w:tab w:val="right" w:leader="dot" w:pos="8779"/>
        </w:tabs>
        <w:rPr>
          <w:rFonts w:asciiTheme="minorHAnsi" w:hAnsiTheme="minorHAnsi"/>
          <w:noProof/>
          <w:sz w:val="24"/>
          <w:szCs w:val="24"/>
          <w:lang w:eastAsia="en-GB"/>
        </w:rPr>
      </w:pPr>
      <w:hyperlink r:id="rId21" w:anchor="_Toc56495242" w:history="1">
        <w:r w:rsidR="00040656" w:rsidRPr="00BB269B">
          <w:rPr>
            <w:rStyle w:val="Hyperlink"/>
            <w:noProof/>
          </w:rPr>
          <w:t>Figure 23:</w:t>
        </w:r>
        <w:r w:rsidR="00040656">
          <w:rPr>
            <w:rFonts w:asciiTheme="minorHAnsi" w:hAnsiTheme="minorHAnsi"/>
            <w:noProof/>
            <w:sz w:val="24"/>
            <w:szCs w:val="24"/>
            <w:lang w:eastAsia="en-GB"/>
          </w:rPr>
          <w:tab/>
        </w:r>
        <w:r w:rsidR="00040656" w:rsidRPr="00BB269B">
          <w:rPr>
            <w:rStyle w:val="Hyperlink"/>
            <w:noProof/>
          </w:rPr>
          <w:t>Scatterplot of ABC24 against Dx20 for the complete datapool</w:t>
        </w:r>
        <w:r w:rsidR="00040656">
          <w:rPr>
            <w:noProof/>
            <w:webHidden/>
          </w:rPr>
          <w:tab/>
        </w:r>
        <w:r w:rsidR="00040656">
          <w:rPr>
            <w:noProof/>
            <w:webHidden/>
          </w:rPr>
          <w:fldChar w:fldCharType="begin"/>
        </w:r>
        <w:r w:rsidR="00040656">
          <w:rPr>
            <w:noProof/>
            <w:webHidden/>
          </w:rPr>
          <w:instrText xml:space="preserve"> PAGEREF _Toc56495242 \h </w:instrText>
        </w:r>
        <w:r w:rsidR="00040656">
          <w:rPr>
            <w:noProof/>
            <w:webHidden/>
          </w:rPr>
        </w:r>
        <w:r w:rsidR="00040656">
          <w:rPr>
            <w:noProof/>
            <w:webHidden/>
          </w:rPr>
          <w:fldChar w:fldCharType="separate"/>
        </w:r>
        <w:r w:rsidR="00CB0D8F">
          <w:rPr>
            <w:noProof/>
            <w:webHidden/>
          </w:rPr>
          <w:t>190</w:t>
        </w:r>
        <w:r w:rsidR="00040656">
          <w:rPr>
            <w:noProof/>
            <w:webHidden/>
          </w:rPr>
          <w:fldChar w:fldCharType="end"/>
        </w:r>
      </w:hyperlink>
    </w:p>
    <w:p w14:paraId="6EE8C10D" w14:textId="6B9F2AA0" w:rsidR="00040656" w:rsidRDefault="00B568C9">
      <w:pPr>
        <w:pStyle w:val="TableofFigures"/>
        <w:tabs>
          <w:tab w:val="left" w:pos="1000"/>
          <w:tab w:val="right" w:leader="dot" w:pos="8779"/>
        </w:tabs>
        <w:rPr>
          <w:rFonts w:asciiTheme="minorHAnsi" w:hAnsiTheme="minorHAnsi"/>
          <w:noProof/>
          <w:sz w:val="24"/>
          <w:szCs w:val="24"/>
          <w:lang w:eastAsia="en-GB"/>
        </w:rPr>
      </w:pPr>
      <w:hyperlink w:anchor="_Toc56495243" w:history="1">
        <w:r w:rsidR="00040656" w:rsidRPr="00BB269B">
          <w:rPr>
            <w:rStyle w:val="Hyperlink"/>
            <w:noProof/>
          </w:rPr>
          <w:t>Figure 24:</w:t>
        </w:r>
        <w:r w:rsidR="00040656">
          <w:rPr>
            <w:rFonts w:asciiTheme="minorHAnsi" w:hAnsiTheme="minorHAnsi"/>
            <w:noProof/>
            <w:sz w:val="24"/>
            <w:szCs w:val="24"/>
            <w:lang w:eastAsia="en-GB"/>
          </w:rPr>
          <w:tab/>
        </w:r>
        <w:r w:rsidR="00040656" w:rsidRPr="00BB269B">
          <w:rPr>
            <w:rStyle w:val="Hyperlink"/>
            <w:noProof/>
          </w:rPr>
          <w:t>Research Ethics Review Form A</w:t>
        </w:r>
        <w:r w:rsidR="00040656">
          <w:rPr>
            <w:noProof/>
            <w:webHidden/>
          </w:rPr>
          <w:tab/>
        </w:r>
        <w:r w:rsidR="00040656">
          <w:rPr>
            <w:noProof/>
            <w:webHidden/>
          </w:rPr>
          <w:fldChar w:fldCharType="begin"/>
        </w:r>
        <w:r w:rsidR="00040656">
          <w:rPr>
            <w:noProof/>
            <w:webHidden/>
          </w:rPr>
          <w:instrText xml:space="preserve"> PAGEREF _Toc56495243 \h </w:instrText>
        </w:r>
        <w:r w:rsidR="00040656">
          <w:rPr>
            <w:noProof/>
            <w:webHidden/>
          </w:rPr>
        </w:r>
        <w:r w:rsidR="00040656">
          <w:rPr>
            <w:noProof/>
            <w:webHidden/>
          </w:rPr>
          <w:fldChar w:fldCharType="separate"/>
        </w:r>
        <w:r w:rsidR="00CB0D8F">
          <w:rPr>
            <w:noProof/>
            <w:webHidden/>
          </w:rPr>
          <w:t>280</w:t>
        </w:r>
        <w:r w:rsidR="00040656">
          <w:rPr>
            <w:noProof/>
            <w:webHidden/>
          </w:rPr>
          <w:fldChar w:fldCharType="end"/>
        </w:r>
      </w:hyperlink>
    </w:p>
    <w:p w14:paraId="724311A5" w14:textId="3D878755" w:rsidR="00040656" w:rsidRDefault="00B568C9">
      <w:pPr>
        <w:pStyle w:val="TableofFigures"/>
        <w:tabs>
          <w:tab w:val="left" w:pos="1000"/>
          <w:tab w:val="right" w:leader="dot" w:pos="8779"/>
        </w:tabs>
        <w:rPr>
          <w:rFonts w:asciiTheme="minorHAnsi" w:hAnsiTheme="minorHAnsi"/>
          <w:noProof/>
          <w:sz w:val="24"/>
          <w:szCs w:val="24"/>
          <w:lang w:eastAsia="en-GB"/>
        </w:rPr>
      </w:pPr>
      <w:hyperlink w:anchor="_Toc56495244" w:history="1">
        <w:r w:rsidR="00040656" w:rsidRPr="00BB269B">
          <w:rPr>
            <w:rStyle w:val="Hyperlink"/>
            <w:noProof/>
          </w:rPr>
          <w:t>Figure 25:</w:t>
        </w:r>
        <w:r w:rsidR="00040656">
          <w:rPr>
            <w:rFonts w:asciiTheme="minorHAnsi" w:hAnsiTheme="minorHAnsi"/>
            <w:noProof/>
            <w:sz w:val="24"/>
            <w:szCs w:val="24"/>
            <w:lang w:eastAsia="en-GB"/>
          </w:rPr>
          <w:tab/>
        </w:r>
        <w:r w:rsidR="00040656" w:rsidRPr="00BB269B">
          <w:rPr>
            <w:rStyle w:val="Hyperlink"/>
            <w:noProof/>
          </w:rPr>
          <w:t>Ethics Sub-Committee request for research clarification</w:t>
        </w:r>
        <w:r w:rsidR="00040656">
          <w:rPr>
            <w:noProof/>
            <w:webHidden/>
          </w:rPr>
          <w:tab/>
        </w:r>
        <w:r w:rsidR="00040656">
          <w:rPr>
            <w:noProof/>
            <w:webHidden/>
          </w:rPr>
          <w:fldChar w:fldCharType="begin"/>
        </w:r>
        <w:r w:rsidR="00040656">
          <w:rPr>
            <w:noProof/>
            <w:webHidden/>
          </w:rPr>
          <w:instrText xml:space="preserve"> PAGEREF _Toc56495244 \h </w:instrText>
        </w:r>
        <w:r w:rsidR="00040656">
          <w:rPr>
            <w:noProof/>
            <w:webHidden/>
          </w:rPr>
        </w:r>
        <w:r w:rsidR="00040656">
          <w:rPr>
            <w:noProof/>
            <w:webHidden/>
          </w:rPr>
          <w:fldChar w:fldCharType="separate"/>
        </w:r>
        <w:r w:rsidR="00CB0D8F">
          <w:rPr>
            <w:noProof/>
            <w:webHidden/>
          </w:rPr>
          <w:t>281</w:t>
        </w:r>
        <w:r w:rsidR="00040656">
          <w:rPr>
            <w:noProof/>
            <w:webHidden/>
          </w:rPr>
          <w:fldChar w:fldCharType="end"/>
        </w:r>
      </w:hyperlink>
    </w:p>
    <w:p w14:paraId="1208E5F3" w14:textId="5EBD93DF" w:rsidR="00040656" w:rsidRDefault="00B568C9">
      <w:pPr>
        <w:pStyle w:val="TableofFigures"/>
        <w:tabs>
          <w:tab w:val="left" w:pos="1000"/>
          <w:tab w:val="right" w:leader="dot" w:pos="8779"/>
        </w:tabs>
        <w:rPr>
          <w:rFonts w:asciiTheme="minorHAnsi" w:hAnsiTheme="minorHAnsi"/>
          <w:noProof/>
          <w:sz w:val="24"/>
          <w:szCs w:val="24"/>
          <w:lang w:eastAsia="en-GB"/>
        </w:rPr>
      </w:pPr>
      <w:hyperlink w:anchor="_Toc56495245" w:history="1">
        <w:r w:rsidR="00040656" w:rsidRPr="00BB269B">
          <w:rPr>
            <w:rStyle w:val="Hyperlink"/>
            <w:noProof/>
          </w:rPr>
          <w:t>Figure 26:</w:t>
        </w:r>
        <w:r w:rsidR="00040656">
          <w:rPr>
            <w:rFonts w:asciiTheme="minorHAnsi" w:hAnsiTheme="minorHAnsi"/>
            <w:noProof/>
            <w:sz w:val="24"/>
            <w:szCs w:val="24"/>
            <w:lang w:eastAsia="en-GB"/>
          </w:rPr>
          <w:tab/>
        </w:r>
        <w:r w:rsidR="00040656" w:rsidRPr="00BB269B">
          <w:rPr>
            <w:rStyle w:val="Hyperlink"/>
            <w:noProof/>
          </w:rPr>
          <w:t>Response to Request for research clarification</w:t>
        </w:r>
        <w:r w:rsidR="00040656">
          <w:rPr>
            <w:noProof/>
            <w:webHidden/>
          </w:rPr>
          <w:tab/>
        </w:r>
        <w:r w:rsidR="00040656">
          <w:rPr>
            <w:noProof/>
            <w:webHidden/>
          </w:rPr>
          <w:fldChar w:fldCharType="begin"/>
        </w:r>
        <w:r w:rsidR="00040656">
          <w:rPr>
            <w:noProof/>
            <w:webHidden/>
          </w:rPr>
          <w:instrText xml:space="preserve"> PAGEREF _Toc56495245 \h </w:instrText>
        </w:r>
        <w:r w:rsidR="00040656">
          <w:rPr>
            <w:noProof/>
            <w:webHidden/>
          </w:rPr>
        </w:r>
        <w:r w:rsidR="00040656">
          <w:rPr>
            <w:noProof/>
            <w:webHidden/>
          </w:rPr>
          <w:fldChar w:fldCharType="separate"/>
        </w:r>
        <w:r w:rsidR="00CB0D8F">
          <w:rPr>
            <w:noProof/>
            <w:webHidden/>
          </w:rPr>
          <w:t>282</w:t>
        </w:r>
        <w:r w:rsidR="00040656">
          <w:rPr>
            <w:noProof/>
            <w:webHidden/>
          </w:rPr>
          <w:fldChar w:fldCharType="end"/>
        </w:r>
      </w:hyperlink>
    </w:p>
    <w:p w14:paraId="7A6A4A41" w14:textId="352023A9" w:rsidR="00040656" w:rsidRDefault="00B568C9">
      <w:pPr>
        <w:pStyle w:val="TableofFigures"/>
        <w:tabs>
          <w:tab w:val="left" w:pos="1000"/>
          <w:tab w:val="right" w:leader="dot" w:pos="8779"/>
        </w:tabs>
        <w:rPr>
          <w:rFonts w:asciiTheme="minorHAnsi" w:hAnsiTheme="minorHAnsi"/>
          <w:noProof/>
          <w:sz w:val="24"/>
          <w:szCs w:val="24"/>
          <w:lang w:eastAsia="en-GB"/>
        </w:rPr>
      </w:pPr>
      <w:hyperlink w:anchor="_Toc56495246" w:history="1">
        <w:r w:rsidR="00040656" w:rsidRPr="00BB269B">
          <w:rPr>
            <w:rStyle w:val="Hyperlink"/>
            <w:noProof/>
          </w:rPr>
          <w:t>Figure 27:</w:t>
        </w:r>
        <w:r w:rsidR="00040656">
          <w:rPr>
            <w:rFonts w:asciiTheme="minorHAnsi" w:hAnsiTheme="minorHAnsi"/>
            <w:noProof/>
            <w:sz w:val="24"/>
            <w:szCs w:val="24"/>
            <w:lang w:eastAsia="en-GB"/>
          </w:rPr>
          <w:tab/>
        </w:r>
        <w:r w:rsidR="00040656" w:rsidRPr="00BB269B">
          <w:rPr>
            <w:rStyle w:val="Hyperlink"/>
            <w:noProof/>
          </w:rPr>
          <w:t>Middlesex University Ethics Approval Document</w:t>
        </w:r>
        <w:r w:rsidR="00040656">
          <w:rPr>
            <w:noProof/>
            <w:webHidden/>
          </w:rPr>
          <w:tab/>
        </w:r>
        <w:r w:rsidR="00040656">
          <w:rPr>
            <w:noProof/>
            <w:webHidden/>
          </w:rPr>
          <w:fldChar w:fldCharType="begin"/>
        </w:r>
        <w:r w:rsidR="00040656">
          <w:rPr>
            <w:noProof/>
            <w:webHidden/>
          </w:rPr>
          <w:instrText xml:space="preserve"> PAGEREF _Toc56495246 \h </w:instrText>
        </w:r>
        <w:r w:rsidR="00040656">
          <w:rPr>
            <w:noProof/>
            <w:webHidden/>
          </w:rPr>
        </w:r>
        <w:r w:rsidR="00040656">
          <w:rPr>
            <w:noProof/>
            <w:webHidden/>
          </w:rPr>
          <w:fldChar w:fldCharType="separate"/>
        </w:r>
        <w:r w:rsidR="00CB0D8F">
          <w:rPr>
            <w:noProof/>
            <w:webHidden/>
          </w:rPr>
          <w:t>283</w:t>
        </w:r>
        <w:r w:rsidR="00040656">
          <w:rPr>
            <w:noProof/>
            <w:webHidden/>
          </w:rPr>
          <w:fldChar w:fldCharType="end"/>
        </w:r>
      </w:hyperlink>
    </w:p>
    <w:p w14:paraId="5AAF9B8B" w14:textId="798627F8" w:rsidR="00040656" w:rsidRDefault="00B568C9">
      <w:pPr>
        <w:pStyle w:val="TableofFigures"/>
        <w:tabs>
          <w:tab w:val="left" w:pos="1000"/>
          <w:tab w:val="right" w:leader="dot" w:pos="8779"/>
        </w:tabs>
        <w:rPr>
          <w:rFonts w:asciiTheme="minorHAnsi" w:hAnsiTheme="minorHAnsi"/>
          <w:noProof/>
          <w:sz w:val="24"/>
          <w:szCs w:val="24"/>
          <w:lang w:eastAsia="en-GB"/>
        </w:rPr>
      </w:pPr>
      <w:hyperlink w:anchor="_Toc56495247" w:history="1">
        <w:r w:rsidR="00040656" w:rsidRPr="00BB269B">
          <w:rPr>
            <w:rStyle w:val="Hyperlink"/>
            <w:noProof/>
          </w:rPr>
          <w:t>Figure 28:</w:t>
        </w:r>
        <w:r w:rsidR="00040656">
          <w:rPr>
            <w:rFonts w:asciiTheme="minorHAnsi" w:hAnsiTheme="minorHAnsi"/>
            <w:noProof/>
            <w:sz w:val="24"/>
            <w:szCs w:val="24"/>
            <w:lang w:eastAsia="en-GB"/>
          </w:rPr>
          <w:tab/>
        </w:r>
        <w:r w:rsidR="00040656" w:rsidRPr="00BB269B">
          <w:rPr>
            <w:rStyle w:val="Hyperlink"/>
            <w:noProof/>
          </w:rPr>
          <w:t>Risk Assessment Form FRA1.</w:t>
        </w:r>
        <w:r w:rsidR="00040656">
          <w:rPr>
            <w:noProof/>
            <w:webHidden/>
          </w:rPr>
          <w:tab/>
        </w:r>
        <w:r w:rsidR="00040656">
          <w:rPr>
            <w:noProof/>
            <w:webHidden/>
          </w:rPr>
          <w:fldChar w:fldCharType="begin"/>
        </w:r>
        <w:r w:rsidR="00040656">
          <w:rPr>
            <w:noProof/>
            <w:webHidden/>
          </w:rPr>
          <w:instrText xml:space="preserve"> PAGEREF _Toc56495247 \h </w:instrText>
        </w:r>
        <w:r w:rsidR="00040656">
          <w:rPr>
            <w:noProof/>
            <w:webHidden/>
          </w:rPr>
        </w:r>
        <w:r w:rsidR="00040656">
          <w:rPr>
            <w:noProof/>
            <w:webHidden/>
          </w:rPr>
          <w:fldChar w:fldCharType="separate"/>
        </w:r>
        <w:r w:rsidR="00CB0D8F">
          <w:rPr>
            <w:noProof/>
            <w:webHidden/>
          </w:rPr>
          <w:t>284</w:t>
        </w:r>
        <w:r w:rsidR="00040656">
          <w:rPr>
            <w:noProof/>
            <w:webHidden/>
          </w:rPr>
          <w:fldChar w:fldCharType="end"/>
        </w:r>
      </w:hyperlink>
    </w:p>
    <w:p w14:paraId="41762C19" w14:textId="1DEF0E1F" w:rsidR="007707AB" w:rsidRDefault="007475E7">
      <w:pPr>
        <w:spacing w:before="0" w:after="160" w:line="259" w:lineRule="auto"/>
      </w:pPr>
      <w:r>
        <w:fldChar w:fldCharType="end"/>
      </w:r>
    </w:p>
    <w:p w14:paraId="565AD250" w14:textId="77777777" w:rsidR="007707AB" w:rsidRDefault="007707AB">
      <w:pPr>
        <w:spacing w:before="0" w:after="160" w:line="259" w:lineRule="auto"/>
      </w:pPr>
      <w:r>
        <w:br w:type="page"/>
      </w:r>
    </w:p>
    <w:p w14:paraId="0613B083" w14:textId="77777777" w:rsidR="007707AB" w:rsidRDefault="007707AB" w:rsidP="007707AB">
      <w:pPr>
        <w:pStyle w:val="Heading1"/>
      </w:pPr>
    </w:p>
    <w:p w14:paraId="3C6747B0" w14:textId="377209D5" w:rsidR="007707AB" w:rsidRDefault="007707AB" w:rsidP="007707AB">
      <w:pPr>
        <w:pStyle w:val="Heading1"/>
      </w:pPr>
      <w:bookmarkStart w:id="11" w:name="_Toc57035875"/>
      <w:r>
        <w:t>List of Tables</w:t>
      </w:r>
      <w:bookmarkEnd w:id="11"/>
    </w:p>
    <w:p w14:paraId="2CF005F3" w14:textId="77777777" w:rsidR="00D029AE" w:rsidRPr="00BA4505" w:rsidRDefault="00D029AE" w:rsidP="005F0AB9">
      <w:pPr>
        <w:tabs>
          <w:tab w:val="left" w:pos="993"/>
        </w:tabs>
        <w:rPr>
          <w:rFonts w:ascii="Gill Sans MT" w:hAnsi="Gill Sans MT"/>
          <w:sz w:val="18"/>
          <w:szCs w:val="18"/>
        </w:rPr>
      </w:pPr>
    </w:p>
    <w:p w14:paraId="2D68D0E4" w14:textId="727DF908" w:rsidR="00BA4505" w:rsidRPr="00BA4505" w:rsidRDefault="00D029AE" w:rsidP="005F0AB9">
      <w:pPr>
        <w:pStyle w:val="TOC1"/>
        <w:tabs>
          <w:tab w:val="left" w:pos="993"/>
          <w:tab w:val="left" w:pos="1200"/>
          <w:tab w:val="right" w:leader="dot" w:pos="8779"/>
        </w:tabs>
        <w:rPr>
          <w:rFonts w:ascii="Gill Sans MT" w:hAnsi="Gill Sans MT" w:cstheme="minorBidi"/>
          <w:b w:val="0"/>
          <w:bCs w:val="0"/>
          <w:i w:val="0"/>
          <w:iCs w:val="0"/>
          <w:noProof/>
          <w:sz w:val="18"/>
          <w:szCs w:val="18"/>
          <w:lang w:eastAsia="en-GB"/>
        </w:rPr>
      </w:pPr>
      <w:r w:rsidRPr="00BA4505">
        <w:rPr>
          <w:rFonts w:ascii="Gill Sans MT" w:hAnsi="Gill Sans MT"/>
          <w:b w:val="0"/>
          <w:bCs w:val="0"/>
          <w:i w:val="0"/>
          <w:iCs w:val="0"/>
          <w:sz w:val="18"/>
          <w:szCs w:val="18"/>
        </w:rPr>
        <w:fldChar w:fldCharType="begin"/>
      </w:r>
      <w:r w:rsidRPr="00BA4505">
        <w:rPr>
          <w:rFonts w:ascii="Gill Sans MT" w:hAnsi="Gill Sans MT"/>
          <w:b w:val="0"/>
          <w:bCs w:val="0"/>
          <w:i w:val="0"/>
          <w:iCs w:val="0"/>
          <w:sz w:val="18"/>
          <w:szCs w:val="18"/>
        </w:rPr>
        <w:instrText xml:space="preserve"> TOC \h \z \t "Tables,1" </w:instrText>
      </w:r>
      <w:r w:rsidRPr="00BA4505">
        <w:rPr>
          <w:rFonts w:ascii="Gill Sans MT" w:hAnsi="Gill Sans MT"/>
          <w:b w:val="0"/>
          <w:bCs w:val="0"/>
          <w:i w:val="0"/>
          <w:iCs w:val="0"/>
          <w:sz w:val="18"/>
          <w:szCs w:val="18"/>
        </w:rPr>
        <w:fldChar w:fldCharType="separate"/>
      </w:r>
      <w:hyperlink w:anchor="_Toc57033180" w:history="1">
        <w:r w:rsidR="00BA4505" w:rsidRPr="00BA4505">
          <w:rPr>
            <w:rStyle w:val="Hyperlink"/>
            <w:rFonts w:ascii="Gill Sans MT" w:hAnsi="Gill Sans MT"/>
            <w:b w:val="0"/>
            <w:bCs w:val="0"/>
            <w:i w:val="0"/>
            <w:iCs w:val="0"/>
            <w:noProof/>
            <w:sz w:val="18"/>
            <w:szCs w:val="18"/>
          </w:rPr>
          <w:t>Table 1:</w:t>
        </w:r>
        <w:r w:rsidR="00BA4505" w:rsidRPr="00BA4505">
          <w:rPr>
            <w:rFonts w:ascii="Gill Sans MT" w:hAnsi="Gill Sans MT" w:cstheme="minorBidi"/>
            <w:b w:val="0"/>
            <w:bCs w:val="0"/>
            <w:i w:val="0"/>
            <w:iCs w:val="0"/>
            <w:noProof/>
            <w:sz w:val="18"/>
            <w:szCs w:val="18"/>
            <w:lang w:eastAsia="en-GB"/>
          </w:rPr>
          <w:tab/>
        </w:r>
        <w:r w:rsidR="00BA4505" w:rsidRPr="00BA4505">
          <w:rPr>
            <w:rStyle w:val="Hyperlink"/>
            <w:rFonts w:ascii="Gill Sans MT" w:hAnsi="Gill Sans MT"/>
            <w:b w:val="0"/>
            <w:bCs w:val="0"/>
            <w:i w:val="0"/>
            <w:iCs w:val="0"/>
            <w:noProof/>
            <w:sz w:val="18"/>
            <w:szCs w:val="18"/>
          </w:rPr>
          <w:t xml:space="preserve">Dimensions and components of academic self-concept, academic self-efficacy and Academic Behavioural </w:t>
        </w:r>
        <w:r w:rsidR="00BA4505">
          <w:rPr>
            <w:rStyle w:val="Hyperlink"/>
            <w:rFonts w:ascii="Gill Sans MT" w:hAnsi="Gill Sans MT"/>
            <w:b w:val="0"/>
            <w:bCs w:val="0"/>
            <w:i w:val="0"/>
            <w:iCs w:val="0"/>
            <w:noProof/>
            <w:sz w:val="18"/>
            <w:szCs w:val="18"/>
          </w:rPr>
          <w:tab/>
        </w:r>
        <w:r w:rsidR="00BA4505" w:rsidRPr="00BA4505">
          <w:rPr>
            <w:rStyle w:val="Hyperlink"/>
            <w:rFonts w:ascii="Gill Sans MT" w:hAnsi="Gill Sans MT"/>
            <w:b w:val="0"/>
            <w:bCs w:val="0"/>
            <w:i w:val="0"/>
            <w:iCs w:val="0"/>
            <w:noProof/>
            <w:sz w:val="18"/>
            <w:szCs w:val="18"/>
          </w:rPr>
          <w:t>Confidence.</w:t>
        </w:r>
        <w:r w:rsidR="00BA4505" w:rsidRPr="00BA4505">
          <w:rPr>
            <w:rFonts w:ascii="Gill Sans MT" w:hAnsi="Gill Sans MT"/>
            <w:b w:val="0"/>
            <w:bCs w:val="0"/>
            <w:i w:val="0"/>
            <w:iCs w:val="0"/>
            <w:noProof/>
            <w:webHidden/>
            <w:sz w:val="18"/>
            <w:szCs w:val="18"/>
          </w:rPr>
          <w:tab/>
        </w:r>
        <w:r w:rsidR="00BA4505" w:rsidRPr="00BA4505">
          <w:rPr>
            <w:rFonts w:ascii="Gill Sans MT" w:hAnsi="Gill Sans MT"/>
            <w:b w:val="0"/>
            <w:bCs w:val="0"/>
            <w:i w:val="0"/>
            <w:iCs w:val="0"/>
            <w:noProof/>
            <w:webHidden/>
            <w:sz w:val="18"/>
            <w:szCs w:val="18"/>
          </w:rPr>
          <w:fldChar w:fldCharType="begin"/>
        </w:r>
        <w:r w:rsidR="00BA4505" w:rsidRPr="00BA4505">
          <w:rPr>
            <w:rFonts w:ascii="Gill Sans MT" w:hAnsi="Gill Sans MT"/>
            <w:b w:val="0"/>
            <w:bCs w:val="0"/>
            <w:i w:val="0"/>
            <w:iCs w:val="0"/>
            <w:noProof/>
            <w:webHidden/>
            <w:sz w:val="18"/>
            <w:szCs w:val="18"/>
          </w:rPr>
          <w:instrText xml:space="preserve"> PAGEREF _Toc57033180 \h </w:instrText>
        </w:r>
        <w:r w:rsidR="00BA4505" w:rsidRPr="00BA4505">
          <w:rPr>
            <w:rFonts w:ascii="Gill Sans MT" w:hAnsi="Gill Sans MT"/>
            <w:b w:val="0"/>
            <w:bCs w:val="0"/>
            <w:i w:val="0"/>
            <w:iCs w:val="0"/>
            <w:noProof/>
            <w:webHidden/>
            <w:sz w:val="18"/>
            <w:szCs w:val="18"/>
          </w:rPr>
        </w:r>
        <w:r w:rsidR="00BA4505" w:rsidRPr="00BA4505">
          <w:rPr>
            <w:rFonts w:ascii="Gill Sans MT" w:hAnsi="Gill Sans MT"/>
            <w:b w:val="0"/>
            <w:bCs w:val="0"/>
            <w:i w:val="0"/>
            <w:iCs w:val="0"/>
            <w:noProof/>
            <w:webHidden/>
            <w:sz w:val="18"/>
            <w:szCs w:val="18"/>
          </w:rPr>
          <w:fldChar w:fldCharType="separate"/>
        </w:r>
        <w:r w:rsidR="005F0AB9">
          <w:rPr>
            <w:rFonts w:ascii="Gill Sans MT" w:hAnsi="Gill Sans MT"/>
            <w:b w:val="0"/>
            <w:bCs w:val="0"/>
            <w:i w:val="0"/>
            <w:iCs w:val="0"/>
            <w:noProof/>
            <w:webHidden/>
            <w:sz w:val="18"/>
            <w:szCs w:val="18"/>
          </w:rPr>
          <w:t>105</w:t>
        </w:r>
        <w:r w:rsidR="00BA4505" w:rsidRPr="00BA4505">
          <w:rPr>
            <w:rFonts w:ascii="Gill Sans MT" w:hAnsi="Gill Sans MT"/>
            <w:b w:val="0"/>
            <w:bCs w:val="0"/>
            <w:i w:val="0"/>
            <w:iCs w:val="0"/>
            <w:noProof/>
            <w:webHidden/>
            <w:sz w:val="18"/>
            <w:szCs w:val="18"/>
          </w:rPr>
          <w:fldChar w:fldCharType="end"/>
        </w:r>
      </w:hyperlink>
    </w:p>
    <w:p w14:paraId="29227B31" w14:textId="330E1F72" w:rsidR="00BA4505" w:rsidRPr="00BA4505" w:rsidRDefault="00B568C9" w:rsidP="005F0AB9">
      <w:pPr>
        <w:pStyle w:val="TOC1"/>
        <w:tabs>
          <w:tab w:val="left" w:pos="993"/>
          <w:tab w:val="left" w:pos="1200"/>
          <w:tab w:val="right" w:leader="dot" w:pos="8779"/>
        </w:tabs>
        <w:rPr>
          <w:rFonts w:ascii="Gill Sans MT" w:hAnsi="Gill Sans MT" w:cstheme="minorBidi"/>
          <w:b w:val="0"/>
          <w:bCs w:val="0"/>
          <w:i w:val="0"/>
          <w:iCs w:val="0"/>
          <w:noProof/>
          <w:sz w:val="18"/>
          <w:szCs w:val="18"/>
          <w:lang w:eastAsia="en-GB"/>
        </w:rPr>
      </w:pPr>
      <w:hyperlink w:anchor="_Toc57033181" w:history="1">
        <w:r w:rsidR="00BA4505" w:rsidRPr="00BA4505">
          <w:rPr>
            <w:rStyle w:val="Hyperlink"/>
            <w:rFonts w:ascii="Gill Sans MT" w:hAnsi="Gill Sans MT"/>
            <w:b w:val="0"/>
            <w:bCs w:val="0"/>
            <w:i w:val="0"/>
            <w:iCs w:val="0"/>
            <w:noProof/>
            <w:sz w:val="18"/>
            <w:szCs w:val="18"/>
          </w:rPr>
          <w:t>Table 2:</w:t>
        </w:r>
        <w:r w:rsidR="00BA4505" w:rsidRPr="00BA4505">
          <w:rPr>
            <w:rFonts w:ascii="Gill Sans MT" w:hAnsi="Gill Sans MT" w:cstheme="minorBidi"/>
            <w:b w:val="0"/>
            <w:bCs w:val="0"/>
            <w:i w:val="0"/>
            <w:iCs w:val="0"/>
            <w:noProof/>
            <w:sz w:val="18"/>
            <w:szCs w:val="18"/>
            <w:lang w:eastAsia="en-GB"/>
          </w:rPr>
          <w:tab/>
        </w:r>
        <w:r w:rsidR="00BA4505" w:rsidRPr="00BA4505">
          <w:rPr>
            <w:rStyle w:val="Hyperlink"/>
            <w:rFonts w:ascii="Gill Sans MT" w:hAnsi="Gill Sans MT"/>
            <w:b w:val="0"/>
            <w:bCs w:val="0"/>
            <w:i w:val="0"/>
            <w:iCs w:val="0"/>
            <w:noProof/>
            <w:sz w:val="18"/>
            <w:szCs w:val="18"/>
          </w:rPr>
          <w:t xml:space="preserve">Dyslexia Index statements with attributes and characteristics of dyslexia-ness each aims to be gauging, </w:t>
        </w:r>
        <w:r w:rsidR="00BA4505">
          <w:rPr>
            <w:rStyle w:val="Hyperlink"/>
            <w:rFonts w:ascii="Gill Sans MT" w:hAnsi="Gill Sans MT"/>
            <w:b w:val="0"/>
            <w:bCs w:val="0"/>
            <w:i w:val="0"/>
            <w:iCs w:val="0"/>
            <w:noProof/>
            <w:sz w:val="18"/>
            <w:szCs w:val="18"/>
          </w:rPr>
          <w:tab/>
        </w:r>
        <w:r w:rsidR="00BA4505" w:rsidRPr="00BA4505">
          <w:rPr>
            <w:rStyle w:val="Hyperlink"/>
            <w:rFonts w:ascii="Gill Sans MT" w:hAnsi="Gill Sans MT"/>
            <w:b w:val="0"/>
            <w:bCs w:val="0"/>
            <w:i w:val="0"/>
            <w:iCs w:val="0"/>
            <w:noProof/>
            <w:sz w:val="18"/>
            <w:szCs w:val="18"/>
          </w:rPr>
          <w:t>together with supporting reference</w:t>
        </w:r>
        <w:r w:rsidR="00BA4505" w:rsidRPr="00BA4505">
          <w:rPr>
            <w:rFonts w:ascii="Gill Sans MT" w:hAnsi="Gill Sans MT"/>
            <w:b w:val="0"/>
            <w:bCs w:val="0"/>
            <w:i w:val="0"/>
            <w:iCs w:val="0"/>
            <w:noProof/>
            <w:webHidden/>
            <w:sz w:val="18"/>
            <w:szCs w:val="18"/>
          </w:rPr>
          <w:tab/>
        </w:r>
        <w:r w:rsidR="00BA4505" w:rsidRPr="00BA4505">
          <w:rPr>
            <w:rFonts w:ascii="Gill Sans MT" w:hAnsi="Gill Sans MT"/>
            <w:b w:val="0"/>
            <w:bCs w:val="0"/>
            <w:i w:val="0"/>
            <w:iCs w:val="0"/>
            <w:noProof/>
            <w:webHidden/>
            <w:sz w:val="18"/>
            <w:szCs w:val="18"/>
          </w:rPr>
          <w:fldChar w:fldCharType="begin"/>
        </w:r>
        <w:r w:rsidR="00BA4505" w:rsidRPr="00BA4505">
          <w:rPr>
            <w:rFonts w:ascii="Gill Sans MT" w:hAnsi="Gill Sans MT"/>
            <w:b w:val="0"/>
            <w:bCs w:val="0"/>
            <w:i w:val="0"/>
            <w:iCs w:val="0"/>
            <w:noProof/>
            <w:webHidden/>
            <w:sz w:val="18"/>
            <w:szCs w:val="18"/>
          </w:rPr>
          <w:instrText xml:space="preserve"> PAGEREF _Toc57033181 \h </w:instrText>
        </w:r>
        <w:r w:rsidR="00BA4505" w:rsidRPr="00BA4505">
          <w:rPr>
            <w:rFonts w:ascii="Gill Sans MT" w:hAnsi="Gill Sans MT"/>
            <w:b w:val="0"/>
            <w:bCs w:val="0"/>
            <w:i w:val="0"/>
            <w:iCs w:val="0"/>
            <w:noProof/>
            <w:webHidden/>
            <w:sz w:val="18"/>
            <w:szCs w:val="18"/>
          </w:rPr>
        </w:r>
        <w:r w:rsidR="00BA4505" w:rsidRPr="00BA4505">
          <w:rPr>
            <w:rFonts w:ascii="Gill Sans MT" w:hAnsi="Gill Sans MT"/>
            <w:b w:val="0"/>
            <w:bCs w:val="0"/>
            <w:i w:val="0"/>
            <w:iCs w:val="0"/>
            <w:noProof/>
            <w:webHidden/>
            <w:sz w:val="18"/>
            <w:szCs w:val="18"/>
          </w:rPr>
          <w:fldChar w:fldCharType="separate"/>
        </w:r>
        <w:r w:rsidR="005F0AB9">
          <w:rPr>
            <w:rFonts w:ascii="Gill Sans MT" w:hAnsi="Gill Sans MT"/>
            <w:b w:val="0"/>
            <w:bCs w:val="0"/>
            <w:i w:val="0"/>
            <w:iCs w:val="0"/>
            <w:noProof/>
            <w:webHidden/>
            <w:sz w:val="18"/>
            <w:szCs w:val="18"/>
          </w:rPr>
          <w:t>127</w:t>
        </w:r>
        <w:r w:rsidR="00BA4505" w:rsidRPr="00BA4505">
          <w:rPr>
            <w:rFonts w:ascii="Gill Sans MT" w:hAnsi="Gill Sans MT"/>
            <w:b w:val="0"/>
            <w:bCs w:val="0"/>
            <w:i w:val="0"/>
            <w:iCs w:val="0"/>
            <w:noProof/>
            <w:webHidden/>
            <w:sz w:val="18"/>
            <w:szCs w:val="18"/>
          </w:rPr>
          <w:fldChar w:fldCharType="end"/>
        </w:r>
      </w:hyperlink>
    </w:p>
    <w:p w14:paraId="2ADCE1C4" w14:textId="098C633F" w:rsidR="00BA4505" w:rsidRPr="00BA4505" w:rsidRDefault="00B568C9" w:rsidP="005F0AB9">
      <w:pPr>
        <w:pStyle w:val="TOC1"/>
        <w:tabs>
          <w:tab w:val="left" w:pos="993"/>
          <w:tab w:val="left" w:pos="1200"/>
          <w:tab w:val="right" w:leader="dot" w:pos="8779"/>
        </w:tabs>
        <w:rPr>
          <w:rFonts w:ascii="Gill Sans MT" w:hAnsi="Gill Sans MT" w:cstheme="minorBidi"/>
          <w:b w:val="0"/>
          <w:bCs w:val="0"/>
          <w:i w:val="0"/>
          <w:iCs w:val="0"/>
          <w:noProof/>
          <w:sz w:val="18"/>
          <w:szCs w:val="18"/>
          <w:lang w:eastAsia="en-GB"/>
        </w:rPr>
      </w:pPr>
      <w:hyperlink w:anchor="_Toc57033182" w:history="1">
        <w:r w:rsidR="00BA4505" w:rsidRPr="00BA4505">
          <w:rPr>
            <w:rStyle w:val="Hyperlink"/>
            <w:rFonts w:ascii="Gill Sans MT" w:hAnsi="Gill Sans MT"/>
            <w:b w:val="0"/>
            <w:bCs w:val="0"/>
            <w:i w:val="0"/>
            <w:iCs w:val="0"/>
            <w:noProof/>
            <w:sz w:val="18"/>
            <w:szCs w:val="18"/>
          </w:rPr>
          <w:t>Table 3:</w:t>
        </w:r>
        <w:r w:rsidR="00BA4505" w:rsidRPr="00BA4505">
          <w:rPr>
            <w:rFonts w:ascii="Gill Sans MT" w:hAnsi="Gill Sans MT" w:cstheme="minorBidi"/>
            <w:b w:val="0"/>
            <w:bCs w:val="0"/>
            <w:i w:val="0"/>
            <w:iCs w:val="0"/>
            <w:noProof/>
            <w:sz w:val="18"/>
            <w:szCs w:val="18"/>
            <w:lang w:eastAsia="en-GB"/>
          </w:rPr>
          <w:tab/>
        </w:r>
        <w:r w:rsidR="00BA4505" w:rsidRPr="00BA4505">
          <w:rPr>
            <w:rStyle w:val="Hyperlink"/>
            <w:rFonts w:ascii="Gill Sans MT" w:hAnsi="Gill Sans MT"/>
            <w:b w:val="0"/>
            <w:bCs w:val="0"/>
            <w:i w:val="0"/>
            <w:iCs w:val="0"/>
            <w:noProof/>
            <w:sz w:val="18"/>
            <w:szCs w:val="18"/>
          </w:rPr>
          <w:t>Mean prevalence of dyslexia dimensions</w:t>
        </w:r>
        <w:r w:rsidR="00BA4505" w:rsidRPr="00BA4505">
          <w:rPr>
            <w:rFonts w:ascii="Gill Sans MT" w:hAnsi="Gill Sans MT"/>
            <w:b w:val="0"/>
            <w:bCs w:val="0"/>
            <w:i w:val="0"/>
            <w:iCs w:val="0"/>
            <w:noProof/>
            <w:webHidden/>
            <w:sz w:val="18"/>
            <w:szCs w:val="18"/>
          </w:rPr>
          <w:tab/>
        </w:r>
        <w:r w:rsidR="00BA4505" w:rsidRPr="00BA4505">
          <w:rPr>
            <w:rFonts w:ascii="Gill Sans MT" w:hAnsi="Gill Sans MT"/>
            <w:b w:val="0"/>
            <w:bCs w:val="0"/>
            <w:i w:val="0"/>
            <w:iCs w:val="0"/>
            <w:noProof/>
            <w:webHidden/>
            <w:sz w:val="18"/>
            <w:szCs w:val="18"/>
          </w:rPr>
          <w:fldChar w:fldCharType="begin"/>
        </w:r>
        <w:r w:rsidR="00BA4505" w:rsidRPr="00BA4505">
          <w:rPr>
            <w:rFonts w:ascii="Gill Sans MT" w:hAnsi="Gill Sans MT"/>
            <w:b w:val="0"/>
            <w:bCs w:val="0"/>
            <w:i w:val="0"/>
            <w:iCs w:val="0"/>
            <w:noProof/>
            <w:webHidden/>
            <w:sz w:val="18"/>
            <w:szCs w:val="18"/>
          </w:rPr>
          <w:instrText xml:space="preserve"> PAGEREF _Toc57033182 \h </w:instrText>
        </w:r>
        <w:r w:rsidR="00BA4505" w:rsidRPr="00BA4505">
          <w:rPr>
            <w:rFonts w:ascii="Gill Sans MT" w:hAnsi="Gill Sans MT"/>
            <w:b w:val="0"/>
            <w:bCs w:val="0"/>
            <w:i w:val="0"/>
            <w:iCs w:val="0"/>
            <w:noProof/>
            <w:webHidden/>
            <w:sz w:val="18"/>
            <w:szCs w:val="18"/>
          </w:rPr>
        </w:r>
        <w:r w:rsidR="00BA4505" w:rsidRPr="00BA4505">
          <w:rPr>
            <w:rFonts w:ascii="Gill Sans MT" w:hAnsi="Gill Sans MT"/>
            <w:b w:val="0"/>
            <w:bCs w:val="0"/>
            <w:i w:val="0"/>
            <w:iCs w:val="0"/>
            <w:noProof/>
            <w:webHidden/>
            <w:sz w:val="18"/>
            <w:szCs w:val="18"/>
          </w:rPr>
          <w:fldChar w:fldCharType="separate"/>
        </w:r>
        <w:r w:rsidR="005F0AB9">
          <w:rPr>
            <w:rFonts w:ascii="Gill Sans MT" w:hAnsi="Gill Sans MT"/>
            <w:b w:val="0"/>
            <w:bCs w:val="0"/>
            <w:i w:val="0"/>
            <w:iCs w:val="0"/>
            <w:noProof/>
            <w:webHidden/>
            <w:sz w:val="18"/>
            <w:szCs w:val="18"/>
          </w:rPr>
          <w:t>133</w:t>
        </w:r>
        <w:r w:rsidR="00BA4505" w:rsidRPr="00BA4505">
          <w:rPr>
            <w:rFonts w:ascii="Gill Sans MT" w:hAnsi="Gill Sans MT"/>
            <w:b w:val="0"/>
            <w:bCs w:val="0"/>
            <w:i w:val="0"/>
            <w:iCs w:val="0"/>
            <w:noProof/>
            <w:webHidden/>
            <w:sz w:val="18"/>
            <w:szCs w:val="18"/>
          </w:rPr>
          <w:fldChar w:fldCharType="end"/>
        </w:r>
      </w:hyperlink>
    </w:p>
    <w:p w14:paraId="76CDE34F" w14:textId="3E4CDF42" w:rsidR="00BA4505" w:rsidRPr="00BA4505" w:rsidRDefault="00B568C9" w:rsidP="005F0AB9">
      <w:pPr>
        <w:pStyle w:val="TOC1"/>
        <w:tabs>
          <w:tab w:val="left" w:pos="993"/>
          <w:tab w:val="left" w:pos="1200"/>
          <w:tab w:val="right" w:leader="dot" w:pos="8779"/>
        </w:tabs>
        <w:rPr>
          <w:rFonts w:ascii="Gill Sans MT" w:hAnsi="Gill Sans MT" w:cstheme="minorBidi"/>
          <w:b w:val="0"/>
          <w:bCs w:val="0"/>
          <w:i w:val="0"/>
          <w:iCs w:val="0"/>
          <w:noProof/>
          <w:sz w:val="18"/>
          <w:szCs w:val="18"/>
          <w:lang w:eastAsia="en-GB"/>
        </w:rPr>
      </w:pPr>
      <w:hyperlink w:anchor="_Toc57033183" w:history="1">
        <w:r w:rsidR="00BA4505" w:rsidRPr="00BA4505">
          <w:rPr>
            <w:rStyle w:val="Hyperlink"/>
            <w:rFonts w:ascii="Gill Sans MT" w:hAnsi="Gill Sans MT"/>
            <w:b w:val="0"/>
            <w:bCs w:val="0"/>
            <w:i w:val="0"/>
            <w:iCs w:val="0"/>
            <w:noProof/>
            <w:sz w:val="18"/>
            <w:szCs w:val="18"/>
          </w:rPr>
          <w:t>Table 4:</w:t>
        </w:r>
        <w:r w:rsidR="00BA4505" w:rsidRPr="00BA4505">
          <w:rPr>
            <w:rFonts w:ascii="Gill Sans MT" w:hAnsi="Gill Sans MT" w:cstheme="minorBidi"/>
            <w:b w:val="0"/>
            <w:bCs w:val="0"/>
            <w:i w:val="0"/>
            <w:iCs w:val="0"/>
            <w:noProof/>
            <w:sz w:val="18"/>
            <w:szCs w:val="18"/>
            <w:lang w:eastAsia="en-GB"/>
          </w:rPr>
          <w:tab/>
        </w:r>
        <w:r w:rsidR="00BA4505" w:rsidRPr="00BA4505">
          <w:rPr>
            <w:rStyle w:val="Hyperlink"/>
            <w:rFonts w:ascii="Gill Sans MT" w:hAnsi="Gill Sans MT"/>
            <w:b w:val="0"/>
            <w:bCs w:val="0"/>
            <w:i w:val="0"/>
            <w:iCs w:val="0"/>
            <w:noProof/>
            <w:sz w:val="18"/>
            <w:szCs w:val="18"/>
          </w:rPr>
          <w:t>Weighting assigned to dyslexia dimension statements</w:t>
        </w:r>
        <w:r w:rsidR="00BA4505" w:rsidRPr="00BA4505">
          <w:rPr>
            <w:rFonts w:ascii="Gill Sans MT" w:hAnsi="Gill Sans MT"/>
            <w:b w:val="0"/>
            <w:bCs w:val="0"/>
            <w:i w:val="0"/>
            <w:iCs w:val="0"/>
            <w:noProof/>
            <w:webHidden/>
            <w:sz w:val="18"/>
            <w:szCs w:val="18"/>
          </w:rPr>
          <w:tab/>
        </w:r>
        <w:r w:rsidR="00BA4505" w:rsidRPr="00BA4505">
          <w:rPr>
            <w:rFonts w:ascii="Gill Sans MT" w:hAnsi="Gill Sans MT"/>
            <w:b w:val="0"/>
            <w:bCs w:val="0"/>
            <w:i w:val="0"/>
            <w:iCs w:val="0"/>
            <w:noProof/>
            <w:webHidden/>
            <w:sz w:val="18"/>
            <w:szCs w:val="18"/>
          </w:rPr>
          <w:fldChar w:fldCharType="begin"/>
        </w:r>
        <w:r w:rsidR="00BA4505" w:rsidRPr="00BA4505">
          <w:rPr>
            <w:rFonts w:ascii="Gill Sans MT" w:hAnsi="Gill Sans MT"/>
            <w:b w:val="0"/>
            <w:bCs w:val="0"/>
            <w:i w:val="0"/>
            <w:iCs w:val="0"/>
            <w:noProof/>
            <w:webHidden/>
            <w:sz w:val="18"/>
            <w:szCs w:val="18"/>
          </w:rPr>
          <w:instrText xml:space="preserve"> PAGEREF _Toc57033183 \h </w:instrText>
        </w:r>
        <w:r w:rsidR="00BA4505" w:rsidRPr="00BA4505">
          <w:rPr>
            <w:rFonts w:ascii="Gill Sans MT" w:hAnsi="Gill Sans MT"/>
            <w:b w:val="0"/>
            <w:bCs w:val="0"/>
            <w:i w:val="0"/>
            <w:iCs w:val="0"/>
            <w:noProof/>
            <w:webHidden/>
            <w:sz w:val="18"/>
            <w:szCs w:val="18"/>
          </w:rPr>
        </w:r>
        <w:r w:rsidR="00BA4505" w:rsidRPr="00BA4505">
          <w:rPr>
            <w:rFonts w:ascii="Gill Sans MT" w:hAnsi="Gill Sans MT"/>
            <w:b w:val="0"/>
            <w:bCs w:val="0"/>
            <w:i w:val="0"/>
            <w:iCs w:val="0"/>
            <w:noProof/>
            <w:webHidden/>
            <w:sz w:val="18"/>
            <w:szCs w:val="18"/>
          </w:rPr>
          <w:fldChar w:fldCharType="separate"/>
        </w:r>
        <w:r w:rsidR="005F0AB9">
          <w:rPr>
            <w:rFonts w:ascii="Gill Sans MT" w:hAnsi="Gill Sans MT"/>
            <w:b w:val="0"/>
            <w:bCs w:val="0"/>
            <w:i w:val="0"/>
            <w:iCs w:val="0"/>
            <w:noProof/>
            <w:webHidden/>
            <w:sz w:val="18"/>
            <w:szCs w:val="18"/>
          </w:rPr>
          <w:t>135</w:t>
        </w:r>
        <w:r w:rsidR="00BA4505" w:rsidRPr="00BA4505">
          <w:rPr>
            <w:rFonts w:ascii="Gill Sans MT" w:hAnsi="Gill Sans MT"/>
            <w:b w:val="0"/>
            <w:bCs w:val="0"/>
            <w:i w:val="0"/>
            <w:iCs w:val="0"/>
            <w:noProof/>
            <w:webHidden/>
            <w:sz w:val="18"/>
            <w:szCs w:val="18"/>
          </w:rPr>
          <w:fldChar w:fldCharType="end"/>
        </w:r>
      </w:hyperlink>
    </w:p>
    <w:p w14:paraId="53963600" w14:textId="5CC31762" w:rsidR="00BA4505" w:rsidRPr="00BA4505" w:rsidRDefault="00B568C9" w:rsidP="005F0AB9">
      <w:pPr>
        <w:pStyle w:val="TOC1"/>
        <w:tabs>
          <w:tab w:val="left" w:pos="993"/>
          <w:tab w:val="left" w:pos="1200"/>
          <w:tab w:val="right" w:leader="dot" w:pos="8779"/>
        </w:tabs>
        <w:rPr>
          <w:rFonts w:ascii="Gill Sans MT" w:hAnsi="Gill Sans MT" w:cstheme="minorBidi"/>
          <w:b w:val="0"/>
          <w:bCs w:val="0"/>
          <w:i w:val="0"/>
          <w:iCs w:val="0"/>
          <w:noProof/>
          <w:sz w:val="18"/>
          <w:szCs w:val="18"/>
          <w:lang w:eastAsia="en-GB"/>
        </w:rPr>
      </w:pPr>
      <w:hyperlink w:anchor="_Toc57033184" w:history="1">
        <w:r w:rsidR="00BA4505" w:rsidRPr="00BA4505">
          <w:rPr>
            <w:rStyle w:val="Hyperlink"/>
            <w:rFonts w:ascii="Gill Sans MT" w:hAnsi="Gill Sans MT"/>
            <w:b w:val="0"/>
            <w:bCs w:val="0"/>
            <w:i w:val="0"/>
            <w:iCs w:val="0"/>
            <w:noProof/>
            <w:sz w:val="18"/>
            <w:szCs w:val="18"/>
          </w:rPr>
          <w:t>Table 5:</w:t>
        </w:r>
        <w:r w:rsidR="00BA4505" w:rsidRPr="00BA4505">
          <w:rPr>
            <w:rFonts w:ascii="Gill Sans MT" w:hAnsi="Gill Sans MT" w:cstheme="minorBidi"/>
            <w:b w:val="0"/>
            <w:bCs w:val="0"/>
            <w:i w:val="0"/>
            <w:iCs w:val="0"/>
            <w:noProof/>
            <w:sz w:val="18"/>
            <w:szCs w:val="18"/>
            <w:lang w:eastAsia="en-GB"/>
          </w:rPr>
          <w:tab/>
        </w:r>
        <w:r w:rsidR="00BA4505" w:rsidRPr="00BA4505">
          <w:rPr>
            <w:rStyle w:val="Hyperlink"/>
            <w:rFonts w:ascii="Gill Sans MT" w:hAnsi="Gill Sans MT"/>
            <w:b w:val="0"/>
            <w:bCs w:val="0"/>
            <w:i w:val="0"/>
            <w:iCs w:val="0"/>
            <w:noProof/>
            <w:sz w:val="18"/>
            <w:szCs w:val="18"/>
          </w:rPr>
          <w:t>Example calculation of Dyslexia Index</w:t>
        </w:r>
        <w:r w:rsidR="00BA4505" w:rsidRPr="00BA4505">
          <w:rPr>
            <w:rFonts w:ascii="Gill Sans MT" w:hAnsi="Gill Sans MT"/>
            <w:b w:val="0"/>
            <w:bCs w:val="0"/>
            <w:i w:val="0"/>
            <w:iCs w:val="0"/>
            <w:noProof/>
            <w:webHidden/>
            <w:sz w:val="18"/>
            <w:szCs w:val="18"/>
          </w:rPr>
          <w:tab/>
        </w:r>
        <w:r w:rsidR="00BA4505" w:rsidRPr="00BA4505">
          <w:rPr>
            <w:rFonts w:ascii="Gill Sans MT" w:hAnsi="Gill Sans MT"/>
            <w:b w:val="0"/>
            <w:bCs w:val="0"/>
            <w:i w:val="0"/>
            <w:iCs w:val="0"/>
            <w:noProof/>
            <w:webHidden/>
            <w:sz w:val="18"/>
            <w:szCs w:val="18"/>
          </w:rPr>
          <w:fldChar w:fldCharType="begin"/>
        </w:r>
        <w:r w:rsidR="00BA4505" w:rsidRPr="00BA4505">
          <w:rPr>
            <w:rFonts w:ascii="Gill Sans MT" w:hAnsi="Gill Sans MT"/>
            <w:b w:val="0"/>
            <w:bCs w:val="0"/>
            <w:i w:val="0"/>
            <w:iCs w:val="0"/>
            <w:noProof/>
            <w:webHidden/>
            <w:sz w:val="18"/>
            <w:szCs w:val="18"/>
          </w:rPr>
          <w:instrText xml:space="preserve"> PAGEREF _Toc57033184 \h </w:instrText>
        </w:r>
        <w:r w:rsidR="00BA4505" w:rsidRPr="00BA4505">
          <w:rPr>
            <w:rFonts w:ascii="Gill Sans MT" w:hAnsi="Gill Sans MT"/>
            <w:b w:val="0"/>
            <w:bCs w:val="0"/>
            <w:i w:val="0"/>
            <w:iCs w:val="0"/>
            <w:noProof/>
            <w:webHidden/>
            <w:sz w:val="18"/>
            <w:szCs w:val="18"/>
          </w:rPr>
        </w:r>
        <w:r w:rsidR="00BA4505" w:rsidRPr="00BA4505">
          <w:rPr>
            <w:rFonts w:ascii="Gill Sans MT" w:hAnsi="Gill Sans MT"/>
            <w:b w:val="0"/>
            <w:bCs w:val="0"/>
            <w:i w:val="0"/>
            <w:iCs w:val="0"/>
            <w:noProof/>
            <w:webHidden/>
            <w:sz w:val="18"/>
            <w:szCs w:val="18"/>
          </w:rPr>
          <w:fldChar w:fldCharType="separate"/>
        </w:r>
        <w:r w:rsidR="005F0AB9">
          <w:rPr>
            <w:rFonts w:ascii="Gill Sans MT" w:hAnsi="Gill Sans MT"/>
            <w:b w:val="0"/>
            <w:bCs w:val="0"/>
            <w:i w:val="0"/>
            <w:iCs w:val="0"/>
            <w:noProof/>
            <w:webHidden/>
            <w:sz w:val="18"/>
            <w:szCs w:val="18"/>
          </w:rPr>
          <w:t>137</w:t>
        </w:r>
        <w:r w:rsidR="00BA4505" w:rsidRPr="00BA4505">
          <w:rPr>
            <w:rFonts w:ascii="Gill Sans MT" w:hAnsi="Gill Sans MT"/>
            <w:b w:val="0"/>
            <w:bCs w:val="0"/>
            <w:i w:val="0"/>
            <w:iCs w:val="0"/>
            <w:noProof/>
            <w:webHidden/>
            <w:sz w:val="18"/>
            <w:szCs w:val="18"/>
          </w:rPr>
          <w:fldChar w:fldCharType="end"/>
        </w:r>
      </w:hyperlink>
    </w:p>
    <w:p w14:paraId="44A271D8" w14:textId="130C58A9" w:rsidR="00BA4505" w:rsidRPr="00BA4505" w:rsidRDefault="00B568C9" w:rsidP="005F0AB9">
      <w:pPr>
        <w:pStyle w:val="TOC1"/>
        <w:tabs>
          <w:tab w:val="left" w:pos="993"/>
          <w:tab w:val="left" w:pos="1200"/>
          <w:tab w:val="right" w:leader="dot" w:pos="8779"/>
        </w:tabs>
        <w:rPr>
          <w:rFonts w:ascii="Gill Sans MT" w:hAnsi="Gill Sans MT" w:cstheme="minorBidi"/>
          <w:b w:val="0"/>
          <w:bCs w:val="0"/>
          <w:i w:val="0"/>
          <w:iCs w:val="0"/>
          <w:noProof/>
          <w:sz w:val="18"/>
          <w:szCs w:val="18"/>
          <w:lang w:eastAsia="en-GB"/>
        </w:rPr>
      </w:pPr>
      <w:hyperlink w:anchor="_Toc57033185" w:history="1">
        <w:r w:rsidR="00BA4505" w:rsidRPr="00BA4505">
          <w:rPr>
            <w:rStyle w:val="Hyperlink"/>
            <w:rFonts w:ascii="Gill Sans MT" w:hAnsi="Gill Sans MT"/>
            <w:b w:val="0"/>
            <w:bCs w:val="0"/>
            <w:i w:val="0"/>
            <w:iCs w:val="0"/>
            <w:noProof/>
            <w:sz w:val="18"/>
            <w:szCs w:val="18"/>
          </w:rPr>
          <w:t>Table 6:</w:t>
        </w:r>
        <w:r w:rsidR="00BA4505" w:rsidRPr="00BA4505">
          <w:rPr>
            <w:rFonts w:ascii="Gill Sans MT" w:hAnsi="Gill Sans MT" w:cstheme="minorBidi"/>
            <w:b w:val="0"/>
            <w:bCs w:val="0"/>
            <w:i w:val="0"/>
            <w:iCs w:val="0"/>
            <w:noProof/>
            <w:sz w:val="18"/>
            <w:szCs w:val="18"/>
            <w:lang w:eastAsia="en-GB"/>
          </w:rPr>
          <w:tab/>
        </w:r>
        <w:r w:rsidR="00BA4505" w:rsidRPr="00BA4505">
          <w:rPr>
            <w:rStyle w:val="Hyperlink"/>
            <w:rFonts w:ascii="Gill Sans MT" w:hAnsi="Gill Sans MT"/>
            <w:b w:val="0"/>
            <w:bCs w:val="0"/>
            <w:i w:val="0"/>
            <w:iCs w:val="0"/>
            <w:noProof/>
            <w:sz w:val="18"/>
            <w:szCs w:val="18"/>
          </w:rPr>
          <w:t>Demographic distribution of the datapool by dyslexia status, home domicile, gender and study level</w:t>
        </w:r>
        <w:r w:rsidR="00BA4505" w:rsidRPr="00BA4505">
          <w:rPr>
            <w:rFonts w:ascii="Gill Sans MT" w:hAnsi="Gill Sans MT"/>
            <w:b w:val="0"/>
            <w:bCs w:val="0"/>
            <w:i w:val="0"/>
            <w:iCs w:val="0"/>
            <w:noProof/>
            <w:webHidden/>
            <w:sz w:val="18"/>
            <w:szCs w:val="18"/>
          </w:rPr>
          <w:tab/>
        </w:r>
        <w:r w:rsidR="00BA4505" w:rsidRPr="00BA4505">
          <w:rPr>
            <w:rFonts w:ascii="Gill Sans MT" w:hAnsi="Gill Sans MT"/>
            <w:b w:val="0"/>
            <w:bCs w:val="0"/>
            <w:i w:val="0"/>
            <w:iCs w:val="0"/>
            <w:noProof/>
            <w:webHidden/>
            <w:sz w:val="18"/>
            <w:szCs w:val="18"/>
          </w:rPr>
          <w:fldChar w:fldCharType="begin"/>
        </w:r>
        <w:r w:rsidR="00BA4505" w:rsidRPr="00BA4505">
          <w:rPr>
            <w:rFonts w:ascii="Gill Sans MT" w:hAnsi="Gill Sans MT"/>
            <w:b w:val="0"/>
            <w:bCs w:val="0"/>
            <w:i w:val="0"/>
            <w:iCs w:val="0"/>
            <w:noProof/>
            <w:webHidden/>
            <w:sz w:val="18"/>
            <w:szCs w:val="18"/>
          </w:rPr>
          <w:instrText xml:space="preserve"> PAGEREF _Toc57033185 \h </w:instrText>
        </w:r>
        <w:r w:rsidR="00BA4505" w:rsidRPr="00BA4505">
          <w:rPr>
            <w:rFonts w:ascii="Gill Sans MT" w:hAnsi="Gill Sans MT"/>
            <w:b w:val="0"/>
            <w:bCs w:val="0"/>
            <w:i w:val="0"/>
            <w:iCs w:val="0"/>
            <w:noProof/>
            <w:webHidden/>
            <w:sz w:val="18"/>
            <w:szCs w:val="18"/>
          </w:rPr>
        </w:r>
        <w:r w:rsidR="00BA4505" w:rsidRPr="00BA4505">
          <w:rPr>
            <w:rFonts w:ascii="Gill Sans MT" w:hAnsi="Gill Sans MT"/>
            <w:b w:val="0"/>
            <w:bCs w:val="0"/>
            <w:i w:val="0"/>
            <w:iCs w:val="0"/>
            <w:noProof/>
            <w:webHidden/>
            <w:sz w:val="18"/>
            <w:szCs w:val="18"/>
          </w:rPr>
          <w:fldChar w:fldCharType="separate"/>
        </w:r>
        <w:r w:rsidR="005F0AB9">
          <w:rPr>
            <w:rFonts w:ascii="Gill Sans MT" w:hAnsi="Gill Sans MT"/>
            <w:b w:val="0"/>
            <w:bCs w:val="0"/>
            <w:i w:val="0"/>
            <w:iCs w:val="0"/>
            <w:noProof/>
            <w:webHidden/>
            <w:sz w:val="18"/>
            <w:szCs w:val="18"/>
          </w:rPr>
          <w:t>149</w:t>
        </w:r>
        <w:r w:rsidR="00BA4505" w:rsidRPr="00BA4505">
          <w:rPr>
            <w:rFonts w:ascii="Gill Sans MT" w:hAnsi="Gill Sans MT"/>
            <w:b w:val="0"/>
            <w:bCs w:val="0"/>
            <w:i w:val="0"/>
            <w:iCs w:val="0"/>
            <w:noProof/>
            <w:webHidden/>
            <w:sz w:val="18"/>
            <w:szCs w:val="18"/>
          </w:rPr>
          <w:fldChar w:fldCharType="end"/>
        </w:r>
      </w:hyperlink>
    </w:p>
    <w:p w14:paraId="26F64F20" w14:textId="5A70F5CE" w:rsidR="00BA4505" w:rsidRPr="00BA4505" w:rsidRDefault="00B568C9" w:rsidP="005F0AB9">
      <w:pPr>
        <w:pStyle w:val="TOC1"/>
        <w:tabs>
          <w:tab w:val="left" w:pos="993"/>
          <w:tab w:val="left" w:pos="1200"/>
          <w:tab w:val="right" w:leader="dot" w:pos="8779"/>
        </w:tabs>
        <w:rPr>
          <w:rFonts w:ascii="Gill Sans MT" w:hAnsi="Gill Sans MT" w:cstheme="minorBidi"/>
          <w:b w:val="0"/>
          <w:bCs w:val="0"/>
          <w:i w:val="0"/>
          <w:iCs w:val="0"/>
          <w:noProof/>
          <w:sz w:val="18"/>
          <w:szCs w:val="18"/>
          <w:lang w:eastAsia="en-GB"/>
        </w:rPr>
      </w:pPr>
      <w:hyperlink w:anchor="_Toc57033186" w:history="1">
        <w:r w:rsidR="00BA4505" w:rsidRPr="00BA4505">
          <w:rPr>
            <w:rStyle w:val="Hyperlink"/>
            <w:rFonts w:ascii="Gill Sans MT" w:hAnsi="Gill Sans MT"/>
            <w:b w:val="0"/>
            <w:bCs w:val="0"/>
            <w:i w:val="0"/>
            <w:iCs w:val="0"/>
            <w:noProof/>
            <w:sz w:val="18"/>
            <w:szCs w:val="18"/>
          </w:rPr>
          <w:t>Table 7:</w:t>
        </w:r>
        <w:r w:rsidR="00BA4505" w:rsidRPr="00BA4505">
          <w:rPr>
            <w:rFonts w:ascii="Gill Sans MT" w:hAnsi="Gill Sans MT" w:cstheme="minorBidi"/>
            <w:b w:val="0"/>
            <w:bCs w:val="0"/>
            <w:i w:val="0"/>
            <w:iCs w:val="0"/>
            <w:noProof/>
            <w:sz w:val="18"/>
            <w:szCs w:val="18"/>
            <w:lang w:eastAsia="en-GB"/>
          </w:rPr>
          <w:tab/>
        </w:r>
        <w:r w:rsidR="00BA4505" w:rsidRPr="00BA4505">
          <w:rPr>
            <w:rStyle w:val="Hyperlink"/>
            <w:rFonts w:ascii="Gill Sans MT" w:hAnsi="Gill Sans MT"/>
            <w:b w:val="0"/>
            <w:bCs w:val="0"/>
            <w:i w:val="0"/>
            <w:iCs w:val="0"/>
            <w:noProof/>
            <w:sz w:val="18"/>
            <w:szCs w:val="18"/>
          </w:rPr>
          <w:t xml:space="preserve">Demographic distribution of Test, Base and Control research subgroups by home domicile, gender and </w:t>
        </w:r>
        <w:r w:rsidR="00BA4505">
          <w:rPr>
            <w:rStyle w:val="Hyperlink"/>
            <w:rFonts w:ascii="Gill Sans MT" w:hAnsi="Gill Sans MT"/>
            <w:b w:val="0"/>
            <w:bCs w:val="0"/>
            <w:i w:val="0"/>
            <w:iCs w:val="0"/>
            <w:noProof/>
            <w:sz w:val="18"/>
            <w:szCs w:val="18"/>
          </w:rPr>
          <w:tab/>
        </w:r>
        <w:r w:rsidR="00BA4505" w:rsidRPr="00BA4505">
          <w:rPr>
            <w:rStyle w:val="Hyperlink"/>
            <w:rFonts w:ascii="Gill Sans MT" w:hAnsi="Gill Sans MT"/>
            <w:b w:val="0"/>
            <w:bCs w:val="0"/>
            <w:i w:val="0"/>
            <w:iCs w:val="0"/>
            <w:noProof/>
            <w:sz w:val="18"/>
            <w:szCs w:val="18"/>
          </w:rPr>
          <w:t>study level</w:t>
        </w:r>
        <w:r w:rsidR="00BA4505" w:rsidRPr="00BA4505">
          <w:rPr>
            <w:rFonts w:ascii="Gill Sans MT" w:hAnsi="Gill Sans MT"/>
            <w:b w:val="0"/>
            <w:bCs w:val="0"/>
            <w:i w:val="0"/>
            <w:iCs w:val="0"/>
            <w:noProof/>
            <w:webHidden/>
            <w:sz w:val="18"/>
            <w:szCs w:val="18"/>
          </w:rPr>
          <w:tab/>
        </w:r>
        <w:r w:rsidR="00BA4505" w:rsidRPr="00BA4505">
          <w:rPr>
            <w:rFonts w:ascii="Gill Sans MT" w:hAnsi="Gill Sans MT"/>
            <w:b w:val="0"/>
            <w:bCs w:val="0"/>
            <w:i w:val="0"/>
            <w:iCs w:val="0"/>
            <w:noProof/>
            <w:webHidden/>
            <w:sz w:val="18"/>
            <w:szCs w:val="18"/>
          </w:rPr>
          <w:fldChar w:fldCharType="begin"/>
        </w:r>
        <w:r w:rsidR="00BA4505" w:rsidRPr="00BA4505">
          <w:rPr>
            <w:rFonts w:ascii="Gill Sans MT" w:hAnsi="Gill Sans MT"/>
            <w:b w:val="0"/>
            <w:bCs w:val="0"/>
            <w:i w:val="0"/>
            <w:iCs w:val="0"/>
            <w:noProof/>
            <w:webHidden/>
            <w:sz w:val="18"/>
            <w:szCs w:val="18"/>
          </w:rPr>
          <w:instrText xml:space="preserve"> PAGEREF _Toc57033186 \h </w:instrText>
        </w:r>
        <w:r w:rsidR="00BA4505" w:rsidRPr="00BA4505">
          <w:rPr>
            <w:rFonts w:ascii="Gill Sans MT" w:hAnsi="Gill Sans MT"/>
            <w:b w:val="0"/>
            <w:bCs w:val="0"/>
            <w:i w:val="0"/>
            <w:iCs w:val="0"/>
            <w:noProof/>
            <w:webHidden/>
            <w:sz w:val="18"/>
            <w:szCs w:val="18"/>
          </w:rPr>
        </w:r>
        <w:r w:rsidR="00BA4505" w:rsidRPr="00BA4505">
          <w:rPr>
            <w:rFonts w:ascii="Gill Sans MT" w:hAnsi="Gill Sans MT"/>
            <w:b w:val="0"/>
            <w:bCs w:val="0"/>
            <w:i w:val="0"/>
            <w:iCs w:val="0"/>
            <w:noProof/>
            <w:webHidden/>
            <w:sz w:val="18"/>
            <w:szCs w:val="18"/>
          </w:rPr>
          <w:fldChar w:fldCharType="separate"/>
        </w:r>
        <w:r w:rsidR="005F0AB9">
          <w:rPr>
            <w:rFonts w:ascii="Gill Sans MT" w:hAnsi="Gill Sans MT"/>
            <w:b w:val="0"/>
            <w:bCs w:val="0"/>
            <w:i w:val="0"/>
            <w:iCs w:val="0"/>
            <w:noProof/>
            <w:webHidden/>
            <w:sz w:val="18"/>
            <w:szCs w:val="18"/>
          </w:rPr>
          <w:t>150</w:t>
        </w:r>
        <w:r w:rsidR="00BA4505" w:rsidRPr="00BA4505">
          <w:rPr>
            <w:rFonts w:ascii="Gill Sans MT" w:hAnsi="Gill Sans MT"/>
            <w:b w:val="0"/>
            <w:bCs w:val="0"/>
            <w:i w:val="0"/>
            <w:iCs w:val="0"/>
            <w:noProof/>
            <w:webHidden/>
            <w:sz w:val="18"/>
            <w:szCs w:val="18"/>
          </w:rPr>
          <w:fldChar w:fldCharType="end"/>
        </w:r>
      </w:hyperlink>
    </w:p>
    <w:p w14:paraId="5246486E" w14:textId="2E032451" w:rsidR="00BA4505" w:rsidRPr="00BA4505" w:rsidRDefault="00B568C9" w:rsidP="005F0AB9">
      <w:pPr>
        <w:pStyle w:val="TOC1"/>
        <w:tabs>
          <w:tab w:val="left" w:pos="993"/>
          <w:tab w:val="left" w:pos="1200"/>
          <w:tab w:val="right" w:leader="dot" w:pos="8779"/>
        </w:tabs>
        <w:rPr>
          <w:rFonts w:ascii="Gill Sans MT" w:hAnsi="Gill Sans MT" w:cstheme="minorBidi"/>
          <w:b w:val="0"/>
          <w:bCs w:val="0"/>
          <w:i w:val="0"/>
          <w:iCs w:val="0"/>
          <w:noProof/>
          <w:sz w:val="18"/>
          <w:szCs w:val="18"/>
          <w:lang w:eastAsia="en-GB"/>
        </w:rPr>
      </w:pPr>
      <w:hyperlink w:anchor="_Toc57033187" w:history="1">
        <w:r w:rsidR="00BA4505" w:rsidRPr="00BA4505">
          <w:rPr>
            <w:rStyle w:val="Hyperlink"/>
            <w:rFonts w:ascii="Gill Sans MT" w:hAnsi="Gill Sans MT"/>
            <w:b w:val="0"/>
            <w:bCs w:val="0"/>
            <w:i w:val="0"/>
            <w:iCs w:val="0"/>
            <w:noProof/>
            <w:sz w:val="18"/>
            <w:szCs w:val="18"/>
          </w:rPr>
          <w:t>Table 8:</w:t>
        </w:r>
        <w:r w:rsidR="00BA4505" w:rsidRPr="00BA4505">
          <w:rPr>
            <w:rFonts w:ascii="Gill Sans MT" w:hAnsi="Gill Sans MT" w:cstheme="minorBidi"/>
            <w:b w:val="0"/>
            <w:bCs w:val="0"/>
            <w:i w:val="0"/>
            <w:iCs w:val="0"/>
            <w:noProof/>
            <w:sz w:val="18"/>
            <w:szCs w:val="18"/>
            <w:lang w:eastAsia="en-GB"/>
          </w:rPr>
          <w:tab/>
        </w:r>
        <w:r w:rsidR="00BA4505" w:rsidRPr="00BA4505">
          <w:rPr>
            <w:rStyle w:val="Hyperlink"/>
            <w:rFonts w:ascii="Gill Sans MT" w:hAnsi="Gill Sans MT"/>
            <w:b w:val="0"/>
            <w:bCs w:val="0"/>
            <w:i w:val="0"/>
            <w:iCs w:val="0"/>
            <w:noProof/>
            <w:sz w:val="18"/>
            <w:szCs w:val="18"/>
          </w:rPr>
          <w:t>Summary of dyslexia self-report sentence: ‘My dyslexia was [ … ] to me as a learning [ … ]’</w:t>
        </w:r>
        <w:r w:rsidR="00BA4505" w:rsidRPr="00BA4505">
          <w:rPr>
            <w:rFonts w:ascii="Gill Sans MT" w:hAnsi="Gill Sans MT"/>
            <w:b w:val="0"/>
            <w:bCs w:val="0"/>
            <w:i w:val="0"/>
            <w:iCs w:val="0"/>
            <w:noProof/>
            <w:webHidden/>
            <w:sz w:val="18"/>
            <w:szCs w:val="18"/>
          </w:rPr>
          <w:tab/>
        </w:r>
        <w:r w:rsidR="00BA4505" w:rsidRPr="00BA4505">
          <w:rPr>
            <w:rFonts w:ascii="Gill Sans MT" w:hAnsi="Gill Sans MT"/>
            <w:b w:val="0"/>
            <w:bCs w:val="0"/>
            <w:i w:val="0"/>
            <w:iCs w:val="0"/>
            <w:noProof/>
            <w:webHidden/>
            <w:sz w:val="18"/>
            <w:szCs w:val="18"/>
          </w:rPr>
          <w:fldChar w:fldCharType="begin"/>
        </w:r>
        <w:r w:rsidR="00BA4505" w:rsidRPr="00BA4505">
          <w:rPr>
            <w:rFonts w:ascii="Gill Sans MT" w:hAnsi="Gill Sans MT"/>
            <w:b w:val="0"/>
            <w:bCs w:val="0"/>
            <w:i w:val="0"/>
            <w:iCs w:val="0"/>
            <w:noProof/>
            <w:webHidden/>
            <w:sz w:val="18"/>
            <w:szCs w:val="18"/>
          </w:rPr>
          <w:instrText xml:space="preserve"> PAGEREF _Toc57033187 \h </w:instrText>
        </w:r>
        <w:r w:rsidR="00BA4505" w:rsidRPr="00BA4505">
          <w:rPr>
            <w:rFonts w:ascii="Gill Sans MT" w:hAnsi="Gill Sans MT"/>
            <w:b w:val="0"/>
            <w:bCs w:val="0"/>
            <w:i w:val="0"/>
            <w:iCs w:val="0"/>
            <w:noProof/>
            <w:webHidden/>
            <w:sz w:val="18"/>
            <w:szCs w:val="18"/>
          </w:rPr>
        </w:r>
        <w:r w:rsidR="00BA4505" w:rsidRPr="00BA4505">
          <w:rPr>
            <w:rFonts w:ascii="Gill Sans MT" w:hAnsi="Gill Sans MT"/>
            <w:b w:val="0"/>
            <w:bCs w:val="0"/>
            <w:i w:val="0"/>
            <w:iCs w:val="0"/>
            <w:noProof/>
            <w:webHidden/>
            <w:sz w:val="18"/>
            <w:szCs w:val="18"/>
          </w:rPr>
          <w:fldChar w:fldCharType="separate"/>
        </w:r>
        <w:r w:rsidR="005F0AB9">
          <w:rPr>
            <w:rFonts w:ascii="Gill Sans MT" w:hAnsi="Gill Sans MT"/>
            <w:b w:val="0"/>
            <w:bCs w:val="0"/>
            <w:i w:val="0"/>
            <w:iCs w:val="0"/>
            <w:noProof/>
            <w:webHidden/>
            <w:sz w:val="18"/>
            <w:szCs w:val="18"/>
          </w:rPr>
          <w:t>152</w:t>
        </w:r>
        <w:r w:rsidR="00BA4505" w:rsidRPr="00BA4505">
          <w:rPr>
            <w:rFonts w:ascii="Gill Sans MT" w:hAnsi="Gill Sans MT"/>
            <w:b w:val="0"/>
            <w:bCs w:val="0"/>
            <w:i w:val="0"/>
            <w:iCs w:val="0"/>
            <w:noProof/>
            <w:webHidden/>
            <w:sz w:val="18"/>
            <w:szCs w:val="18"/>
          </w:rPr>
          <w:fldChar w:fldCharType="end"/>
        </w:r>
      </w:hyperlink>
    </w:p>
    <w:p w14:paraId="6D557A93" w14:textId="757F5DFC" w:rsidR="00BA4505" w:rsidRPr="00BA4505" w:rsidRDefault="00B568C9" w:rsidP="005F0AB9">
      <w:pPr>
        <w:pStyle w:val="TOC1"/>
        <w:tabs>
          <w:tab w:val="left" w:pos="993"/>
          <w:tab w:val="left" w:pos="1200"/>
          <w:tab w:val="right" w:leader="dot" w:pos="8779"/>
        </w:tabs>
        <w:rPr>
          <w:rFonts w:ascii="Gill Sans MT" w:hAnsi="Gill Sans MT" w:cstheme="minorBidi"/>
          <w:b w:val="0"/>
          <w:bCs w:val="0"/>
          <w:i w:val="0"/>
          <w:iCs w:val="0"/>
          <w:noProof/>
          <w:sz w:val="18"/>
          <w:szCs w:val="18"/>
          <w:lang w:eastAsia="en-GB"/>
        </w:rPr>
      </w:pPr>
      <w:hyperlink w:anchor="_Toc57033188" w:history="1">
        <w:r w:rsidR="00BA4505" w:rsidRPr="00BA4505">
          <w:rPr>
            <w:rStyle w:val="Hyperlink"/>
            <w:rFonts w:ascii="Gill Sans MT" w:hAnsi="Gill Sans MT"/>
            <w:b w:val="0"/>
            <w:bCs w:val="0"/>
            <w:i w:val="0"/>
            <w:iCs w:val="0"/>
            <w:noProof/>
            <w:sz w:val="18"/>
            <w:szCs w:val="18"/>
          </w:rPr>
          <w:t>Table 9:</w:t>
        </w:r>
        <w:r w:rsidR="00BA4505" w:rsidRPr="00BA4505">
          <w:rPr>
            <w:rFonts w:ascii="Gill Sans MT" w:hAnsi="Gill Sans MT" w:cstheme="minorBidi"/>
            <w:b w:val="0"/>
            <w:bCs w:val="0"/>
            <w:i w:val="0"/>
            <w:iCs w:val="0"/>
            <w:noProof/>
            <w:sz w:val="18"/>
            <w:szCs w:val="18"/>
            <w:lang w:eastAsia="en-GB"/>
          </w:rPr>
          <w:tab/>
        </w:r>
        <w:r w:rsidR="00BA4505" w:rsidRPr="00BA4505">
          <w:rPr>
            <w:rStyle w:val="Hyperlink"/>
            <w:rFonts w:ascii="Gill Sans MT" w:hAnsi="Gill Sans MT"/>
            <w:b w:val="0"/>
            <w:bCs w:val="0"/>
            <w:i w:val="0"/>
            <w:iCs w:val="0"/>
            <w:noProof/>
            <w:sz w:val="18"/>
            <w:szCs w:val="18"/>
          </w:rPr>
          <w:t>Comparing ABC mean values of dyslexic students according to how they learned of their dyslexia</w:t>
        </w:r>
        <w:r w:rsidR="00BA4505" w:rsidRPr="00BA4505">
          <w:rPr>
            <w:rFonts w:ascii="Gill Sans MT" w:hAnsi="Gill Sans MT"/>
            <w:b w:val="0"/>
            <w:bCs w:val="0"/>
            <w:i w:val="0"/>
            <w:iCs w:val="0"/>
            <w:noProof/>
            <w:webHidden/>
            <w:sz w:val="18"/>
            <w:szCs w:val="18"/>
          </w:rPr>
          <w:tab/>
        </w:r>
        <w:r w:rsidR="00BA4505" w:rsidRPr="00BA4505">
          <w:rPr>
            <w:rFonts w:ascii="Gill Sans MT" w:hAnsi="Gill Sans MT"/>
            <w:b w:val="0"/>
            <w:bCs w:val="0"/>
            <w:i w:val="0"/>
            <w:iCs w:val="0"/>
            <w:noProof/>
            <w:webHidden/>
            <w:sz w:val="18"/>
            <w:szCs w:val="18"/>
          </w:rPr>
          <w:fldChar w:fldCharType="begin"/>
        </w:r>
        <w:r w:rsidR="00BA4505" w:rsidRPr="00BA4505">
          <w:rPr>
            <w:rFonts w:ascii="Gill Sans MT" w:hAnsi="Gill Sans MT"/>
            <w:b w:val="0"/>
            <w:bCs w:val="0"/>
            <w:i w:val="0"/>
            <w:iCs w:val="0"/>
            <w:noProof/>
            <w:webHidden/>
            <w:sz w:val="18"/>
            <w:szCs w:val="18"/>
          </w:rPr>
          <w:instrText xml:space="preserve"> PAGEREF _Toc57033188 \h </w:instrText>
        </w:r>
        <w:r w:rsidR="00BA4505" w:rsidRPr="00BA4505">
          <w:rPr>
            <w:rFonts w:ascii="Gill Sans MT" w:hAnsi="Gill Sans MT"/>
            <w:b w:val="0"/>
            <w:bCs w:val="0"/>
            <w:i w:val="0"/>
            <w:iCs w:val="0"/>
            <w:noProof/>
            <w:webHidden/>
            <w:sz w:val="18"/>
            <w:szCs w:val="18"/>
          </w:rPr>
        </w:r>
        <w:r w:rsidR="00BA4505" w:rsidRPr="00BA4505">
          <w:rPr>
            <w:rFonts w:ascii="Gill Sans MT" w:hAnsi="Gill Sans MT"/>
            <w:b w:val="0"/>
            <w:bCs w:val="0"/>
            <w:i w:val="0"/>
            <w:iCs w:val="0"/>
            <w:noProof/>
            <w:webHidden/>
            <w:sz w:val="18"/>
            <w:szCs w:val="18"/>
          </w:rPr>
          <w:fldChar w:fldCharType="separate"/>
        </w:r>
        <w:r w:rsidR="005F0AB9">
          <w:rPr>
            <w:rFonts w:ascii="Gill Sans MT" w:hAnsi="Gill Sans MT"/>
            <w:b w:val="0"/>
            <w:bCs w:val="0"/>
            <w:i w:val="0"/>
            <w:iCs w:val="0"/>
            <w:noProof/>
            <w:webHidden/>
            <w:sz w:val="18"/>
            <w:szCs w:val="18"/>
          </w:rPr>
          <w:t>153</w:t>
        </w:r>
        <w:r w:rsidR="00BA4505" w:rsidRPr="00BA4505">
          <w:rPr>
            <w:rFonts w:ascii="Gill Sans MT" w:hAnsi="Gill Sans MT"/>
            <w:b w:val="0"/>
            <w:bCs w:val="0"/>
            <w:i w:val="0"/>
            <w:iCs w:val="0"/>
            <w:noProof/>
            <w:webHidden/>
            <w:sz w:val="18"/>
            <w:szCs w:val="18"/>
          </w:rPr>
          <w:fldChar w:fldCharType="end"/>
        </w:r>
      </w:hyperlink>
    </w:p>
    <w:p w14:paraId="034C58B6" w14:textId="31F04B04" w:rsidR="00BA4505" w:rsidRPr="00BA4505" w:rsidRDefault="00B568C9" w:rsidP="005F0AB9">
      <w:pPr>
        <w:pStyle w:val="TOC1"/>
        <w:tabs>
          <w:tab w:val="left" w:pos="993"/>
          <w:tab w:val="left" w:pos="1200"/>
          <w:tab w:val="right" w:leader="dot" w:pos="8779"/>
        </w:tabs>
        <w:rPr>
          <w:rFonts w:ascii="Gill Sans MT" w:hAnsi="Gill Sans MT" w:cstheme="minorBidi"/>
          <w:b w:val="0"/>
          <w:bCs w:val="0"/>
          <w:i w:val="0"/>
          <w:iCs w:val="0"/>
          <w:noProof/>
          <w:sz w:val="18"/>
          <w:szCs w:val="18"/>
          <w:lang w:eastAsia="en-GB"/>
        </w:rPr>
      </w:pPr>
      <w:hyperlink w:anchor="_Toc57033189" w:history="1">
        <w:r w:rsidR="00BA4505" w:rsidRPr="00BA4505">
          <w:rPr>
            <w:rStyle w:val="Hyperlink"/>
            <w:rFonts w:ascii="Gill Sans MT" w:hAnsi="Gill Sans MT"/>
            <w:b w:val="0"/>
            <w:bCs w:val="0"/>
            <w:i w:val="0"/>
            <w:iCs w:val="0"/>
            <w:noProof/>
            <w:sz w:val="18"/>
            <w:szCs w:val="18"/>
          </w:rPr>
          <w:t>Table 10:</w:t>
        </w:r>
        <w:r w:rsidR="00BA4505" w:rsidRPr="00BA4505">
          <w:rPr>
            <w:rFonts w:ascii="Gill Sans MT" w:hAnsi="Gill Sans MT" w:cstheme="minorBidi"/>
            <w:b w:val="0"/>
            <w:bCs w:val="0"/>
            <w:i w:val="0"/>
            <w:iCs w:val="0"/>
            <w:noProof/>
            <w:sz w:val="18"/>
            <w:szCs w:val="18"/>
            <w:lang w:eastAsia="en-GB"/>
          </w:rPr>
          <w:tab/>
        </w:r>
        <w:r w:rsidR="00BA4505" w:rsidRPr="00BA4505">
          <w:rPr>
            <w:rStyle w:val="Hyperlink"/>
            <w:rFonts w:ascii="Gill Sans MT" w:hAnsi="Gill Sans MT"/>
            <w:b w:val="0"/>
            <w:bCs w:val="0"/>
            <w:i w:val="0"/>
            <w:iCs w:val="0"/>
            <w:noProof/>
            <w:sz w:val="18"/>
            <w:szCs w:val="18"/>
          </w:rPr>
          <w:t xml:space="preserve">Cronbach's </w:t>
        </w:r>
        <w:r w:rsidR="00BA4505" w:rsidRPr="00BA4505">
          <w:rPr>
            <w:rStyle w:val="Hyperlink"/>
            <w:rFonts w:ascii="Arial" w:eastAsia="Times New Roman" w:hAnsi="Arial" w:cs="Arial"/>
            <w:b w:val="0"/>
            <w:bCs w:val="0"/>
            <w:i w:val="0"/>
            <w:iCs w:val="0"/>
            <w:noProof/>
            <w:sz w:val="18"/>
            <w:szCs w:val="18"/>
            <w:lang w:eastAsia="en-GB"/>
          </w:rPr>
          <w:t>ɑ</w:t>
        </w:r>
        <w:r w:rsidR="00BA4505" w:rsidRPr="00BA4505">
          <w:rPr>
            <w:rStyle w:val="Hyperlink"/>
            <w:rFonts w:ascii="Gill Sans MT" w:eastAsia="Times New Roman" w:hAnsi="Gill Sans MT" w:cs="Arial"/>
            <w:b w:val="0"/>
            <w:bCs w:val="0"/>
            <w:i w:val="0"/>
            <w:iCs w:val="0"/>
            <w:noProof/>
            <w:sz w:val="18"/>
            <w:szCs w:val="18"/>
            <w:lang w:eastAsia="en-GB"/>
          </w:rPr>
          <w:t xml:space="preserve"> reliability coefficients for the Dx20 and Dx16 scales.</w:t>
        </w:r>
        <w:r w:rsidR="00BA4505" w:rsidRPr="00BA4505">
          <w:rPr>
            <w:rFonts w:ascii="Gill Sans MT" w:hAnsi="Gill Sans MT"/>
            <w:b w:val="0"/>
            <w:bCs w:val="0"/>
            <w:i w:val="0"/>
            <w:iCs w:val="0"/>
            <w:noProof/>
            <w:webHidden/>
            <w:sz w:val="18"/>
            <w:szCs w:val="18"/>
          </w:rPr>
          <w:tab/>
        </w:r>
        <w:r w:rsidR="00BA4505" w:rsidRPr="00BA4505">
          <w:rPr>
            <w:rFonts w:ascii="Gill Sans MT" w:hAnsi="Gill Sans MT"/>
            <w:b w:val="0"/>
            <w:bCs w:val="0"/>
            <w:i w:val="0"/>
            <w:iCs w:val="0"/>
            <w:noProof/>
            <w:webHidden/>
            <w:sz w:val="18"/>
            <w:szCs w:val="18"/>
          </w:rPr>
          <w:fldChar w:fldCharType="begin"/>
        </w:r>
        <w:r w:rsidR="00BA4505" w:rsidRPr="00BA4505">
          <w:rPr>
            <w:rFonts w:ascii="Gill Sans MT" w:hAnsi="Gill Sans MT"/>
            <w:b w:val="0"/>
            <w:bCs w:val="0"/>
            <w:i w:val="0"/>
            <w:iCs w:val="0"/>
            <w:noProof/>
            <w:webHidden/>
            <w:sz w:val="18"/>
            <w:szCs w:val="18"/>
          </w:rPr>
          <w:instrText xml:space="preserve"> PAGEREF _Toc57033189 \h </w:instrText>
        </w:r>
        <w:r w:rsidR="00BA4505" w:rsidRPr="00BA4505">
          <w:rPr>
            <w:rFonts w:ascii="Gill Sans MT" w:hAnsi="Gill Sans MT"/>
            <w:b w:val="0"/>
            <w:bCs w:val="0"/>
            <w:i w:val="0"/>
            <w:iCs w:val="0"/>
            <w:noProof/>
            <w:webHidden/>
            <w:sz w:val="18"/>
            <w:szCs w:val="18"/>
          </w:rPr>
        </w:r>
        <w:r w:rsidR="00BA4505" w:rsidRPr="00BA4505">
          <w:rPr>
            <w:rFonts w:ascii="Gill Sans MT" w:hAnsi="Gill Sans MT"/>
            <w:b w:val="0"/>
            <w:bCs w:val="0"/>
            <w:i w:val="0"/>
            <w:iCs w:val="0"/>
            <w:noProof/>
            <w:webHidden/>
            <w:sz w:val="18"/>
            <w:szCs w:val="18"/>
          </w:rPr>
          <w:fldChar w:fldCharType="separate"/>
        </w:r>
        <w:r w:rsidR="005F0AB9">
          <w:rPr>
            <w:rFonts w:ascii="Gill Sans MT" w:hAnsi="Gill Sans MT"/>
            <w:b w:val="0"/>
            <w:bCs w:val="0"/>
            <w:i w:val="0"/>
            <w:iCs w:val="0"/>
            <w:noProof/>
            <w:webHidden/>
            <w:sz w:val="18"/>
            <w:szCs w:val="18"/>
          </w:rPr>
          <w:t>154</w:t>
        </w:r>
        <w:r w:rsidR="00BA4505" w:rsidRPr="00BA4505">
          <w:rPr>
            <w:rFonts w:ascii="Gill Sans MT" w:hAnsi="Gill Sans MT"/>
            <w:b w:val="0"/>
            <w:bCs w:val="0"/>
            <w:i w:val="0"/>
            <w:iCs w:val="0"/>
            <w:noProof/>
            <w:webHidden/>
            <w:sz w:val="18"/>
            <w:szCs w:val="18"/>
          </w:rPr>
          <w:fldChar w:fldCharType="end"/>
        </w:r>
      </w:hyperlink>
    </w:p>
    <w:p w14:paraId="22F3E29C" w14:textId="001F5889" w:rsidR="00BA4505" w:rsidRPr="00BA4505" w:rsidRDefault="00B568C9" w:rsidP="005F0AB9">
      <w:pPr>
        <w:pStyle w:val="TOC1"/>
        <w:tabs>
          <w:tab w:val="left" w:pos="993"/>
          <w:tab w:val="left" w:pos="1200"/>
          <w:tab w:val="right" w:leader="dot" w:pos="8779"/>
        </w:tabs>
        <w:rPr>
          <w:rFonts w:ascii="Gill Sans MT" w:hAnsi="Gill Sans MT" w:cstheme="minorBidi"/>
          <w:b w:val="0"/>
          <w:bCs w:val="0"/>
          <w:i w:val="0"/>
          <w:iCs w:val="0"/>
          <w:noProof/>
          <w:sz w:val="18"/>
          <w:szCs w:val="18"/>
          <w:lang w:eastAsia="en-GB"/>
        </w:rPr>
      </w:pPr>
      <w:hyperlink w:anchor="_Toc57033190" w:history="1">
        <w:r w:rsidR="00BA4505" w:rsidRPr="00BA4505">
          <w:rPr>
            <w:rStyle w:val="Hyperlink"/>
            <w:rFonts w:ascii="Gill Sans MT" w:hAnsi="Gill Sans MT"/>
            <w:b w:val="0"/>
            <w:bCs w:val="0"/>
            <w:i w:val="0"/>
            <w:iCs w:val="0"/>
            <w:noProof/>
            <w:sz w:val="18"/>
            <w:szCs w:val="18"/>
          </w:rPr>
          <w:t>Table 11.</w:t>
        </w:r>
        <w:r w:rsidR="00BA4505" w:rsidRPr="00BA4505">
          <w:rPr>
            <w:rFonts w:ascii="Gill Sans MT" w:hAnsi="Gill Sans MT" w:cstheme="minorBidi"/>
            <w:b w:val="0"/>
            <w:bCs w:val="0"/>
            <w:i w:val="0"/>
            <w:iCs w:val="0"/>
            <w:noProof/>
            <w:sz w:val="18"/>
            <w:szCs w:val="18"/>
            <w:lang w:eastAsia="en-GB"/>
          </w:rPr>
          <w:tab/>
        </w:r>
        <w:r w:rsidR="00BA4505" w:rsidRPr="00BA4505">
          <w:rPr>
            <w:rStyle w:val="Hyperlink"/>
            <w:rFonts w:ascii="Gill Sans MT" w:hAnsi="Gill Sans MT"/>
            <w:b w:val="0"/>
            <w:bCs w:val="0"/>
            <w:i w:val="0"/>
            <w:iCs w:val="0"/>
            <w:noProof/>
            <w:sz w:val="18"/>
            <w:szCs w:val="18"/>
          </w:rPr>
          <w:t>Dyslexia Index summary according to research group.</w:t>
        </w:r>
        <w:r w:rsidR="00BA4505" w:rsidRPr="00BA4505">
          <w:rPr>
            <w:rFonts w:ascii="Gill Sans MT" w:hAnsi="Gill Sans MT"/>
            <w:b w:val="0"/>
            <w:bCs w:val="0"/>
            <w:i w:val="0"/>
            <w:iCs w:val="0"/>
            <w:noProof/>
            <w:webHidden/>
            <w:sz w:val="18"/>
            <w:szCs w:val="18"/>
          </w:rPr>
          <w:tab/>
        </w:r>
        <w:r w:rsidR="00BA4505" w:rsidRPr="00BA4505">
          <w:rPr>
            <w:rFonts w:ascii="Gill Sans MT" w:hAnsi="Gill Sans MT"/>
            <w:b w:val="0"/>
            <w:bCs w:val="0"/>
            <w:i w:val="0"/>
            <w:iCs w:val="0"/>
            <w:noProof/>
            <w:webHidden/>
            <w:sz w:val="18"/>
            <w:szCs w:val="18"/>
          </w:rPr>
          <w:fldChar w:fldCharType="begin"/>
        </w:r>
        <w:r w:rsidR="00BA4505" w:rsidRPr="00BA4505">
          <w:rPr>
            <w:rFonts w:ascii="Gill Sans MT" w:hAnsi="Gill Sans MT"/>
            <w:b w:val="0"/>
            <w:bCs w:val="0"/>
            <w:i w:val="0"/>
            <w:iCs w:val="0"/>
            <w:noProof/>
            <w:webHidden/>
            <w:sz w:val="18"/>
            <w:szCs w:val="18"/>
          </w:rPr>
          <w:instrText xml:space="preserve"> PAGEREF _Toc57033190 \h </w:instrText>
        </w:r>
        <w:r w:rsidR="00BA4505" w:rsidRPr="00BA4505">
          <w:rPr>
            <w:rFonts w:ascii="Gill Sans MT" w:hAnsi="Gill Sans MT"/>
            <w:b w:val="0"/>
            <w:bCs w:val="0"/>
            <w:i w:val="0"/>
            <w:iCs w:val="0"/>
            <w:noProof/>
            <w:webHidden/>
            <w:sz w:val="18"/>
            <w:szCs w:val="18"/>
          </w:rPr>
        </w:r>
        <w:r w:rsidR="00BA4505" w:rsidRPr="00BA4505">
          <w:rPr>
            <w:rFonts w:ascii="Gill Sans MT" w:hAnsi="Gill Sans MT"/>
            <w:b w:val="0"/>
            <w:bCs w:val="0"/>
            <w:i w:val="0"/>
            <w:iCs w:val="0"/>
            <w:noProof/>
            <w:webHidden/>
            <w:sz w:val="18"/>
            <w:szCs w:val="18"/>
          </w:rPr>
          <w:fldChar w:fldCharType="separate"/>
        </w:r>
        <w:r w:rsidR="005F0AB9">
          <w:rPr>
            <w:rFonts w:ascii="Gill Sans MT" w:hAnsi="Gill Sans MT"/>
            <w:b w:val="0"/>
            <w:bCs w:val="0"/>
            <w:i w:val="0"/>
            <w:iCs w:val="0"/>
            <w:noProof/>
            <w:webHidden/>
            <w:sz w:val="18"/>
            <w:szCs w:val="18"/>
          </w:rPr>
          <w:t>157</w:t>
        </w:r>
        <w:r w:rsidR="00BA4505" w:rsidRPr="00BA4505">
          <w:rPr>
            <w:rFonts w:ascii="Gill Sans MT" w:hAnsi="Gill Sans MT"/>
            <w:b w:val="0"/>
            <w:bCs w:val="0"/>
            <w:i w:val="0"/>
            <w:iCs w:val="0"/>
            <w:noProof/>
            <w:webHidden/>
            <w:sz w:val="18"/>
            <w:szCs w:val="18"/>
          </w:rPr>
          <w:fldChar w:fldCharType="end"/>
        </w:r>
      </w:hyperlink>
    </w:p>
    <w:p w14:paraId="01493FC3" w14:textId="47933FAD" w:rsidR="00BA4505" w:rsidRPr="00BA4505" w:rsidRDefault="00B568C9" w:rsidP="005F0AB9">
      <w:pPr>
        <w:pStyle w:val="TOC1"/>
        <w:tabs>
          <w:tab w:val="left" w:pos="993"/>
          <w:tab w:val="left" w:pos="1200"/>
          <w:tab w:val="right" w:leader="dot" w:pos="8779"/>
        </w:tabs>
        <w:rPr>
          <w:rFonts w:ascii="Gill Sans MT" w:hAnsi="Gill Sans MT" w:cstheme="minorBidi"/>
          <w:b w:val="0"/>
          <w:bCs w:val="0"/>
          <w:i w:val="0"/>
          <w:iCs w:val="0"/>
          <w:noProof/>
          <w:sz w:val="18"/>
          <w:szCs w:val="18"/>
          <w:lang w:eastAsia="en-GB"/>
        </w:rPr>
      </w:pPr>
      <w:hyperlink w:anchor="_Toc57033191" w:history="1">
        <w:r w:rsidR="00BA4505" w:rsidRPr="00BA4505">
          <w:rPr>
            <w:rStyle w:val="Hyperlink"/>
            <w:rFonts w:ascii="Gill Sans MT" w:eastAsia="Times New Roman" w:hAnsi="Gill Sans MT"/>
            <w:b w:val="0"/>
            <w:bCs w:val="0"/>
            <w:i w:val="0"/>
            <w:iCs w:val="0"/>
            <w:noProof/>
            <w:sz w:val="18"/>
            <w:szCs w:val="18"/>
            <w:lang w:eastAsia="en-GB"/>
          </w:rPr>
          <w:t>Table 12:</w:t>
        </w:r>
        <w:r w:rsidR="00BA4505" w:rsidRPr="00BA4505">
          <w:rPr>
            <w:rFonts w:ascii="Gill Sans MT" w:hAnsi="Gill Sans MT" w:cstheme="minorBidi"/>
            <w:b w:val="0"/>
            <w:bCs w:val="0"/>
            <w:i w:val="0"/>
            <w:iCs w:val="0"/>
            <w:noProof/>
            <w:sz w:val="18"/>
            <w:szCs w:val="18"/>
            <w:lang w:eastAsia="en-GB"/>
          </w:rPr>
          <w:tab/>
        </w:r>
        <w:r w:rsidR="00BA4505" w:rsidRPr="00BA4505">
          <w:rPr>
            <w:rStyle w:val="Hyperlink"/>
            <w:rFonts w:ascii="Gill Sans MT" w:eastAsia="Times New Roman" w:hAnsi="Gill Sans MT"/>
            <w:b w:val="0"/>
            <w:bCs w:val="0"/>
            <w:i w:val="0"/>
            <w:iCs w:val="0"/>
            <w:noProof/>
            <w:sz w:val="18"/>
            <w:szCs w:val="18"/>
            <w:lang w:eastAsia="en-GB"/>
          </w:rPr>
          <w:t>Dx parameters for the Test and Control subgroups.</w:t>
        </w:r>
        <w:r w:rsidR="00BA4505" w:rsidRPr="00BA4505">
          <w:rPr>
            <w:rFonts w:ascii="Gill Sans MT" w:hAnsi="Gill Sans MT"/>
            <w:b w:val="0"/>
            <w:bCs w:val="0"/>
            <w:i w:val="0"/>
            <w:iCs w:val="0"/>
            <w:noProof/>
            <w:webHidden/>
            <w:sz w:val="18"/>
            <w:szCs w:val="18"/>
          </w:rPr>
          <w:tab/>
        </w:r>
        <w:r w:rsidR="00BA4505" w:rsidRPr="00BA4505">
          <w:rPr>
            <w:rFonts w:ascii="Gill Sans MT" w:hAnsi="Gill Sans MT"/>
            <w:b w:val="0"/>
            <w:bCs w:val="0"/>
            <w:i w:val="0"/>
            <w:iCs w:val="0"/>
            <w:noProof/>
            <w:webHidden/>
            <w:sz w:val="18"/>
            <w:szCs w:val="18"/>
          </w:rPr>
          <w:fldChar w:fldCharType="begin"/>
        </w:r>
        <w:r w:rsidR="00BA4505" w:rsidRPr="00BA4505">
          <w:rPr>
            <w:rFonts w:ascii="Gill Sans MT" w:hAnsi="Gill Sans MT"/>
            <w:b w:val="0"/>
            <w:bCs w:val="0"/>
            <w:i w:val="0"/>
            <w:iCs w:val="0"/>
            <w:noProof/>
            <w:webHidden/>
            <w:sz w:val="18"/>
            <w:szCs w:val="18"/>
          </w:rPr>
          <w:instrText xml:space="preserve"> PAGEREF _Toc57033191 \h </w:instrText>
        </w:r>
        <w:r w:rsidR="00BA4505" w:rsidRPr="00BA4505">
          <w:rPr>
            <w:rFonts w:ascii="Gill Sans MT" w:hAnsi="Gill Sans MT"/>
            <w:b w:val="0"/>
            <w:bCs w:val="0"/>
            <w:i w:val="0"/>
            <w:iCs w:val="0"/>
            <w:noProof/>
            <w:webHidden/>
            <w:sz w:val="18"/>
            <w:szCs w:val="18"/>
          </w:rPr>
        </w:r>
        <w:r w:rsidR="00BA4505" w:rsidRPr="00BA4505">
          <w:rPr>
            <w:rFonts w:ascii="Gill Sans MT" w:hAnsi="Gill Sans MT"/>
            <w:b w:val="0"/>
            <w:bCs w:val="0"/>
            <w:i w:val="0"/>
            <w:iCs w:val="0"/>
            <w:noProof/>
            <w:webHidden/>
            <w:sz w:val="18"/>
            <w:szCs w:val="18"/>
          </w:rPr>
          <w:fldChar w:fldCharType="separate"/>
        </w:r>
        <w:r w:rsidR="005F0AB9">
          <w:rPr>
            <w:rFonts w:ascii="Gill Sans MT" w:hAnsi="Gill Sans MT"/>
            <w:b w:val="0"/>
            <w:bCs w:val="0"/>
            <w:i w:val="0"/>
            <w:iCs w:val="0"/>
            <w:noProof/>
            <w:webHidden/>
            <w:sz w:val="18"/>
            <w:szCs w:val="18"/>
          </w:rPr>
          <w:t>161</w:t>
        </w:r>
        <w:r w:rsidR="00BA4505" w:rsidRPr="00BA4505">
          <w:rPr>
            <w:rFonts w:ascii="Gill Sans MT" w:hAnsi="Gill Sans MT"/>
            <w:b w:val="0"/>
            <w:bCs w:val="0"/>
            <w:i w:val="0"/>
            <w:iCs w:val="0"/>
            <w:noProof/>
            <w:webHidden/>
            <w:sz w:val="18"/>
            <w:szCs w:val="18"/>
          </w:rPr>
          <w:fldChar w:fldCharType="end"/>
        </w:r>
      </w:hyperlink>
    </w:p>
    <w:p w14:paraId="721FD216" w14:textId="2136C854" w:rsidR="00BA4505" w:rsidRPr="00BA4505" w:rsidRDefault="00B568C9" w:rsidP="005F0AB9">
      <w:pPr>
        <w:pStyle w:val="TOC1"/>
        <w:tabs>
          <w:tab w:val="left" w:pos="993"/>
          <w:tab w:val="left" w:pos="1200"/>
          <w:tab w:val="right" w:leader="dot" w:pos="8779"/>
        </w:tabs>
        <w:rPr>
          <w:rFonts w:ascii="Gill Sans MT" w:hAnsi="Gill Sans MT" w:cstheme="minorBidi"/>
          <w:b w:val="0"/>
          <w:bCs w:val="0"/>
          <w:i w:val="0"/>
          <w:iCs w:val="0"/>
          <w:noProof/>
          <w:sz w:val="18"/>
          <w:szCs w:val="18"/>
          <w:lang w:eastAsia="en-GB"/>
        </w:rPr>
      </w:pPr>
      <w:hyperlink w:anchor="_Toc57033192" w:history="1">
        <w:r w:rsidR="00BA4505" w:rsidRPr="00BA4505">
          <w:rPr>
            <w:rStyle w:val="Hyperlink"/>
            <w:rFonts w:ascii="Gill Sans MT" w:hAnsi="Gill Sans MT"/>
            <w:b w:val="0"/>
            <w:bCs w:val="0"/>
            <w:i w:val="0"/>
            <w:iCs w:val="0"/>
            <w:noProof/>
            <w:sz w:val="18"/>
            <w:szCs w:val="18"/>
          </w:rPr>
          <w:t>Table 13:</w:t>
        </w:r>
        <w:r w:rsidR="00BA4505" w:rsidRPr="00BA4505">
          <w:rPr>
            <w:rFonts w:ascii="Gill Sans MT" w:hAnsi="Gill Sans MT" w:cstheme="minorBidi"/>
            <w:b w:val="0"/>
            <w:bCs w:val="0"/>
            <w:i w:val="0"/>
            <w:iCs w:val="0"/>
            <w:noProof/>
            <w:sz w:val="18"/>
            <w:szCs w:val="18"/>
            <w:lang w:eastAsia="en-GB"/>
          </w:rPr>
          <w:tab/>
        </w:r>
        <w:r w:rsidR="00BA4505" w:rsidRPr="00BA4505">
          <w:rPr>
            <w:rStyle w:val="Hyperlink"/>
            <w:rFonts w:ascii="Gill Sans MT" w:hAnsi="Gill Sans MT"/>
            <w:b w:val="0"/>
            <w:bCs w:val="0"/>
            <w:i w:val="0"/>
            <w:iCs w:val="0"/>
            <w:noProof/>
            <w:sz w:val="18"/>
            <w:szCs w:val="18"/>
          </w:rPr>
          <w:t>Reliability coefficients for the ABC Scales and sub-scales</w:t>
        </w:r>
        <w:r w:rsidR="00BA4505" w:rsidRPr="00BA4505">
          <w:rPr>
            <w:rFonts w:ascii="Gill Sans MT" w:hAnsi="Gill Sans MT"/>
            <w:b w:val="0"/>
            <w:bCs w:val="0"/>
            <w:i w:val="0"/>
            <w:iCs w:val="0"/>
            <w:noProof/>
            <w:webHidden/>
            <w:sz w:val="18"/>
            <w:szCs w:val="18"/>
          </w:rPr>
          <w:tab/>
        </w:r>
        <w:r w:rsidR="00BA4505" w:rsidRPr="00BA4505">
          <w:rPr>
            <w:rFonts w:ascii="Gill Sans MT" w:hAnsi="Gill Sans MT"/>
            <w:b w:val="0"/>
            <w:bCs w:val="0"/>
            <w:i w:val="0"/>
            <w:iCs w:val="0"/>
            <w:noProof/>
            <w:webHidden/>
            <w:sz w:val="18"/>
            <w:szCs w:val="18"/>
          </w:rPr>
          <w:fldChar w:fldCharType="begin"/>
        </w:r>
        <w:r w:rsidR="00BA4505" w:rsidRPr="00BA4505">
          <w:rPr>
            <w:rFonts w:ascii="Gill Sans MT" w:hAnsi="Gill Sans MT"/>
            <w:b w:val="0"/>
            <w:bCs w:val="0"/>
            <w:i w:val="0"/>
            <w:iCs w:val="0"/>
            <w:noProof/>
            <w:webHidden/>
            <w:sz w:val="18"/>
            <w:szCs w:val="18"/>
          </w:rPr>
          <w:instrText xml:space="preserve"> PAGEREF _Toc57033192 \h </w:instrText>
        </w:r>
        <w:r w:rsidR="00BA4505" w:rsidRPr="00BA4505">
          <w:rPr>
            <w:rFonts w:ascii="Gill Sans MT" w:hAnsi="Gill Sans MT"/>
            <w:b w:val="0"/>
            <w:bCs w:val="0"/>
            <w:i w:val="0"/>
            <w:iCs w:val="0"/>
            <w:noProof/>
            <w:webHidden/>
            <w:sz w:val="18"/>
            <w:szCs w:val="18"/>
          </w:rPr>
        </w:r>
        <w:r w:rsidR="00BA4505" w:rsidRPr="00BA4505">
          <w:rPr>
            <w:rFonts w:ascii="Gill Sans MT" w:hAnsi="Gill Sans MT"/>
            <w:b w:val="0"/>
            <w:bCs w:val="0"/>
            <w:i w:val="0"/>
            <w:iCs w:val="0"/>
            <w:noProof/>
            <w:webHidden/>
            <w:sz w:val="18"/>
            <w:szCs w:val="18"/>
          </w:rPr>
          <w:fldChar w:fldCharType="separate"/>
        </w:r>
        <w:r w:rsidR="005F0AB9">
          <w:rPr>
            <w:rFonts w:ascii="Gill Sans MT" w:hAnsi="Gill Sans MT"/>
            <w:b w:val="0"/>
            <w:bCs w:val="0"/>
            <w:i w:val="0"/>
            <w:iCs w:val="0"/>
            <w:noProof/>
            <w:webHidden/>
            <w:sz w:val="18"/>
            <w:szCs w:val="18"/>
          </w:rPr>
          <w:t>163</w:t>
        </w:r>
        <w:r w:rsidR="00BA4505" w:rsidRPr="00BA4505">
          <w:rPr>
            <w:rFonts w:ascii="Gill Sans MT" w:hAnsi="Gill Sans MT"/>
            <w:b w:val="0"/>
            <w:bCs w:val="0"/>
            <w:i w:val="0"/>
            <w:iCs w:val="0"/>
            <w:noProof/>
            <w:webHidden/>
            <w:sz w:val="18"/>
            <w:szCs w:val="18"/>
          </w:rPr>
          <w:fldChar w:fldCharType="end"/>
        </w:r>
      </w:hyperlink>
    </w:p>
    <w:p w14:paraId="49CB8350" w14:textId="75F40020" w:rsidR="00BA4505" w:rsidRPr="00BA4505" w:rsidRDefault="00B568C9" w:rsidP="005F0AB9">
      <w:pPr>
        <w:pStyle w:val="TOC1"/>
        <w:tabs>
          <w:tab w:val="left" w:pos="993"/>
          <w:tab w:val="left" w:pos="1200"/>
          <w:tab w:val="right" w:leader="dot" w:pos="8779"/>
        </w:tabs>
        <w:rPr>
          <w:rFonts w:ascii="Gill Sans MT" w:hAnsi="Gill Sans MT" w:cstheme="minorBidi"/>
          <w:b w:val="0"/>
          <w:bCs w:val="0"/>
          <w:i w:val="0"/>
          <w:iCs w:val="0"/>
          <w:noProof/>
          <w:sz w:val="18"/>
          <w:szCs w:val="18"/>
          <w:lang w:eastAsia="en-GB"/>
        </w:rPr>
      </w:pPr>
      <w:hyperlink w:anchor="_Toc57033193" w:history="1">
        <w:r w:rsidR="00BA4505" w:rsidRPr="00BA4505">
          <w:rPr>
            <w:rStyle w:val="Hyperlink"/>
            <w:rFonts w:ascii="Gill Sans MT" w:hAnsi="Gill Sans MT"/>
            <w:b w:val="0"/>
            <w:bCs w:val="0"/>
            <w:i w:val="0"/>
            <w:iCs w:val="0"/>
            <w:noProof/>
            <w:sz w:val="18"/>
            <w:szCs w:val="18"/>
          </w:rPr>
          <w:t>Table 14:</w:t>
        </w:r>
        <w:r w:rsidR="00BA4505" w:rsidRPr="00BA4505">
          <w:rPr>
            <w:rFonts w:ascii="Gill Sans MT" w:hAnsi="Gill Sans MT" w:cstheme="minorBidi"/>
            <w:b w:val="0"/>
            <w:bCs w:val="0"/>
            <w:i w:val="0"/>
            <w:iCs w:val="0"/>
            <w:noProof/>
            <w:sz w:val="18"/>
            <w:szCs w:val="18"/>
            <w:lang w:eastAsia="en-GB"/>
          </w:rPr>
          <w:tab/>
        </w:r>
        <w:r w:rsidR="00BA4505" w:rsidRPr="00BA4505">
          <w:rPr>
            <w:rStyle w:val="Hyperlink"/>
            <w:rFonts w:ascii="Gill Sans MT" w:hAnsi="Gill Sans MT"/>
            <w:b w:val="0"/>
            <w:bCs w:val="0"/>
            <w:i w:val="0"/>
            <w:iCs w:val="0"/>
            <w:noProof/>
            <w:sz w:val="18"/>
            <w:szCs w:val="18"/>
          </w:rPr>
          <w:t>Summary of ABC mean values by research group and subgroup according to ABC, and Dx scales</w:t>
        </w:r>
        <w:r w:rsidR="00BA4505" w:rsidRPr="00BA4505">
          <w:rPr>
            <w:rFonts w:ascii="Gill Sans MT" w:hAnsi="Gill Sans MT"/>
            <w:b w:val="0"/>
            <w:bCs w:val="0"/>
            <w:i w:val="0"/>
            <w:iCs w:val="0"/>
            <w:noProof/>
            <w:webHidden/>
            <w:sz w:val="18"/>
            <w:szCs w:val="18"/>
          </w:rPr>
          <w:tab/>
        </w:r>
        <w:r w:rsidR="00BA4505" w:rsidRPr="00BA4505">
          <w:rPr>
            <w:rFonts w:ascii="Gill Sans MT" w:hAnsi="Gill Sans MT"/>
            <w:b w:val="0"/>
            <w:bCs w:val="0"/>
            <w:i w:val="0"/>
            <w:iCs w:val="0"/>
            <w:noProof/>
            <w:webHidden/>
            <w:sz w:val="18"/>
            <w:szCs w:val="18"/>
          </w:rPr>
          <w:fldChar w:fldCharType="begin"/>
        </w:r>
        <w:r w:rsidR="00BA4505" w:rsidRPr="00BA4505">
          <w:rPr>
            <w:rFonts w:ascii="Gill Sans MT" w:hAnsi="Gill Sans MT"/>
            <w:b w:val="0"/>
            <w:bCs w:val="0"/>
            <w:i w:val="0"/>
            <w:iCs w:val="0"/>
            <w:noProof/>
            <w:webHidden/>
            <w:sz w:val="18"/>
            <w:szCs w:val="18"/>
          </w:rPr>
          <w:instrText xml:space="preserve"> PAGEREF _Toc57033193 \h </w:instrText>
        </w:r>
        <w:r w:rsidR="00BA4505" w:rsidRPr="00BA4505">
          <w:rPr>
            <w:rFonts w:ascii="Gill Sans MT" w:hAnsi="Gill Sans MT"/>
            <w:b w:val="0"/>
            <w:bCs w:val="0"/>
            <w:i w:val="0"/>
            <w:iCs w:val="0"/>
            <w:noProof/>
            <w:webHidden/>
            <w:sz w:val="18"/>
            <w:szCs w:val="18"/>
          </w:rPr>
        </w:r>
        <w:r w:rsidR="00BA4505" w:rsidRPr="00BA4505">
          <w:rPr>
            <w:rFonts w:ascii="Gill Sans MT" w:hAnsi="Gill Sans MT"/>
            <w:b w:val="0"/>
            <w:bCs w:val="0"/>
            <w:i w:val="0"/>
            <w:iCs w:val="0"/>
            <w:noProof/>
            <w:webHidden/>
            <w:sz w:val="18"/>
            <w:szCs w:val="18"/>
          </w:rPr>
          <w:fldChar w:fldCharType="separate"/>
        </w:r>
        <w:r w:rsidR="005F0AB9">
          <w:rPr>
            <w:rFonts w:ascii="Gill Sans MT" w:hAnsi="Gill Sans MT"/>
            <w:b w:val="0"/>
            <w:bCs w:val="0"/>
            <w:i w:val="0"/>
            <w:iCs w:val="0"/>
            <w:noProof/>
            <w:webHidden/>
            <w:sz w:val="18"/>
            <w:szCs w:val="18"/>
          </w:rPr>
          <w:t>164</w:t>
        </w:r>
        <w:r w:rsidR="00BA4505" w:rsidRPr="00BA4505">
          <w:rPr>
            <w:rFonts w:ascii="Gill Sans MT" w:hAnsi="Gill Sans MT"/>
            <w:b w:val="0"/>
            <w:bCs w:val="0"/>
            <w:i w:val="0"/>
            <w:iCs w:val="0"/>
            <w:noProof/>
            <w:webHidden/>
            <w:sz w:val="18"/>
            <w:szCs w:val="18"/>
          </w:rPr>
          <w:fldChar w:fldCharType="end"/>
        </w:r>
      </w:hyperlink>
    </w:p>
    <w:p w14:paraId="1F797A0B" w14:textId="7213E700" w:rsidR="00BA4505" w:rsidRPr="00BA4505" w:rsidRDefault="00B568C9" w:rsidP="005F0AB9">
      <w:pPr>
        <w:pStyle w:val="TOC1"/>
        <w:tabs>
          <w:tab w:val="left" w:pos="993"/>
          <w:tab w:val="left" w:pos="1200"/>
          <w:tab w:val="right" w:leader="dot" w:pos="8779"/>
        </w:tabs>
        <w:rPr>
          <w:rFonts w:ascii="Gill Sans MT" w:hAnsi="Gill Sans MT" w:cstheme="minorBidi"/>
          <w:b w:val="0"/>
          <w:bCs w:val="0"/>
          <w:i w:val="0"/>
          <w:iCs w:val="0"/>
          <w:noProof/>
          <w:sz w:val="18"/>
          <w:szCs w:val="18"/>
          <w:lang w:eastAsia="en-GB"/>
        </w:rPr>
      </w:pPr>
      <w:hyperlink w:anchor="_Toc57033194" w:history="1">
        <w:r w:rsidR="00BA4505" w:rsidRPr="00BA4505">
          <w:rPr>
            <w:rStyle w:val="Hyperlink"/>
            <w:rFonts w:ascii="Gill Sans MT" w:hAnsi="Gill Sans MT"/>
            <w:b w:val="0"/>
            <w:bCs w:val="0"/>
            <w:i w:val="0"/>
            <w:iCs w:val="0"/>
            <w:noProof/>
            <w:sz w:val="18"/>
            <w:szCs w:val="18"/>
          </w:rPr>
          <w:t>Table 15:</w:t>
        </w:r>
        <w:r w:rsidR="00BA4505" w:rsidRPr="00BA4505">
          <w:rPr>
            <w:rFonts w:ascii="Gill Sans MT" w:hAnsi="Gill Sans MT" w:cstheme="minorBidi"/>
            <w:b w:val="0"/>
            <w:bCs w:val="0"/>
            <w:i w:val="0"/>
            <w:iCs w:val="0"/>
            <w:noProof/>
            <w:sz w:val="18"/>
            <w:szCs w:val="18"/>
            <w:lang w:eastAsia="en-GB"/>
          </w:rPr>
          <w:tab/>
        </w:r>
        <w:r w:rsidR="00BA4505" w:rsidRPr="00BA4505">
          <w:rPr>
            <w:rStyle w:val="Hyperlink"/>
            <w:rFonts w:ascii="Gill Sans MT" w:hAnsi="Gill Sans MT"/>
            <w:b w:val="0"/>
            <w:bCs w:val="0"/>
            <w:i w:val="0"/>
            <w:iCs w:val="0"/>
            <w:noProof/>
            <w:sz w:val="18"/>
            <w:szCs w:val="18"/>
          </w:rPr>
          <w:t>ABC Scales' effect sizes (Hedges' g) when the subgroups were defined according to the Dx20 Profiler.</w:t>
        </w:r>
        <w:r w:rsidR="00BA4505" w:rsidRPr="00BA4505">
          <w:rPr>
            <w:rFonts w:ascii="Gill Sans MT" w:hAnsi="Gill Sans MT"/>
            <w:b w:val="0"/>
            <w:bCs w:val="0"/>
            <w:i w:val="0"/>
            <w:iCs w:val="0"/>
            <w:noProof/>
            <w:webHidden/>
            <w:sz w:val="18"/>
            <w:szCs w:val="18"/>
          </w:rPr>
          <w:tab/>
        </w:r>
        <w:r w:rsidR="00BA4505">
          <w:rPr>
            <w:rFonts w:ascii="Gill Sans MT" w:hAnsi="Gill Sans MT"/>
            <w:b w:val="0"/>
            <w:bCs w:val="0"/>
            <w:i w:val="0"/>
            <w:iCs w:val="0"/>
            <w:noProof/>
            <w:webHidden/>
            <w:sz w:val="18"/>
            <w:szCs w:val="18"/>
          </w:rPr>
          <w:tab/>
        </w:r>
        <w:r w:rsidR="005F0AB9">
          <w:rPr>
            <w:rFonts w:ascii="Gill Sans MT" w:hAnsi="Gill Sans MT"/>
            <w:b w:val="0"/>
            <w:bCs w:val="0"/>
            <w:i w:val="0"/>
            <w:iCs w:val="0"/>
            <w:noProof/>
            <w:webHidden/>
            <w:sz w:val="18"/>
            <w:szCs w:val="18"/>
          </w:rPr>
          <w:tab/>
        </w:r>
        <w:r w:rsidR="00BA4505">
          <w:rPr>
            <w:rFonts w:ascii="Gill Sans MT" w:hAnsi="Gill Sans MT"/>
            <w:b w:val="0"/>
            <w:bCs w:val="0"/>
            <w:i w:val="0"/>
            <w:iCs w:val="0"/>
            <w:noProof/>
            <w:webHidden/>
            <w:sz w:val="18"/>
            <w:szCs w:val="18"/>
          </w:rPr>
          <w:tab/>
        </w:r>
        <w:r w:rsidR="00BA4505" w:rsidRPr="00BA4505">
          <w:rPr>
            <w:rFonts w:ascii="Gill Sans MT" w:hAnsi="Gill Sans MT"/>
            <w:b w:val="0"/>
            <w:bCs w:val="0"/>
            <w:i w:val="0"/>
            <w:iCs w:val="0"/>
            <w:noProof/>
            <w:webHidden/>
            <w:sz w:val="18"/>
            <w:szCs w:val="18"/>
          </w:rPr>
          <w:fldChar w:fldCharType="begin"/>
        </w:r>
        <w:r w:rsidR="00BA4505" w:rsidRPr="00BA4505">
          <w:rPr>
            <w:rFonts w:ascii="Gill Sans MT" w:hAnsi="Gill Sans MT"/>
            <w:b w:val="0"/>
            <w:bCs w:val="0"/>
            <w:i w:val="0"/>
            <w:iCs w:val="0"/>
            <w:noProof/>
            <w:webHidden/>
            <w:sz w:val="18"/>
            <w:szCs w:val="18"/>
          </w:rPr>
          <w:instrText xml:space="preserve"> PAGEREF _Toc57033194 \h </w:instrText>
        </w:r>
        <w:r w:rsidR="00BA4505" w:rsidRPr="00BA4505">
          <w:rPr>
            <w:rFonts w:ascii="Gill Sans MT" w:hAnsi="Gill Sans MT"/>
            <w:b w:val="0"/>
            <w:bCs w:val="0"/>
            <w:i w:val="0"/>
            <w:iCs w:val="0"/>
            <w:noProof/>
            <w:webHidden/>
            <w:sz w:val="18"/>
            <w:szCs w:val="18"/>
          </w:rPr>
        </w:r>
        <w:r w:rsidR="00BA4505" w:rsidRPr="00BA4505">
          <w:rPr>
            <w:rFonts w:ascii="Gill Sans MT" w:hAnsi="Gill Sans MT"/>
            <w:b w:val="0"/>
            <w:bCs w:val="0"/>
            <w:i w:val="0"/>
            <w:iCs w:val="0"/>
            <w:noProof/>
            <w:webHidden/>
            <w:sz w:val="18"/>
            <w:szCs w:val="18"/>
          </w:rPr>
          <w:fldChar w:fldCharType="separate"/>
        </w:r>
        <w:r w:rsidR="005F0AB9">
          <w:rPr>
            <w:rFonts w:ascii="Gill Sans MT" w:hAnsi="Gill Sans MT"/>
            <w:b w:val="0"/>
            <w:bCs w:val="0"/>
            <w:i w:val="0"/>
            <w:iCs w:val="0"/>
            <w:noProof/>
            <w:webHidden/>
            <w:sz w:val="18"/>
            <w:szCs w:val="18"/>
          </w:rPr>
          <w:t>165</w:t>
        </w:r>
        <w:r w:rsidR="00BA4505" w:rsidRPr="00BA4505">
          <w:rPr>
            <w:rFonts w:ascii="Gill Sans MT" w:hAnsi="Gill Sans MT"/>
            <w:b w:val="0"/>
            <w:bCs w:val="0"/>
            <w:i w:val="0"/>
            <w:iCs w:val="0"/>
            <w:noProof/>
            <w:webHidden/>
            <w:sz w:val="18"/>
            <w:szCs w:val="18"/>
          </w:rPr>
          <w:fldChar w:fldCharType="end"/>
        </w:r>
      </w:hyperlink>
    </w:p>
    <w:p w14:paraId="124BB3A4" w14:textId="0091ED61" w:rsidR="00BA4505" w:rsidRPr="00BA4505" w:rsidRDefault="00B568C9" w:rsidP="005F0AB9">
      <w:pPr>
        <w:pStyle w:val="TOC1"/>
        <w:tabs>
          <w:tab w:val="left" w:pos="993"/>
          <w:tab w:val="left" w:pos="1200"/>
          <w:tab w:val="right" w:leader="dot" w:pos="8779"/>
        </w:tabs>
        <w:rPr>
          <w:rFonts w:ascii="Gill Sans MT" w:hAnsi="Gill Sans MT" w:cstheme="minorBidi"/>
          <w:b w:val="0"/>
          <w:bCs w:val="0"/>
          <w:i w:val="0"/>
          <w:iCs w:val="0"/>
          <w:noProof/>
          <w:sz w:val="18"/>
          <w:szCs w:val="18"/>
          <w:lang w:eastAsia="en-GB"/>
        </w:rPr>
      </w:pPr>
      <w:hyperlink w:anchor="_Toc57033195" w:history="1">
        <w:r w:rsidR="00BA4505" w:rsidRPr="00BA4505">
          <w:rPr>
            <w:rStyle w:val="Hyperlink"/>
            <w:rFonts w:ascii="Gill Sans MT" w:hAnsi="Gill Sans MT"/>
            <w:b w:val="0"/>
            <w:bCs w:val="0"/>
            <w:i w:val="0"/>
            <w:iCs w:val="0"/>
            <w:noProof/>
            <w:sz w:val="18"/>
            <w:szCs w:val="18"/>
          </w:rPr>
          <w:t>Table 16:</w:t>
        </w:r>
        <w:r w:rsidR="00BA4505" w:rsidRPr="00BA4505">
          <w:rPr>
            <w:rFonts w:ascii="Gill Sans MT" w:hAnsi="Gill Sans MT" w:cstheme="minorBidi"/>
            <w:b w:val="0"/>
            <w:bCs w:val="0"/>
            <w:i w:val="0"/>
            <w:iCs w:val="0"/>
            <w:noProof/>
            <w:sz w:val="18"/>
            <w:szCs w:val="18"/>
            <w:lang w:eastAsia="en-GB"/>
          </w:rPr>
          <w:tab/>
        </w:r>
        <w:r w:rsidR="00BA4505" w:rsidRPr="00BA4505">
          <w:rPr>
            <w:rStyle w:val="Hyperlink"/>
            <w:rFonts w:ascii="Gill Sans MT" w:hAnsi="Gill Sans MT"/>
            <w:b w:val="0"/>
            <w:bCs w:val="0"/>
            <w:i w:val="0"/>
            <w:iCs w:val="0"/>
            <w:noProof/>
            <w:sz w:val="18"/>
            <w:szCs w:val="18"/>
          </w:rPr>
          <w:t>ABC Scales' effect sizes (Hedges' g) when the subgroups were defined according to the Dx16 Profiler.</w:t>
        </w:r>
        <w:r w:rsidR="00BA4505" w:rsidRPr="00BA4505">
          <w:rPr>
            <w:rFonts w:ascii="Gill Sans MT" w:hAnsi="Gill Sans MT"/>
            <w:b w:val="0"/>
            <w:bCs w:val="0"/>
            <w:i w:val="0"/>
            <w:iCs w:val="0"/>
            <w:noProof/>
            <w:webHidden/>
            <w:sz w:val="18"/>
            <w:szCs w:val="18"/>
          </w:rPr>
          <w:tab/>
        </w:r>
        <w:r w:rsidR="00BA4505">
          <w:rPr>
            <w:rFonts w:ascii="Gill Sans MT" w:hAnsi="Gill Sans MT"/>
            <w:b w:val="0"/>
            <w:bCs w:val="0"/>
            <w:i w:val="0"/>
            <w:iCs w:val="0"/>
            <w:noProof/>
            <w:webHidden/>
            <w:sz w:val="18"/>
            <w:szCs w:val="18"/>
          </w:rPr>
          <w:tab/>
        </w:r>
        <w:r w:rsidR="00BA4505">
          <w:rPr>
            <w:rFonts w:ascii="Gill Sans MT" w:hAnsi="Gill Sans MT"/>
            <w:b w:val="0"/>
            <w:bCs w:val="0"/>
            <w:i w:val="0"/>
            <w:iCs w:val="0"/>
            <w:noProof/>
            <w:webHidden/>
            <w:sz w:val="18"/>
            <w:szCs w:val="18"/>
          </w:rPr>
          <w:tab/>
        </w:r>
        <w:r w:rsidR="005F0AB9">
          <w:rPr>
            <w:rFonts w:ascii="Gill Sans MT" w:hAnsi="Gill Sans MT"/>
            <w:b w:val="0"/>
            <w:bCs w:val="0"/>
            <w:i w:val="0"/>
            <w:iCs w:val="0"/>
            <w:noProof/>
            <w:webHidden/>
            <w:sz w:val="18"/>
            <w:szCs w:val="18"/>
          </w:rPr>
          <w:tab/>
        </w:r>
        <w:r w:rsidR="00BA4505" w:rsidRPr="00BA4505">
          <w:rPr>
            <w:rFonts w:ascii="Gill Sans MT" w:hAnsi="Gill Sans MT"/>
            <w:b w:val="0"/>
            <w:bCs w:val="0"/>
            <w:i w:val="0"/>
            <w:iCs w:val="0"/>
            <w:noProof/>
            <w:webHidden/>
            <w:sz w:val="18"/>
            <w:szCs w:val="18"/>
          </w:rPr>
          <w:fldChar w:fldCharType="begin"/>
        </w:r>
        <w:r w:rsidR="00BA4505" w:rsidRPr="00BA4505">
          <w:rPr>
            <w:rFonts w:ascii="Gill Sans MT" w:hAnsi="Gill Sans MT"/>
            <w:b w:val="0"/>
            <w:bCs w:val="0"/>
            <w:i w:val="0"/>
            <w:iCs w:val="0"/>
            <w:noProof/>
            <w:webHidden/>
            <w:sz w:val="18"/>
            <w:szCs w:val="18"/>
          </w:rPr>
          <w:instrText xml:space="preserve"> PAGEREF _Toc57033195 \h </w:instrText>
        </w:r>
        <w:r w:rsidR="00BA4505" w:rsidRPr="00BA4505">
          <w:rPr>
            <w:rFonts w:ascii="Gill Sans MT" w:hAnsi="Gill Sans MT"/>
            <w:b w:val="0"/>
            <w:bCs w:val="0"/>
            <w:i w:val="0"/>
            <w:iCs w:val="0"/>
            <w:noProof/>
            <w:webHidden/>
            <w:sz w:val="18"/>
            <w:szCs w:val="18"/>
          </w:rPr>
        </w:r>
        <w:r w:rsidR="00BA4505" w:rsidRPr="00BA4505">
          <w:rPr>
            <w:rFonts w:ascii="Gill Sans MT" w:hAnsi="Gill Sans MT"/>
            <w:b w:val="0"/>
            <w:bCs w:val="0"/>
            <w:i w:val="0"/>
            <w:iCs w:val="0"/>
            <w:noProof/>
            <w:webHidden/>
            <w:sz w:val="18"/>
            <w:szCs w:val="18"/>
          </w:rPr>
          <w:fldChar w:fldCharType="separate"/>
        </w:r>
        <w:r w:rsidR="005F0AB9">
          <w:rPr>
            <w:rFonts w:ascii="Gill Sans MT" w:hAnsi="Gill Sans MT"/>
            <w:b w:val="0"/>
            <w:bCs w:val="0"/>
            <w:i w:val="0"/>
            <w:iCs w:val="0"/>
            <w:noProof/>
            <w:webHidden/>
            <w:sz w:val="18"/>
            <w:szCs w:val="18"/>
          </w:rPr>
          <w:t>165</w:t>
        </w:r>
        <w:r w:rsidR="00BA4505" w:rsidRPr="00BA4505">
          <w:rPr>
            <w:rFonts w:ascii="Gill Sans MT" w:hAnsi="Gill Sans MT"/>
            <w:b w:val="0"/>
            <w:bCs w:val="0"/>
            <w:i w:val="0"/>
            <w:iCs w:val="0"/>
            <w:noProof/>
            <w:webHidden/>
            <w:sz w:val="18"/>
            <w:szCs w:val="18"/>
          </w:rPr>
          <w:fldChar w:fldCharType="end"/>
        </w:r>
      </w:hyperlink>
    </w:p>
    <w:p w14:paraId="7D376487" w14:textId="5CD7C6C6" w:rsidR="00BA4505" w:rsidRPr="00BA4505" w:rsidRDefault="00B568C9" w:rsidP="005F0AB9">
      <w:pPr>
        <w:pStyle w:val="TOC1"/>
        <w:tabs>
          <w:tab w:val="left" w:pos="993"/>
          <w:tab w:val="left" w:pos="1200"/>
          <w:tab w:val="right" w:leader="dot" w:pos="8779"/>
        </w:tabs>
        <w:rPr>
          <w:rFonts w:ascii="Gill Sans MT" w:hAnsi="Gill Sans MT" w:cstheme="minorBidi"/>
          <w:b w:val="0"/>
          <w:bCs w:val="0"/>
          <w:i w:val="0"/>
          <w:iCs w:val="0"/>
          <w:noProof/>
          <w:sz w:val="18"/>
          <w:szCs w:val="18"/>
          <w:lang w:eastAsia="en-GB"/>
        </w:rPr>
      </w:pPr>
      <w:hyperlink w:anchor="_Toc57033196" w:history="1">
        <w:r w:rsidR="00BA4505" w:rsidRPr="00BA4505">
          <w:rPr>
            <w:rStyle w:val="Hyperlink"/>
            <w:rFonts w:ascii="Gill Sans MT" w:hAnsi="Gill Sans MT"/>
            <w:b w:val="0"/>
            <w:bCs w:val="0"/>
            <w:i w:val="0"/>
            <w:iCs w:val="0"/>
            <w:noProof/>
            <w:sz w:val="18"/>
            <w:szCs w:val="18"/>
          </w:rPr>
          <w:t>Table 17:</w:t>
        </w:r>
        <w:r w:rsidR="00BA4505" w:rsidRPr="00BA4505">
          <w:rPr>
            <w:rFonts w:ascii="Gill Sans MT" w:hAnsi="Gill Sans MT" w:cstheme="minorBidi"/>
            <w:b w:val="0"/>
            <w:bCs w:val="0"/>
            <w:i w:val="0"/>
            <w:iCs w:val="0"/>
            <w:noProof/>
            <w:sz w:val="18"/>
            <w:szCs w:val="18"/>
            <w:lang w:eastAsia="en-GB"/>
          </w:rPr>
          <w:tab/>
        </w:r>
        <w:r w:rsidR="00BA4505" w:rsidRPr="00BA4505">
          <w:rPr>
            <w:rStyle w:val="Hyperlink"/>
            <w:rFonts w:ascii="Gill Sans MT" w:hAnsi="Gill Sans MT"/>
            <w:b w:val="0"/>
            <w:bCs w:val="0"/>
            <w:i w:val="0"/>
            <w:iCs w:val="0"/>
            <w:noProof/>
            <w:sz w:val="18"/>
            <w:szCs w:val="18"/>
          </w:rPr>
          <w:t>Parallel Analysis: Principal components and raw data permutations for the ABC24 Scale</w:t>
        </w:r>
        <w:r w:rsidR="00BA4505" w:rsidRPr="00BA4505">
          <w:rPr>
            <w:rFonts w:ascii="Gill Sans MT" w:hAnsi="Gill Sans MT"/>
            <w:b w:val="0"/>
            <w:bCs w:val="0"/>
            <w:i w:val="0"/>
            <w:iCs w:val="0"/>
            <w:noProof/>
            <w:webHidden/>
            <w:sz w:val="18"/>
            <w:szCs w:val="18"/>
          </w:rPr>
          <w:tab/>
        </w:r>
        <w:r w:rsidR="00BA4505" w:rsidRPr="00BA4505">
          <w:rPr>
            <w:rFonts w:ascii="Gill Sans MT" w:hAnsi="Gill Sans MT"/>
            <w:b w:val="0"/>
            <w:bCs w:val="0"/>
            <w:i w:val="0"/>
            <w:iCs w:val="0"/>
            <w:noProof/>
            <w:webHidden/>
            <w:sz w:val="18"/>
            <w:szCs w:val="18"/>
          </w:rPr>
          <w:fldChar w:fldCharType="begin"/>
        </w:r>
        <w:r w:rsidR="00BA4505" w:rsidRPr="00BA4505">
          <w:rPr>
            <w:rFonts w:ascii="Gill Sans MT" w:hAnsi="Gill Sans MT"/>
            <w:b w:val="0"/>
            <w:bCs w:val="0"/>
            <w:i w:val="0"/>
            <w:iCs w:val="0"/>
            <w:noProof/>
            <w:webHidden/>
            <w:sz w:val="18"/>
            <w:szCs w:val="18"/>
          </w:rPr>
          <w:instrText xml:space="preserve"> PAGEREF _Toc57033196 \h </w:instrText>
        </w:r>
        <w:r w:rsidR="00BA4505" w:rsidRPr="00BA4505">
          <w:rPr>
            <w:rFonts w:ascii="Gill Sans MT" w:hAnsi="Gill Sans MT"/>
            <w:b w:val="0"/>
            <w:bCs w:val="0"/>
            <w:i w:val="0"/>
            <w:iCs w:val="0"/>
            <w:noProof/>
            <w:webHidden/>
            <w:sz w:val="18"/>
            <w:szCs w:val="18"/>
          </w:rPr>
        </w:r>
        <w:r w:rsidR="00BA4505" w:rsidRPr="00BA4505">
          <w:rPr>
            <w:rFonts w:ascii="Gill Sans MT" w:hAnsi="Gill Sans MT"/>
            <w:b w:val="0"/>
            <w:bCs w:val="0"/>
            <w:i w:val="0"/>
            <w:iCs w:val="0"/>
            <w:noProof/>
            <w:webHidden/>
            <w:sz w:val="18"/>
            <w:szCs w:val="18"/>
          </w:rPr>
          <w:fldChar w:fldCharType="separate"/>
        </w:r>
        <w:r w:rsidR="005F0AB9">
          <w:rPr>
            <w:rFonts w:ascii="Gill Sans MT" w:hAnsi="Gill Sans MT"/>
            <w:b w:val="0"/>
            <w:bCs w:val="0"/>
            <w:i w:val="0"/>
            <w:iCs w:val="0"/>
            <w:noProof/>
            <w:webHidden/>
            <w:sz w:val="18"/>
            <w:szCs w:val="18"/>
          </w:rPr>
          <w:t>171</w:t>
        </w:r>
        <w:r w:rsidR="00BA4505" w:rsidRPr="00BA4505">
          <w:rPr>
            <w:rFonts w:ascii="Gill Sans MT" w:hAnsi="Gill Sans MT"/>
            <w:b w:val="0"/>
            <w:bCs w:val="0"/>
            <w:i w:val="0"/>
            <w:iCs w:val="0"/>
            <w:noProof/>
            <w:webHidden/>
            <w:sz w:val="18"/>
            <w:szCs w:val="18"/>
          </w:rPr>
          <w:fldChar w:fldCharType="end"/>
        </w:r>
      </w:hyperlink>
    </w:p>
    <w:p w14:paraId="511899F6" w14:textId="370431F4" w:rsidR="00BA4505" w:rsidRPr="00BA4505" w:rsidRDefault="00B568C9" w:rsidP="005F0AB9">
      <w:pPr>
        <w:pStyle w:val="TOC1"/>
        <w:tabs>
          <w:tab w:val="left" w:pos="993"/>
          <w:tab w:val="left" w:pos="1200"/>
          <w:tab w:val="right" w:leader="dot" w:pos="8779"/>
        </w:tabs>
        <w:rPr>
          <w:rFonts w:ascii="Gill Sans MT" w:hAnsi="Gill Sans MT" w:cstheme="minorBidi"/>
          <w:b w:val="0"/>
          <w:bCs w:val="0"/>
          <w:i w:val="0"/>
          <w:iCs w:val="0"/>
          <w:noProof/>
          <w:sz w:val="18"/>
          <w:szCs w:val="18"/>
          <w:lang w:eastAsia="en-GB"/>
        </w:rPr>
      </w:pPr>
      <w:hyperlink w:anchor="_Toc57033197" w:history="1">
        <w:r w:rsidR="00BA4505" w:rsidRPr="00BA4505">
          <w:rPr>
            <w:rStyle w:val="Hyperlink"/>
            <w:rFonts w:ascii="Gill Sans MT" w:hAnsi="Gill Sans MT"/>
            <w:b w:val="0"/>
            <w:bCs w:val="0"/>
            <w:i w:val="0"/>
            <w:iCs w:val="0"/>
            <w:noProof/>
            <w:sz w:val="18"/>
            <w:szCs w:val="18"/>
          </w:rPr>
          <w:t>Table 18:</w:t>
        </w:r>
        <w:r w:rsidR="00BA4505" w:rsidRPr="00BA4505">
          <w:rPr>
            <w:rFonts w:ascii="Gill Sans MT" w:hAnsi="Gill Sans MT" w:cstheme="minorBidi"/>
            <w:b w:val="0"/>
            <w:bCs w:val="0"/>
            <w:i w:val="0"/>
            <w:iCs w:val="0"/>
            <w:noProof/>
            <w:sz w:val="18"/>
            <w:szCs w:val="18"/>
            <w:lang w:eastAsia="en-GB"/>
          </w:rPr>
          <w:tab/>
        </w:r>
        <w:r w:rsidR="00BA4505" w:rsidRPr="00BA4505">
          <w:rPr>
            <w:rStyle w:val="Hyperlink"/>
            <w:rFonts w:ascii="Gill Sans MT" w:hAnsi="Gill Sans MT"/>
            <w:b w:val="0"/>
            <w:bCs w:val="0"/>
            <w:i w:val="0"/>
            <w:iCs w:val="0"/>
            <w:noProof/>
            <w:sz w:val="18"/>
            <w:szCs w:val="18"/>
          </w:rPr>
          <w:t>Parallel Analysis: Principal components and raw data permutations for the ABC17 Scale</w:t>
        </w:r>
        <w:r w:rsidR="00BA4505" w:rsidRPr="00BA4505">
          <w:rPr>
            <w:rFonts w:ascii="Gill Sans MT" w:hAnsi="Gill Sans MT"/>
            <w:b w:val="0"/>
            <w:bCs w:val="0"/>
            <w:i w:val="0"/>
            <w:iCs w:val="0"/>
            <w:noProof/>
            <w:webHidden/>
            <w:sz w:val="18"/>
            <w:szCs w:val="18"/>
          </w:rPr>
          <w:tab/>
        </w:r>
        <w:r w:rsidR="00BA4505" w:rsidRPr="00BA4505">
          <w:rPr>
            <w:rFonts w:ascii="Gill Sans MT" w:hAnsi="Gill Sans MT"/>
            <w:b w:val="0"/>
            <w:bCs w:val="0"/>
            <w:i w:val="0"/>
            <w:iCs w:val="0"/>
            <w:noProof/>
            <w:webHidden/>
            <w:sz w:val="18"/>
            <w:szCs w:val="18"/>
          </w:rPr>
          <w:fldChar w:fldCharType="begin"/>
        </w:r>
        <w:r w:rsidR="00BA4505" w:rsidRPr="00BA4505">
          <w:rPr>
            <w:rFonts w:ascii="Gill Sans MT" w:hAnsi="Gill Sans MT"/>
            <w:b w:val="0"/>
            <w:bCs w:val="0"/>
            <w:i w:val="0"/>
            <w:iCs w:val="0"/>
            <w:noProof/>
            <w:webHidden/>
            <w:sz w:val="18"/>
            <w:szCs w:val="18"/>
          </w:rPr>
          <w:instrText xml:space="preserve"> PAGEREF _Toc57033197 \h </w:instrText>
        </w:r>
        <w:r w:rsidR="00BA4505" w:rsidRPr="00BA4505">
          <w:rPr>
            <w:rFonts w:ascii="Gill Sans MT" w:hAnsi="Gill Sans MT"/>
            <w:b w:val="0"/>
            <w:bCs w:val="0"/>
            <w:i w:val="0"/>
            <w:iCs w:val="0"/>
            <w:noProof/>
            <w:webHidden/>
            <w:sz w:val="18"/>
            <w:szCs w:val="18"/>
          </w:rPr>
        </w:r>
        <w:r w:rsidR="00BA4505" w:rsidRPr="00BA4505">
          <w:rPr>
            <w:rFonts w:ascii="Gill Sans MT" w:hAnsi="Gill Sans MT"/>
            <w:b w:val="0"/>
            <w:bCs w:val="0"/>
            <w:i w:val="0"/>
            <w:iCs w:val="0"/>
            <w:noProof/>
            <w:webHidden/>
            <w:sz w:val="18"/>
            <w:szCs w:val="18"/>
          </w:rPr>
          <w:fldChar w:fldCharType="separate"/>
        </w:r>
        <w:r w:rsidR="005F0AB9">
          <w:rPr>
            <w:rFonts w:ascii="Gill Sans MT" w:hAnsi="Gill Sans MT"/>
            <w:b w:val="0"/>
            <w:bCs w:val="0"/>
            <w:i w:val="0"/>
            <w:iCs w:val="0"/>
            <w:noProof/>
            <w:webHidden/>
            <w:sz w:val="18"/>
            <w:szCs w:val="18"/>
          </w:rPr>
          <w:t>171</w:t>
        </w:r>
        <w:r w:rsidR="00BA4505" w:rsidRPr="00BA4505">
          <w:rPr>
            <w:rFonts w:ascii="Gill Sans MT" w:hAnsi="Gill Sans MT"/>
            <w:b w:val="0"/>
            <w:bCs w:val="0"/>
            <w:i w:val="0"/>
            <w:iCs w:val="0"/>
            <w:noProof/>
            <w:webHidden/>
            <w:sz w:val="18"/>
            <w:szCs w:val="18"/>
          </w:rPr>
          <w:fldChar w:fldCharType="end"/>
        </w:r>
      </w:hyperlink>
    </w:p>
    <w:p w14:paraId="37D74337" w14:textId="2A0729B6" w:rsidR="00BA4505" w:rsidRPr="00BA4505" w:rsidRDefault="00B568C9" w:rsidP="005F0AB9">
      <w:pPr>
        <w:pStyle w:val="TOC1"/>
        <w:tabs>
          <w:tab w:val="left" w:pos="993"/>
          <w:tab w:val="left" w:pos="1200"/>
          <w:tab w:val="right" w:leader="dot" w:pos="8779"/>
        </w:tabs>
        <w:rPr>
          <w:rFonts w:ascii="Gill Sans MT" w:hAnsi="Gill Sans MT" w:cstheme="minorBidi"/>
          <w:b w:val="0"/>
          <w:bCs w:val="0"/>
          <w:i w:val="0"/>
          <w:iCs w:val="0"/>
          <w:noProof/>
          <w:sz w:val="18"/>
          <w:szCs w:val="18"/>
          <w:lang w:eastAsia="en-GB"/>
        </w:rPr>
      </w:pPr>
      <w:hyperlink w:anchor="_Toc57033198" w:history="1">
        <w:r w:rsidR="00BA4505" w:rsidRPr="00BA4505">
          <w:rPr>
            <w:rStyle w:val="Hyperlink"/>
            <w:rFonts w:ascii="Gill Sans MT" w:hAnsi="Gill Sans MT"/>
            <w:b w:val="0"/>
            <w:bCs w:val="0"/>
            <w:i w:val="0"/>
            <w:iCs w:val="0"/>
            <w:noProof/>
            <w:sz w:val="18"/>
            <w:szCs w:val="18"/>
          </w:rPr>
          <w:t>Table 19:</w:t>
        </w:r>
        <w:r w:rsidR="00BA4505" w:rsidRPr="00BA4505">
          <w:rPr>
            <w:rFonts w:ascii="Gill Sans MT" w:hAnsi="Gill Sans MT" w:cstheme="minorBidi"/>
            <w:b w:val="0"/>
            <w:bCs w:val="0"/>
            <w:i w:val="0"/>
            <w:iCs w:val="0"/>
            <w:noProof/>
            <w:sz w:val="18"/>
            <w:szCs w:val="18"/>
            <w:lang w:eastAsia="en-GB"/>
          </w:rPr>
          <w:tab/>
        </w:r>
        <w:r w:rsidR="00BA4505" w:rsidRPr="00BA4505">
          <w:rPr>
            <w:rStyle w:val="Hyperlink"/>
            <w:rFonts w:ascii="Gill Sans MT" w:hAnsi="Gill Sans MT"/>
            <w:b w:val="0"/>
            <w:bCs w:val="0"/>
            <w:i w:val="0"/>
            <w:iCs w:val="0"/>
            <w:noProof/>
            <w:sz w:val="18"/>
            <w:szCs w:val="18"/>
          </w:rPr>
          <w:t>Parallel Analysis: Principal components and raw data permutations for the Dx20 Profiler.</w:t>
        </w:r>
        <w:r w:rsidR="00BA4505" w:rsidRPr="00BA4505">
          <w:rPr>
            <w:rFonts w:ascii="Gill Sans MT" w:hAnsi="Gill Sans MT"/>
            <w:b w:val="0"/>
            <w:bCs w:val="0"/>
            <w:i w:val="0"/>
            <w:iCs w:val="0"/>
            <w:noProof/>
            <w:webHidden/>
            <w:sz w:val="18"/>
            <w:szCs w:val="18"/>
          </w:rPr>
          <w:tab/>
        </w:r>
        <w:r w:rsidR="00BA4505" w:rsidRPr="00BA4505">
          <w:rPr>
            <w:rFonts w:ascii="Gill Sans MT" w:hAnsi="Gill Sans MT"/>
            <w:b w:val="0"/>
            <w:bCs w:val="0"/>
            <w:i w:val="0"/>
            <w:iCs w:val="0"/>
            <w:noProof/>
            <w:webHidden/>
            <w:sz w:val="18"/>
            <w:szCs w:val="18"/>
          </w:rPr>
          <w:fldChar w:fldCharType="begin"/>
        </w:r>
        <w:r w:rsidR="00BA4505" w:rsidRPr="00BA4505">
          <w:rPr>
            <w:rFonts w:ascii="Gill Sans MT" w:hAnsi="Gill Sans MT"/>
            <w:b w:val="0"/>
            <w:bCs w:val="0"/>
            <w:i w:val="0"/>
            <w:iCs w:val="0"/>
            <w:noProof/>
            <w:webHidden/>
            <w:sz w:val="18"/>
            <w:szCs w:val="18"/>
          </w:rPr>
          <w:instrText xml:space="preserve"> PAGEREF _Toc57033198 \h </w:instrText>
        </w:r>
        <w:r w:rsidR="00BA4505" w:rsidRPr="00BA4505">
          <w:rPr>
            <w:rFonts w:ascii="Gill Sans MT" w:hAnsi="Gill Sans MT"/>
            <w:b w:val="0"/>
            <w:bCs w:val="0"/>
            <w:i w:val="0"/>
            <w:iCs w:val="0"/>
            <w:noProof/>
            <w:webHidden/>
            <w:sz w:val="18"/>
            <w:szCs w:val="18"/>
          </w:rPr>
        </w:r>
        <w:r w:rsidR="00BA4505" w:rsidRPr="00BA4505">
          <w:rPr>
            <w:rFonts w:ascii="Gill Sans MT" w:hAnsi="Gill Sans MT"/>
            <w:b w:val="0"/>
            <w:bCs w:val="0"/>
            <w:i w:val="0"/>
            <w:iCs w:val="0"/>
            <w:noProof/>
            <w:webHidden/>
            <w:sz w:val="18"/>
            <w:szCs w:val="18"/>
          </w:rPr>
          <w:fldChar w:fldCharType="separate"/>
        </w:r>
        <w:r w:rsidR="005F0AB9">
          <w:rPr>
            <w:rFonts w:ascii="Gill Sans MT" w:hAnsi="Gill Sans MT"/>
            <w:b w:val="0"/>
            <w:bCs w:val="0"/>
            <w:i w:val="0"/>
            <w:iCs w:val="0"/>
            <w:noProof/>
            <w:webHidden/>
            <w:sz w:val="18"/>
            <w:szCs w:val="18"/>
          </w:rPr>
          <w:t>172</w:t>
        </w:r>
        <w:r w:rsidR="00BA4505" w:rsidRPr="00BA4505">
          <w:rPr>
            <w:rFonts w:ascii="Gill Sans MT" w:hAnsi="Gill Sans MT"/>
            <w:b w:val="0"/>
            <w:bCs w:val="0"/>
            <w:i w:val="0"/>
            <w:iCs w:val="0"/>
            <w:noProof/>
            <w:webHidden/>
            <w:sz w:val="18"/>
            <w:szCs w:val="18"/>
          </w:rPr>
          <w:fldChar w:fldCharType="end"/>
        </w:r>
      </w:hyperlink>
    </w:p>
    <w:p w14:paraId="583A6E72" w14:textId="4CC1A27F" w:rsidR="00BA4505" w:rsidRPr="00BA4505" w:rsidRDefault="00B568C9" w:rsidP="005F0AB9">
      <w:pPr>
        <w:pStyle w:val="TOC1"/>
        <w:tabs>
          <w:tab w:val="left" w:pos="993"/>
          <w:tab w:val="left" w:pos="1200"/>
          <w:tab w:val="right" w:leader="dot" w:pos="8779"/>
        </w:tabs>
        <w:rPr>
          <w:rFonts w:ascii="Gill Sans MT" w:hAnsi="Gill Sans MT" w:cstheme="minorBidi"/>
          <w:b w:val="0"/>
          <w:bCs w:val="0"/>
          <w:i w:val="0"/>
          <w:iCs w:val="0"/>
          <w:noProof/>
          <w:sz w:val="18"/>
          <w:szCs w:val="18"/>
          <w:lang w:eastAsia="en-GB"/>
        </w:rPr>
      </w:pPr>
      <w:hyperlink w:anchor="_Toc57033199" w:history="1">
        <w:r w:rsidR="00BA4505" w:rsidRPr="00BA4505">
          <w:rPr>
            <w:rStyle w:val="Hyperlink"/>
            <w:rFonts w:ascii="Gill Sans MT" w:hAnsi="Gill Sans MT"/>
            <w:b w:val="0"/>
            <w:bCs w:val="0"/>
            <w:i w:val="0"/>
            <w:iCs w:val="0"/>
            <w:noProof/>
            <w:sz w:val="18"/>
            <w:szCs w:val="18"/>
          </w:rPr>
          <w:t>Table 20:</w:t>
        </w:r>
        <w:r w:rsidR="00BA4505" w:rsidRPr="00BA4505">
          <w:rPr>
            <w:rFonts w:ascii="Gill Sans MT" w:hAnsi="Gill Sans MT" w:cstheme="minorBidi"/>
            <w:b w:val="0"/>
            <w:bCs w:val="0"/>
            <w:i w:val="0"/>
            <w:iCs w:val="0"/>
            <w:noProof/>
            <w:sz w:val="18"/>
            <w:szCs w:val="18"/>
            <w:lang w:eastAsia="en-GB"/>
          </w:rPr>
          <w:tab/>
        </w:r>
        <w:r w:rsidR="00BA4505" w:rsidRPr="00BA4505">
          <w:rPr>
            <w:rStyle w:val="Hyperlink"/>
            <w:rFonts w:ascii="Gill Sans MT" w:hAnsi="Gill Sans MT"/>
            <w:b w:val="0"/>
            <w:bCs w:val="0"/>
            <w:i w:val="0"/>
            <w:iCs w:val="0"/>
            <w:noProof/>
            <w:sz w:val="18"/>
            <w:szCs w:val="18"/>
          </w:rPr>
          <w:t>Parallel Analysis: Principal components and raw data permutations for the Dx16 Profiler.</w:t>
        </w:r>
        <w:r w:rsidR="00BA4505" w:rsidRPr="00BA4505">
          <w:rPr>
            <w:rFonts w:ascii="Gill Sans MT" w:hAnsi="Gill Sans MT"/>
            <w:b w:val="0"/>
            <w:bCs w:val="0"/>
            <w:i w:val="0"/>
            <w:iCs w:val="0"/>
            <w:noProof/>
            <w:webHidden/>
            <w:sz w:val="18"/>
            <w:szCs w:val="18"/>
          </w:rPr>
          <w:tab/>
        </w:r>
        <w:r w:rsidR="00BA4505" w:rsidRPr="00BA4505">
          <w:rPr>
            <w:rFonts w:ascii="Gill Sans MT" w:hAnsi="Gill Sans MT"/>
            <w:b w:val="0"/>
            <w:bCs w:val="0"/>
            <w:i w:val="0"/>
            <w:iCs w:val="0"/>
            <w:noProof/>
            <w:webHidden/>
            <w:sz w:val="18"/>
            <w:szCs w:val="18"/>
          </w:rPr>
          <w:fldChar w:fldCharType="begin"/>
        </w:r>
        <w:r w:rsidR="00BA4505" w:rsidRPr="00BA4505">
          <w:rPr>
            <w:rFonts w:ascii="Gill Sans MT" w:hAnsi="Gill Sans MT"/>
            <w:b w:val="0"/>
            <w:bCs w:val="0"/>
            <w:i w:val="0"/>
            <w:iCs w:val="0"/>
            <w:noProof/>
            <w:webHidden/>
            <w:sz w:val="18"/>
            <w:szCs w:val="18"/>
          </w:rPr>
          <w:instrText xml:space="preserve"> PAGEREF _Toc57033199 \h </w:instrText>
        </w:r>
        <w:r w:rsidR="00BA4505" w:rsidRPr="00BA4505">
          <w:rPr>
            <w:rFonts w:ascii="Gill Sans MT" w:hAnsi="Gill Sans MT"/>
            <w:b w:val="0"/>
            <w:bCs w:val="0"/>
            <w:i w:val="0"/>
            <w:iCs w:val="0"/>
            <w:noProof/>
            <w:webHidden/>
            <w:sz w:val="18"/>
            <w:szCs w:val="18"/>
          </w:rPr>
        </w:r>
        <w:r w:rsidR="00BA4505" w:rsidRPr="00BA4505">
          <w:rPr>
            <w:rFonts w:ascii="Gill Sans MT" w:hAnsi="Gill Sans MT"/>
            <w:b w:val="0"/>
            <w:bCs w:val="0"/>
            <w:i w:val="0"/>
            <w:iCs w:val="0"/>
            <w:noProof/>
            <w:webHidden/>
            <w:sz w:val="18"/>
            <w:szCs w:val="18"/>
          </w:rPr>
          <w:fldChar w:fldCharType="separate"/>
        </w:r>
        <w:r w:rsidR="005F0AB9">
          <w:rPr>
            <w:rFonts w:ascii="Gill Sans MT" w:hAnsi="Gill Sans MT"/>
            <w:b w:val="0"/>
            <w:bCs w:val="0"/>
            <w:i w:val="0"/>
            <w:iCs w:val="0"/>
            <w:noProof/>
            <w:webHidden/>
            <w:sz w:val="18"/>
            <w:szCs w:val="18"/>
          </w:rPr>
          <w:t>173</w:t>
        </w:r>
        <w:r w:rsidR="00BA4505" w:rsidRPr="00BA4505">
          <w:rPr>
            <w:rFonts w:ascii="Gill Sans MT" w:hAnsi="Gill Sans MT"/>
            <w:b w:val="0"/>
            <w:bCs w:val="0"/>
            <w:i w:val="0"/>
            <w:iCs w:val="0"/>
            <w:noProof/>
            <w:webHidden/>
            <w:sz w:val="18"/>
            <w:szCs w:val="18"/>
          </w:rPr>
          <w:fldChar w:fldCharType="end"/>
        </w:r>
      </w:hyperlink>
    </w:p>
    <w:p w14:paraId="54ABE09B" w14:textId="2C2B94F4" w:rsidR="00BA4505" w:rsidRPr="00BA4505" w:rsidRDefault="00B568C9" w:rsidP="005F0AB9">
      <w:pPr>
        <w:pStyle w:val="TOC1"/>
        <w:tabs>
          <w:tab w:val="left" w:pos="993"/>
          <w:tab w:val="left" w:pos="1200"/>
          <w:tab w:val="right" w:leader="dot" w:pos="8779"/>
        </w:tabs>
        <w:rPr>
          <w:rFonts w:ascii="Gill Sans MT" w:hAnsi="Gill Sans MT" w:cstheme="minorBidi"/>
          <w:b w:val="0"/>
          <w:bCs w:val="0"/>
          <w:i w:val="0"/>
          <w:iCs w:val="0"/>
          <w:noProof/>
          <w:sz w:val="18"/>
          <w:szCs w:val="18"/>
          <w:lang w:eastAsia="en-GB"/>
        </w:rPr>
      </w:pPr>
      <w:hyperlink w:anchor="_Toc57033200" w:history="1">
        <w:r w:rsidR="00BA4505" w:rsidRPr="00BA4505">
          <w:rPr>
            <w:rStyle w:val="Hyperlink"/>
            <w:rFonts w:ascii="Gill Sans MT" w:hAnsi="Gill Sans MT"/>
            <w:b w:val="0"/>
            <w:bCs w:val="0"/>
            <w:i w:val="0"/>
            <w:iCs w:val="0"/>
            <w:noProof/>
            <w:sz w:val="18"/>
            <w:szCs w:val="18"/>
          </w:rPr>
          <w:t>Table 21:</w:t>
        </w:r>
        <w:r w:rsidR="00BA4505" w:rsidRPr="00BA4505">
          <w:rPr>
            <w:rFonts w:ascii="Gill Sans MT" w:hAnsi="Gill Sans MT" w:cstheme="minorBidi"/>
            <w:b w:val="0"/>
            <w:bCs w:val="0"/>
            <w:i w:val="0"/>
            <w:iCs w:val="0"/>
            <w:noProof/>
            <w:sz w:val="18"/>
            <w:szCs w:val="18"/>
            <w:lang w:eastAsia="en-GB"/>
          </w:rPr>
          <w:tab/>
        </w:r>
        <w:r w:rsidR="00BA4505" w:rsidRPr="00BA4505">
          <w:rPr>
            <w:rStyle w:val="Hyperlink"/>
            <w:rFonts w:ascii="Gill Sans MT" w:hAnsi="Gill Sans MT"/>
            <w:b w:val="0"/>
            <w:bCs w:val="0"/>
            <w:i w:val="0"/>
            <w:iCs w:val="0"/>
            <w:noProof/>
            <w:sz w:val="18"/>
            <w:szCs w:val="18"/>
          </w:rPr>
          <w:t xml:space="preserve">Rotated component matrix for ABC24 and ABC17 Scales (Sander &amp; Sanders) showing factor loadings, </w:t>
        </w:r>
        <w:r w:rsidR="00BA4505">
          <w:rPr>
            <w:rStyle w:val="Hyperlink"/>
            <w:rFonts w:ascii="Gill Sans MT" w:hAnsi="Gill Sans MT"/>
            <w:b w:val="0"/>
            <w:bCs w:val="0"/>
            <w:i w:val="0"/>
            <w:iCs w:val="0"/>
            <w:noProof/>
            <w:sz w:val="18"/>
            <w:szCs w:val="18"/>
          </w:rPr>
          <w:tab/>
        </w:r>
        <w:r w:rsidR="00BA4505" w:rsidRPr="00BA4505">
          <w:rPr>
            <w:rStyle w:val="Hyperlink"/>
            <w:rFonts w:ascii="Gill Sans MT" w:hAnsi="Gill Sans MT"/>
            <w:b w:val="0"/>
            <w:bCs w:val="0"/>
            <w:i w:val="0"/>
            <w:iCs w:val="0"/>
            <w:noProof/>
            <w:sz w:val="18"/>
            <w:szCs w:val="18"/>
          </w:rPr>
          <w:t xml:space="preserve">and </w:t>
        </w:r>
        <w:r w:rsidR="005F0AB9">
          <w:rPr>
            <w:rStyle w:val="Hyperlink"/>
            <w:rFonts w:ascii="Gill Sans MT" w:hAnsi="Gill Sans MT"/>
            <w:b w:val="0"/>
            <w:bCs w:val="0"/>
            <w:i w:val="0"/>
            <w:iCs w:val="0"/>
            <w:noProof/>
            <w:sz w:val="18"/>
            <w:szCs w:val="18"/>
          </w:rPr>
          <w:tab/>
        </w:r>
        <w:r w:rsidR="00BA4505" w:rsidRPr="00BA4505">
          <w:rPr>
            <w:rStyle w:val="Hyperlink"/>
            <w:rFonts w:ascii="Gill Sans MT" w:hAnsi="Gill Sans MT"/>
            <w:b w:val="0"/>
            <w:bCs w:val="0"/>
            <w:i w:val="0"/>
            <w:iCs w:val="0"/>
            <w:noProof/>
            <w:sz w:val="18"/>
            <w:szCs w:val="18"/>
          </w:rPr>
          <w:t>which items were removed as redundant from the ABC24 Scale (x).</w:t>
        </w:r>
        <w:r w:rsidR="00BA4505" w:rsidRPr="00BA4505">
          <w:rPr>
            <w:rFonts w:ascii="Gill Sans MT" w:hAnsi="Gill Sans MT"/>
            <w:b w:val="0"/>
            <w:bCs w:val="0"/>
            <w:i w:val="0"/>
            <w:iCs w:val="0"/>
            <w:noProof/>
            <w:webHidden/>
            <w:sz w:val="18"/>
            <w:szCs w:val="18"/>
          </w:rPr>
          <w:tab/>
        </w:r>
        <w:r w:rsidR="00BA4505" w:rsidRPr="00BA4505">
          <w:rPr>
            <w:rFonts w:ascii="Gill Sans MT" w:hAnsi="Gill Sans MT"/>
            <w:b w:val="0"/>
            <w:bCs w:val="0"/>
            <w:i w:val="0"/>
            <w:iCs w:val="0"/>
            <w:noProof/>
            <w:webHidden/>
            <w:sz w:val="18"/>
            <w:szCs w:val="18"/>
          </w:rPr>
          <w:fldChar w:fldCharType="begin"/>
        </w:r>
        <w:r w:rsidR="00BA4505" w:rsidRPr="00BA4505">
          <w:rPr>
            <w:rFonts w:ascii="Gill Sans MT" w:hAnsi="Gill Sans MT"/>
            <w:b w:val="0"/>
            <w:bCs w:val="0"/>
            <w:i w:val="0"/>
            <w:iCs w:val="0"/>
            <w:noProof/>
            <w:webHidden/>
            <w:sz w:val="18"/>
            <w:szCs w:val="18"/>
          </w:rPr>
          <w:instrText xml:space="preserve"> PAGEREF _Toc57033200 \h </w:instrText>
        </w:r>
        <w:r w:rsidR="00BA4505" w:rsidRPr="00BA4505">
          <w:rPr>
            <w:rFonts w:ascii="Gill Sans MT" w:hAnsi="Gill Sans MT"/>
            <w:b w:val="0"/>
            <w:bCs w:val="0"/>
            <w:i w:val="0"/>
            <w:iCs w:val="0"/>
            <w:noProof/>
            <w:webHidden/>
            <w:sz w:val="18"/>
            <w:szCs w:val="18"/>
          </w:rPr>
        </w:r>
        <w:r w:rsidR="00BA4505" w:rsidRPr="00BA4505">
          <w:rPr>
            <w:rFonts w:ascii="Gill Sans MT" w:hAnsi="Gill Sans MT"/>
            <w:b w:val="0"/>
            <w:bCs w:val="0"/>
            <w:i w:val="0"/>
            <w:iCs w:val="0"/>
            <w:noProof/>
            <w:webHidden/>
            <w:sz w:val="18"/>
            <w:szCs w:val="18"/>
          </w:rPr>
          <w:fldChar w:fldCharType="separate"/>
        </w:r>
        <w:r w:rsidR="005F0AB9">
          <w:rPr>
            <w:rFonts w:ascii="Gill Sans MT" w:hAnsi="Gill Sans MT"/>
            <w:b w:val="0"/>
            <w:bCs w:val="0"/>
            <w:i w:val="0"/>
            <w:iCs w:val="0"/>
            <w:noProof/>
            <w:webHidden/>
            <w:sz w:val="18"/>
            <w:szCs w:val="18"/>
          </w:rPr>
          <w:t>175</w:t>
        </w:r>
        <w:r w:rsidR="00BA4505" w:rsidRPr="00BA4505">
          <w:rPr>
            <w:rFonts w:ascii="Gill Sans MT" w:hAnsi="Gill Sans MT"/>
            <w:b w:val="0"/>
            <w:bCs w:val="0"/>
            <w:i w:val="0"/>
            <w:iCs w:val="0"/>
            <w:noProof/>
            <w:webHidden/>
            <w:sz w:val="18"/>
            <w:szCs w:val="18"/>
          </w:rPr>
          <w:fldChar w:fldCharType="end"/>
        </w:r>
      </w:hyperlink>
    </w:p>
    <w:p w14:paraId="60D4884D" w14:textId="1EFE0DAA" w:rsidR="00BA4505" w:rsidRPr="00BA4505" w:rsidRDefault="00B568C9" w:rsidP="005F0AB9">
      <w:pPr>
        <w:pStyle w:val="TOC1"/>
        <w:tabs>
          <w:tab w:val="left" w:pos="993"/>
          <w:tab w:val="left" w:pos="1200"/>
          <w:tab w:val="right" w:leader="dot" w:pos="8779"/>
        </w:tabs>
        <w:rPr>
          <w:rFonts w:ascii="Gill Sans MT" w:hAnsi="Gill Sans MT" w:cstheme="minorBidi"/>
          <w:b w:val="0"/>
          <w:bCs w:val="0"/>
          <w:i w:val="0"/>
          <w:iCs w:val="0"/>
          <w:noProof/>
          <w:sz w:val="18"/>
          <w:szCs w:val="18"/>
          <w:lang w:eastAsia="en-GB"/>
        </w:rPr>
      </w:pPr>
      <w:hyperlink w:anchor="_Toc57033201" w:history="1">
        <w:r w:rsidR="00BA4505" w:rsidRPr="00BA4505">
          <w:rPr>
            <w:rStyle w:val="Hyperlink"/>
            <w:rFonts w:ascii="Gill Sans MT" w:hAnsi="Gill Sans MT"/>
            <w:b w:val="0"/>
            <w:bCs w:val="0"/>
            <w:i w:val="0"/>
            <w:iCs w:val="0"/>
            <w:noProof/>
            <w:sz w:val="18"/>
            <w:szCs w:val="18"/>
          </w:rPr>
          <w:t>Table 22:</w:t>
        </w:r>
        <w:r w:rsidR="00BA4505" w:rsidRPr="00BA4505">
          <w:rPr>
            <w:rFonts w:ascii="Gill Sans MT" w:hAnsi="Gill Sans MT" w:cstheme="minorBidi"/>
            <w:b w:val="0"/>
            <w:bCs w:val="0"/>
            <w:i w:val="0"/>
            <w:iCs w:val="0"/>
            <w:noProof/>
            <w:sz w:val="18"/>
            <w:szCs w:val="18"/>
            <w:lang w:eastAsia="en-GB"/>
          </w:rPr>
          <w:tab/>
        </w:r>
        <w:r w:rsidR="00BA4505" w:rsidRPr="00BA4505">
          <w:rPr>
            <w:rStyle w:val="Hyperlink"/>
            <w:rFonts w:ascii="Gill Sans MT" w:hAnsi="Gill Sans MT"/>
            <w:b w:val="0"/>
            <w:bCs w:val="0"/>
            <w:i w:val="0"/>
            <w:iCs w:val="0"/>
            <w:noProof/>
            <w:sz w:val="18"/>
            <w:szCs w:val="18"/>
          </w:rPr>
          <w:t xml:space="preserve">Rotated component matrix for locally derived ABC21-L and ABC17-L Scales, showing factor loadings, </w:t>
        </w:r>
        <w:r w:rsidR="00BA4505">
          <w:rPr>
            <w:rStyle w:val="Hyperlink"/>
            <w:rFonts w:ascii="Gill Sans MT" w:hAnsi="Gill Sans MT"/>
            <w:b w:val="0"/>
            <w:bCs w:val="0"/>
            <w:i w:val="0"/>
            <w:iCs w:val="0"/>
            <w:noProof/>
            <w:sz w:val="18"/>
            <w:szCs w:val="18"/>
          </w:rPr>
          <w:tab/>
        </w:r>
        <w:r w:rsidR="00BA4505" w:rsidRPr="00BA4505">
          <w:rPr>
            <w:rStyle w:val="Hyperlink"/>
            <w:rFonts w:ascii="Gill Sans MT" w:hAnsi="Gill Sans MT"/>
            <w:b w:val="0"/>
            <w:bCs w:val="0"/>
            <w:i w:val="0"/>
            <w:iCs w:val="0"/>
            <w:noProof/>
            <w:sz w:val="18"/>
            <w:szCs w:val="18"/>
          </w:rPr>
          <w:t xml:space="preserve">and </w:t>
        </w:r>
        <w:r w:rsidR="005F0AB9">
          <w:rPr>
            <w:rStyle w:val="Hyperlink"/>
            <w:rFonts w:ascii="Gill Sans MT" w:hAnsi="Gill Sans MT"/>
            <w:b w:val="0"/>
            <w:bCs w:val="0"/>
            <w:i w:val="0"/>
            <w:iCs w:val="0"/>
            <w:noProof/>
            <w:sz w:val="18"/>
            <w:szCs w:val="18"/>
          </w:rPr>
          <w:tab/>
        </w:r>
        <w:r w:rsidR="00BA4505" w:rsidRPr="00BA4505">
          <w:rPr>
            <w:rStyle w:val="Hyperlink"/>
            <w:rFonts w:ascii="Gill Sans MT" w:hAnsi="Gill Sans MT"/>
            <w:b w:val="0"/>
            <w:bCs w:val="0"/>
            <w:i w:val="0"/>
            <w:iCs w:val="0"/>
            <w:noProof/>
            <w:sz w:val="18"/>
            <w:szCs w:val="18"/>
          </w:rPr>
          <w:t>which items were removed as redundant from the ABC24 Scale (x).</w:t>
        </w:r>
        <w:r w:rsidR="00BA4505" w:rsidRPr="00BA4505">
          <w:rPr>
            <w:rFonts w:ascii="Gill Sans MT" w:hAnsi="Gill Sans MT"/>
            <w:b w:val="0"/>
            <w:bCs w:val="0"/>
            <w:i w:val="0"/>
            <w:iCs w:val="0"/>
            <w:noProof/>
            <w:webHidden/>
            <w:sz w:val="18"/>
            <w:szCs w:val="18"/>
          </w:rPr>
          <w:tab/>
        </w:r>
        <w:r w:rsidR="00BA4505" w:rsidRPr="00BA4505">
          <w:rPr>
            <w:rFonts w:ascii="Gill Sans MT" w:hAnsi="Gill Sans MT"/>
            <w:b w:val="0"/>
            <w:bCs w:val="0"/>
            <w:i w:val="0"/>
            <w:iCs w:val="0"/>
            <w:noProof/>
            <w:webHidden/>
            <w:sz w:val="18"/>
            <w:szCs w:val="18"/>
          </w:rPr>
          <w:fldChar w:fldCharType="begin"/>
        </w:r>
        <w:r w:rsidR="00BA4505" w:rsidRPr="00BA4505">
          <w:rPr>
            <w:rFonts w:ascii="Gill Sans MT" w:hAnsi="Gill Sans MT"/>
            <w:b w:val="0"/>
            <w:bCs w:val="0"/>
            <w:i w:val="0"/>
            <w:iCs w:val="0"/>
            <w:noProof/>
            <w:webHidden/>
            <w:sz w:val="18"/>
            <w:szCs w:val="18"/>
          </w:rPr>
          <w:instrText xml:space="preserve"> PAGEREF _Toc57033201 \h </w:instrText>
        </w:r>
        <w:r w:rsidR="00BA4505" w:rsidRPr="00BA4505">
          <w:rPr>
            <w:rFonts w:ascii="Gill Sans MT" w:hAnsi="Gill Sans MT"/>
            <w:b w:val="0"/>
            <w:bCs w:val="0"/>
            <w:i w:val="0"/>
            <w:iCs w:val="0"/>
            <w:noProof/>
            <w:webHidden/>
            <w:sz w:val="18"/>
            <w:szCs w:val="18"/>
          </w:rPr>
        </w:r>
        <w:r w:rsidR="00BA4505" w:rsidRPr="00BA4505">
          <w:rPr>
            <w:rFonts w:ascii="Gill Sans MT" w:hAnsi="Gill Sans MT"/>
            <w:b w:val="0"/>
            <w:bCs w:val="0"/>
            <w:i w:val="0"/>
            <w:iCs w:val="0"/>
            <w:noProof/>
            <w:webHidden/>
            <w:sz w:val="18"/>
            <w:szCs w:val="18"/>
          </w:rPr>
          <w:fldChar w:fldCharType="separate"/>
        </w:r>
        <w:r w:rsidR="005F0AB9">
          <w:rPr>
            <w:rFonts w:ascii="Gill Sans MT" w:hAnsi="Gill Sans MT"/>
            <w:b w:val="0"/>
            <w:bCs w:val="0"/>
            <w:i w:val="0"/>
            <w:iCs w:val="0"/>
            <w:noProof/>
            <w:webHidden/>
            <w:sz w:val="18"/>
            <w:szCs w:val="18"/>
          </w:rPr>
          <w:t>176</w:t>
        </w:r>
        <w:r w:rsidR="00BA4505" w:rsidRPr="00BA4505">
          <w:rPr>
            <w:rFonts w:ascii="Gill Sans MT" w:hAnsi="Gill Sans MT"/>
            <w:b w:val="0"/>
            <w:bCs w:val="0"/>
            <w:i w:val="0"/>
            <w:iCs w:val="0"/>
            <w:noProof/>
            <w:webHidden/>
            <w:sz w:val="18"/>
            <w:szCs w:val="18"/>
          </w:rPr>
          <w:fldChar w:fldCharType="end"/>
        </w:r>
      </w:hyperlink>
    </w:p>
    <w:p w14:paraId="547DE4B0" w14:textId="7E550DDE" w:rsidR="00BA4505" w:rsidRPr="00BA4505" w:rsidRDefault="00B568C9" w:rsidP="005F0AB9">
      <w:pPr>
        <w:pStyle w:val="TOC1"/>
        <w:tabs>
          <w:tab w:val="left" w:pos="993"/>
          <w:tab w:val="left" w:pos="1200"/>
          <w:tab w:val="right" w:leader="dot" w:pos="8779"/>
        </w:tabs>
        <w:rPr>
          <w:rFonts w:ascii="Gill Sans MT" w:hAnsi="Gill Sans MT" w:cstheme="minorBidi"/>
          <w:b w:val="0"/>
          <w:bCs w:val="0"/>
          <w:i w:val="0"/>
          <w:iCs w:val="0"/>
          <w:noProof/>
          <w:sz w:val="18"/>
          <w:szCs w:val="18"/>
          <w:lang w:eastAsia="en-GB"/>
        </w:rPr>
      </w:pPr>
      <w:hyperlink w:anchor="_Toc57033202" w:history="1">
        <w:r w:rsidR="00BA4505" w:rsidRPr="00BA4505">
          <w:rPr>
            <w:rStyle w:val="Hyperlink"/>
            <w:rFonts w:ascii="Gill Sans MT" w:hAnsi="Gill Sans MT"/>
            <w:b w:val="0"/>
            <w:bCs w:val="0"/>
            <w:i w:val="0"/>
            <w:iCs w:val="0"/>
            <w:noProof/>
            <w:sz w:val="18"/>
            <w:szCs w:val="18"/>
          </w:rPr>
          <w:t>Table 23:</w:t>
        </w:r>
        <w:r w:rsidR="00BA4505" w:rsidRPr="00BA4505">
          <w:rPr>
            <w:rFonts w:ascii="Gill Sans MT" w:hAnsi="Gill Sans MT" w:cstheme="minorBidi"/>
            <w:b w:val="0"/>
            <w:bCs w:val="0"/>
            <w:i w:val="0"/>
            <w:iCs w:val="0"/>
            <w:noProof/>
            <w:sz w:val="18"/>
            <w:szCs w:val="18"/>
            <w:lang w:eastAsia="en-GB"/>
          </w:rPr>
          <w:tab/>
        </w:r>
        <w:r w:rsidR="00BA4505" w:rsidRPr="00BA4505">
          <w:rPr>
            <w:rStyle w:val="Hyperlink"/>
            <w:rFonts w:ascii="Gill Sans MT" w:hAnsi="Gill Sans MT"/>
            <w:b w:val="0"/>
            <w:bCs w:val="0"/>
            <w:i w:val="0"/>
            <w:iCs w:val="0"/>
            <w:noProof/>
            <w:sz w:val="18"/>
            <w:szCs w:val="18"/>
          </w:rPr>
          <w:t>Total variance explained for the PCA on the ABC24 Scale.</w:t>
        </w:r>
        <w:r w:rsidR="00BA4505" w:rsidRPr="00BA4505">
          <w:rPr>
            <w:rFonts w:ascii="Gill Sans MT" w:hAnsi="Gill Sans MT"/>
            <w:b w:val="0"/>
            <w:bCs w:val="0"/>
            <w:i w:val="0"/>
            <w:iCs w:val="0"/>
            <w:noProof/>
            <w:webHidden/>
            <w:sz w:val="18"/>
            <w:szCs w:val="18"/>
          </w:rPr>
          <w:tab/>
        </w:r>
        <w:r w:rsidR="00BA4505" w:rsidRPr="00BA4505">
          <w:rPr>
            <w:rFonts w:ascii="Gill Sans MT" w:hAnsi="Gill Sans MT"/>
            <w:b w:val="0"/>
            <w:bCs w:val="0"/>
            <w:i w:val="0"/>
            <w:iCs w:val="0"/>
            <w:noProof/>
            <w:webHidden/>
            <w:sz w:val="18"/>
            <w:szCs w:val="18"/>
          </w:rPr>
          <w:fldChar w:fldCharType="begin"/>
        </w:r>
        <w:r w:rsidR="00BA4505" w:rsidRPr="00BA4505">
          <w:rPr>
            <w:rFonts w:ascii="Gill Sans MT" w:hAnsi="Gill Sans MT"/>
            <w:b w:val="0"/>
            <w:bCs w:val="0"/>
            <w:i w:val="0"/>
            <w:iCs w:val="0"/>
            <w:noProof/>
            <w:webHidden/>
            <w:sz w:val="18"/>
            <w:szCs w:val="18"/>
          </w:rPr>
          <w:instrText xml:space="preserve"> PAGEREF _Toc57033202 \h </w:instrText>
        </w:r>
        <w:r w:rsidR="00BA4505" w:rsidRPr="00BA4505">
          <w:rPr>
            <w:rFonts w:ascii="Gill Sans MT" w:hAnsi="Gill Sans MT"/>
            <w:b w:val="0"/>
            <w:bCs w:val="0"/>
            <w:i w:val="0"/>
            <w:iCs w:val="0"/>
            <w:noProof/>
            <w:webHidden/>
            <w:sz w:val="18"/>
            <w:szCs w:val="18"/>
          </w:rPr>
        </w:r>
        <w:r w:rsidR="00BA4505" w:rsidRPr="00BA4505">
          <w:rPr>
            <w:rFonts w:ascii="Gill Sans MT" w:hAnsi="Gill Sans MT"/>
            <w:b w:val="0"/>
            <w:bCs w:val="0"/>
            <w:i w:val="0"/>
            <w:iCs w:val="0"/>
            <w:noProof/>
            <w:webHidden/>
            <w:sz w:val="18"/>
            <w:szCs w:val="18"/>
          </w:rPr>
          <w:fldChar w:fldCharType="separate"/>
        </w:r>
        <w:r w:rsidR="005F0AB9">
          <w:rPr>
            <w:rFonts w:ascii="Gill Sans MT" w:hAnsi="Gill Sans MT"/>
            <w:b w:val="0"/>
            <w:bCs w:val="0"/>
            <w:i w:val="0"/>
            <w:iCs w:val="0"/>
            <w:noProof/>
            <w:webHidden/>
            <w:sz w:val="18"/>
            <w:szCs w:val="18"/>
          </w:rPr>
          <w:t>177</w:t>
        </w:r>
        <w:r w:rsidR="00BA4505" w:rsidRPr="00BA4505">
          <w:rPr>
            <w:rFonts w:ascii="Gill Sans MT" w:hAnsi="Gill Sans MT"/>
            <w:b w:val="0"/>
            <w:bCs w:val="0"/>
            <w:i w:val="0"/>
            <w:iCs w:val="0"/>
            <w:noProof/>
            <w:webHidden/>
            <w:sz w:val="18"/>
            <w:szCs w:val="18"/>
          </w:rPr>
          <w:fldChar w:fldCharType="end"/>
        </w:r>
      </w:hyperlink>
    </w:p>
    <w:p w14:paraId="7CBB114B" w14:textId="063DF3EA" w:rsidR="00BA4505" w:rsidRPr="00BA4505" w:rsidRDefault="00B568C9" w:rsidP="005F0AB9">
      <w:pPr>
        <w:pStyle w:val="TOC1"/>
        <w:tabs>
          <w:tab w:val="left" w:pos="993"/>
          <w:tab w:val="left" w:pos="1200"/>
          <w:tab w:val="right" w:leader="dot" w:pos="8779"/>
        </w:tabs>
        <w:rPr>
          <w:rFonts w:ascii="Gill Sans MT" w:hAnsi="Gill Sans MT" w:cstheme="minorBidi"/>
          <w:b w:val="0"/>
          <w:bCs w:val="0"/>
          <w:i w:val="0"/>
          <w:iCs w:val="0"/>
          <w:noProof/>
          <w:sz w:val="18"/>
          <w:szCs w:val="18"/>
          <w:lang w:eastAsia="en-GB"/>
        </w:rPr>
      </w:pPr>
      <w:hyperlink w:anchor="_Toc57033203" w:history="1">
        <w:r w:rsidR="00BA4505" w:rsidRPr="00BA4505">
          <w:rPr>
            <w:rStyle w:val="Hyperlink"/>
            <w:rFonts w:ascii="Gill Sans MT" w:hAnsi="Gill Sans MT"/>
            <w:b w:val="0"/>
            <w:bCs w:val="0"/>
            <w:i w:val="0"/>
            <w:iCs w:val="0"/>
            <w:noProof/>
            <w:sz w:val="18"/>
            <w:szCs w:val="18"/>
          </w:rPr>
          <w:t>Table 24:</w:t>
        </w:r>
        <w:r w:rsidR="00BA4505" w:rsidRPr="00BA4505">
          <w:rPr>
            <w:rFonts w:ascii="Gill Sans MT" w:hAnsi="Gill Sans MT" w:cstheme="minorBidi"/>
            <w:b w:val="0"/>
            <w:bCs w:val="0"/>
            <w:i w:val="0"/>
            <w:iCs w:val="0"/>
            <w:noProof/>
            <w:sz w:val="18"/>
            <w:szCs w:val="18"/>
            <w:lang w:eastAsia="en-GB"/>
          </w:rPr>
          <w:tab/>
        </w:r>
        <w:r w:rsidR="00BA4505" w:rsidRPr="00BA4505">
          <w:rPr>
            <w:rStyle w:val="Hyperlink"/>
            <w:rFonts w:ascii="Gill Sans MT" w:hAnsi="Gill Sans MT"/>
            <w:b w:val="0"/>
            <w:bCs w:val="0"/>
            <w:i w:val="0"/>
            <w:iCs w:val="0"/>
            <w:noProof/>
            <w:sz w:val="18"/>
            <w:szCs w:val="18"/>
          </w:rPr>
          <w:t>Total variance explained for the PCA on the ABC17, ABC21-L, and ABC17-L Scales.</w:t>
        </w:r>
        <w:r w:rsidR="00BA4505" w:rsidRPr="00BA4505">
          <w:rPr>
            <w:rFonts w:ascii="Gill Sans MT" w:hAnsi="Gill Sans MT"/>
            <w:b w:val="0"/>
            <w:bCs w:val="0"/>
            <w:i w:val="0"/>
            <w:iCs w:val="0"/>
            <w:noProof/>
            <w:webHidden/>
            <w:sz w:val="18"/>
            <w:szCs w:val="18"/>
          </w:rPr>
          <w:tab/>
        </w:r>
        <w:r w:rsidR="00BA4505" w:rsidRPr="00BA4505">
          <w:rPr>
            <w:rFonts w:ascii="Gill Sans MT" w:hAnsi="Gill Sans MT"/>
            <w:b w:val="0"/>
            <w:bCs w:val="0"/>
            <w:i w:val="0"/>
            <w:iCs w:val="0"/>
            <w:noProof/>
            <w:webHidden/>
            <w:sz w:val="18"/>
            <w:szCs w:val="18"/>
          </w:rPr>
          <w:fldChar w:fldCharType="begin"/>
        </w:r>
        <w:r w:rsidR="00BA4505" w:rsidRPr="00BA4505">
          <w:rPr>
            <w:rFonts w:ascii="Gill Sans MT" w:hAnsi="Gill Sans MT"/>
            <w:b w:val="0"/>
            <w:bCs w:val="0"/>
            <w:i w:val="0"/>
            <w:iCs w:val="0"/>
            <w:noProof/>
            <w:webHidden/>
            <w:sz w:val="18"/>
            <w:szCs w:val="18"/>
          </w:rPr>
          <w:instrText xml:space="preserve"> PAGEREF _Toc57033203 \h </w:instrText>
        </w:r>
        <w:r w:rsidR="00BA4505" w:rsidRPr="00BA4505">
          <w:rPr>
            <w:rFonts w:ascii="Gill Sans MT" w:hAnsi="Gill Sans MT"/>
            <w:b w:val="0"/>
            <w:bCs w:val="0"/>
            <w:i w:val="0"/>
            <w:iCs w:val="0"/>
            <w:noProof/>
            <w:webHidden/>
            <w:sz w:val="18"/>
            <w:szCs w:val="18"/>
          </w:rPr>
        </w:r>
        <w:r w:rsidR="00BA4505" w:rsidRPr="00BA4505">
          <w:rPr>
            <w:rFonts w:ascii="Gill Sans MT" w:hAnsi="Gill Sans MT"/>
            <w:b w:val="0"/>
            <w:bCs w:val="0"/>
            <w:i w:val="0"/>
            <w:iCs w:val="0"/>
            <w:noProof/>
            <w:webHidden/>
            <w:sz w:val="18"/>
            <w:szCs w:val="18"/>
          </w:rPr>
          <w:fldChar w:fldCharType="separate"/>
        </w:r>
        <w:r w:rsidR="005F0AB9">
          <w:rPr>
            <w:rFonts w:ascii="Gill Sans MT" w:hAnsi="Gill Sans MT"/>
            <w:b w:val="0"/>
            <w:bCs w:val="0"/>
            <w:i w:val="0"/>
            <w:iCs w:val="0"/>
            <w:noProof/>
            <w:webHidden/>
            <w:sz w:val="18"/>
            <w:szCs w:val="18"/>
          </w:rPr>
          <w:t>178</w:t>
        </w:r>
        <w:r w:rsidR="00BA4505" w:rsidRPr="00BA4505">
          <w:rPr>
            <w:rFonts w:ascii="Gill Sans MT" w:hAnsi="Gill Sans MT"/>
            <w:b w:val="0"/>
            <w:bCs w:val="0"/>
            <w:i w:val="0"/>
            <w:iCs w:val="0"/>
            <w:noProof/>
            <w:webHidden/>
            <w:sz w:val="18"/>
            <w:szCs w:val="18"/>
          </w:rPr>
          <w:fldChar w:fldCharType="end"/>
        </w:r>
      </w:hyperlink>
    </w:p>
    <w:p w14:paraId="2F9376E3" w14:textId="014C14DB" w:rsidR="00BA4505" w:rsidRPr="00BA4505" w:rsidRDefault="00B568C9" w:rsidP="005F0AB9">
      <w:pPr>
        <w:pStyle w:val="TOC1"/>
        <w:tabs>
          <w:tab w:val="left" w:pos="993"/>
          <w:tab w:val="left" w:pos="1200"/>
          <w:tab w:val="right" w:leader="dot" w:pos="8779"/>
        </w:tabs>
        <w:rPr>
          <w:rFonts w:ascii="Gill Sans MT" w:hAnsi="Gill Sans MT" w:cstheme="minorBidi"/>
          <w:b w:val="0"/>
          <w:bCs w:val="0"/>
          <w:i w:val="0"/>
          <w:iCs w:val="0"/>
          <w:noProof/>
          <w:sz w:val="18"/>
          <w:szCs w:val="18"/>
          <w:lang w:eastAsia="en-GB"/>
        </w:rPr>
      </w:pPr>
      <w:hyperlink w:anchor="_Toc57033204" w:history="1">
        <w:r w:rsidR="00BA4505" w:rsidRPr="00BA4505">
          <w:rPr>
            <w:rStyle w:val="Hyperlink"/>
            <w:rFonts w:ascii="Gill Sans MT" w:hAnsi="Gill Sans MT"/>
            <w:b w:val="0"/>
            <w:bCs w:val="0"/>
            <w:i w:val="0"/>
            <w:iCs w:val="0"/>
            <w:noProof/>
            <w:sz w:val="18"/>
            <w:szCs w:val="18"/>
          </w:rPr>
          <w:t>Table 25:</w:t>
        </w:r>
        <w:r w:rsidR="00BA4505" w:rsidRPr="00BA4505">
          <w:rPr>
            <w:rFonts w:ascii="Gill Sans MT" w:hAnsi="Gill Sans MT" w:cstheme="minorBidi"/>
            <w:b w:val="0"/>
            <w:bCs w:val="0"/>
            <w:i w:val="0"/>
            <w:iCs w:val="0"/>
            <w:noProof/>
            <w:sz w:val="18"/>
            <w:szCs w:val="18"/>
            <w:lang w:eastAsia="en-GB"/>
          </w:rPr>
          <w:tab/>
        </w:r>
        <w:r w:rsidR="00BA4505" w:rsidRPr="00BA4505">
          <w:rPr>
            <w:rStyle w:val="Hyperlink"/>
            <w:rFonts w:ascii="Gill Sans MT" w:hAnsi="Gill Sans MT"/>
            <w:b w:val="0"/>
            <w:bCs w:val="0"/>
            <w:i w:val="0"/>
            <w:iCs w:val="0"/>
            <w:noProof/>
            <w:sz w:val="18"/>
            <w:szCs w:val="18"/>
          </w:rPr>
          <w:t>Total variance explained for the PCA on the ABC17, ABC21-L, and ABC17-L Scales.</w:t>
        </w:r>
        <w:r w:rsidR="00BA4505" w:rsidRPr="00BA4505">
          <w:rPr>
            <w:rFonts w:ascii="Gill Sans MT" w:hAnsi="Gill Sans MT"/>
            <w:b w:val="0"/>
            <w:bCs w:val="0"/>
            <w:i w:val="0"/>
            <w:iCs w:val="0"/>
            <w:noProof/>
            <w:webHidden/>
            <w:sz w:val="18"/>
            <w:szCs w:val="18"/>
          </w:rPr>
          <w:tab/>
        </w:r>
        <w:r w:rsidR="00BA4505" w:rsidRPr="00BA4505">
          <w:rPr>
            <w:rFonts w:ascii="Gill Sans MT" w:hAnsi="Gill Sans MT"/>
            <w:b w:val="0"/>
            <w:bCs w:val="0"/>
            <w:i w:val="0"/>
            <w:iCs w:val="0"/>
            <w:noProof/>
            <w:webHidden/>
            <w:sz w:val="18"/>
            <w:szCs w:val="18"/>
          </w:rPr>
          <w:fldChar w:fldCharType="begin"/>
        </w:r>
        <w:r w:rsidR="00BA4505" w:rsidRPr="00BA4505">
          <w:rPr>
            <w:rFonts w:ascii="Gill Sans MT" w:hAnsi="Gill Sans MT"/>
            <w:b w:val="0"/>
            <w:bCs w:val="0"/>
            <w:i w:val="0"/>
            <w:iCs w:val="0"/>
            <w:noProof/>
            <w:webHidden/>
            <w:sz w:val="18"/>
            <w:szCs w:val="18"/>
          </w:rPr>
          <w:instrText xml:space="preserve"> PAGEREF _Toc57033204 \h </w:instrText>
        </w:r>
        <w:r w:rsidR="00BA4505" w:rsidRPr="00BA4505">
          <w:rPr>
            <w:rFonts w:ascii="Gill Sans MT" w:hAnsi="Gill Sans MT"/>
            <w:b w:val="0"/>
            <w:bCs w:val="0"/>
            <w:i w:val="0"/>
            <w:iCs w:val="0"/>
            <w:noProof/>
            <w:webHidden/>
            <w:sz w:val="18"/>
            <w:szCs w:val="18"/>
          </w:rPr>
        </w:r>
        <w:r w:rsidR="00BA4505" w:rsidRPr="00BA4505">
          <w:rPr>
            <w:rFonts w:ascii="Gill Sans MT" w:hAnsi="Gill Sans MT"/>
            <w:b w:val="0"/>
            <w:bCs w:val="0"/>
            <w:i w:val="0"/>
            <w:iCs w:val="0"/>
            <w:noProof/>
            <w:webHidden/>
            <w:sz w:val="18"/>
            <w:szCs w:val="18"/>
          </w:rPr>
          <w:fldChar w:fldCharType="separate"/>
        </w:r>
        <w:r w:rsidR="005F0AB9">
          <w:rPr>
            <w:rFonts w:ascii="Gill Sans MT" w:hAnsi="Gill Sans MT"/>
            <w:b w:val="0"/>
            <w:bCs w:val="0"/>
            <w:i w:val="0"/>
            <w:iCs w:val="0"/>
            <w:noProof/>
            <w:webHidden/>
            <w:sz w:val="18"/>
            <w:szCs w:val="18"/>
          </w:rPr>
          <w:t>179</w:t>
        </w:r>
        <w:r w:rsidR="00BA4505" w:rsidRPr="00BA4505">
          <w:rPr>
            <w:rFonts w:ascii="Gill Sans MT" w:hAnsi="Gill Sans MT"/>
            <w:b w:val="0"/>
            <w:bCs w:val="0"/>
            <w:i w:val="0"/>
            <w:iCs w:val="0"/>
            <w:noProof/>
            <w:webHidden/>
            <w:sz w:val="18"/>
            <w:szCs w:val="18"/>
          </w:rPr>
          <w:fldChar w:fldCharType="end"/>
        </w:r>
      </w:hyperlink>
    </w:p>
    <w:p w14:paraId="4744BA0E" w14:textId="5548AD4C" w:rsidR="00BA4505" w:rsidRPr="00BA4505" w:rsidRDefault="00B568C9" w:rsidP="005F0AB9">
      <w:pPr>
        <w:pStyle w:val="TOC1"/>
        <w:tabs>
          <w:tab w:val="left" w:pos="993"/>
          <w:tab w:val="left" w:pos="1200"/>
          <w:tab w:val="right" w:leader="dot" w:pos="8779"/>
        </w:tabs>
        <w:rPr>
          <w:rFonts w:ascii="Gill Sans MT" w:hAnsi="Gill Sans MT" w:cstheme="minorBidi"/>
          <w:b w:val="0"/>
          <w:bCs w:val="0"/>
          <w:i w:val="0"/>
          <w:iCs w:val="0"/>
          <w:noProof/>
          <w:sz w:val="18"/>
          <w:szCs w:val="18"/>
          <w:lang w:eastAsia="en-GB"/>
        </w:rPr>
      </w:pPr>
      <w:hyperlink w:anchor="_Toc57033205" w:history="1">
        <w:r w:rsidR="00BA4505" w:rsidRPr="00BA4505">
          <w:rPr>
            <w:rStyle w:val="Hyperlink"/>
            <w:rFonts w:ascii="Gill Sans MT" w:hAnsi="Gill Sans MT"/>
            <w:b w:val="0"/>
            <w:bCs w:val="0"/>
            <w:i w:val="0"/>
            <w:iCs w:val="0"/>
            <w:noProof/>
            <w:sz w:val="18"/>
            <w:szCs w:val="18"/>
          </w:rPr>
          <w:t>Table 26:</w:t>
        </w:r>
        <w:r w:rsidR="00BA4505" w:rsidRPr="00BA4505">
          <w:rPr>
            <w:rFonts w:ascii="Gill Sans MT" w:hAnsi="Gill Sans MT" w:cstheme="minorBidi"/>
            <w:b w:val="0"/>
            <w:bCs w:val="0"/>
            <w:i w:val="0"/>
            <w:iCs w:val="0"/>
            <w:noProof/>
            <w:sz w:val="18"/>
            <w:szCs w:val="18"/>
            <w:lang w:eastAsia="en-GB"/>
          </w:rPr>
          <w:tab/>
        </w:r>
        <w:r w:rsidR="00BA4505" w:rsidRPr="00BA4505">
          <w:rPr>
            <w:rStyle w:val="Hyperlink"/>
            <w:rFonts w:ascii="Gill Sans MT" w:hAnsi="Gill Sans MT"/>
            <w:b w:val="0"/>
            <w:bCs w:val="0"/>
            <w:i w:val="0"/>
            <w:iCs w:val="0"/>
            <w:noProof/>
            <w:sz w:val="18"/>
            <w:szCs w:val="18"/>
          </w:rPr>
          <w:t>Total variance explained for components generated by PCA on the Dx20 Profiler Scale.</w:t>
        </w:r>
        <w:r w:rsidR="00BA4505" w:rsidRPr="00BA4505">
          <w:rPr>
            <w:rFonts w:ascii="Gill Sans MT" w:hAnsi="Gill Sans MT"/>
            <w:b w:val="0"/>
            <w:bCs w:val="0"/>
            <w:i w:val="0"/>
            <w:iCs w:val="0"/>
            <w:noProof/>
            <w:webHidden/>
            <w:sz w:val="18"/>
            <w:szCs w:val="18"/>
          </w:rPr>
          <w:tab/>
        </w:r>
        <w:r w:rsidR="00BA4505" w:rsidRPr="00BA4505">
          <w:rPr>
            <w:rFonts w:ascii="Gill Sans MT" w:hAnsi="Gill Sans MT"/>
            <w:b w:val="0"/>
            <w:bCs w:val="0"/>
            <w:i w:val="0"/>
            <w:iCs w:val="0"/>
            <w:noProof/>
            <w:webHidden/>
            <w:sz w:val="18"/>
            <w:szCs w:val="18"/>
          </w:rPr>
          <w:fldChar w:fldCharType="begin"/>
        </w:r>
        <w:r w:rsidR="00BA4505" w:rsidRPr="00BA4505">
          <w:rPr>
            <w:rFonts w:ascii="Gill Sans MT" w:hAnsi="Gill Sans MT"/>
            <w:b w:val="0"/>
            <w:bCs w:val="0"/>
            <w:i w:val="0"/>
            <w:iCs w:val="0"/>
            <w:noProof/>
            <w:webHidden/>
            <w:sz w:val="18"/>
            <w:szCs w:val="18"/>
          </w:rPr>
          <w:instrText xml:space="preserve"> PAGEREF _Toc57033205 \h </w:instrText>
        </w:r>
        <w:r w:rsidR="00BA4505" w:rsidRPr="00BA4505">
          <w:rPr>
            <w:rFonts w:ascii="Gill Sans MT" w:hAnsi="Gill Sans MT"/>
            <w:b w:val="0"/>
            <w:bCs w:val="0"/>
            <w:i w:val="0"/>
            <w:iCs w:val="0"/>
            <w:noProof/>
            <w:webHidden/>
            <w:sz w:val="18"/>
            <w:szCs w:val="18"/>
          </w:rPr>
        </w:r>
        <w:r w:rsidR="00BA4505" w:rsidRPr="00BA4505">
          <w:rPr>
            <w:rFonts w:ascii="Gill Sans MT" w:hAnsi="Gill Sans MT"/>
            <w:b w:val="0"/>
            <w:bCs w:val="0"/>
            <w:i w:val="0"/>
            <w:iCs w:val="0"/>
            <w:noProof/>
            <w:webHidden/>
            <w:sz w:val="18"/>
            <w:szCs w:val="18"/>
          </w:rPr>
          <w:fldChar w:fldCharType="separate"/>
        </w:r>
        <w:r w:rsidR="005F0AB9">
          <w:rPr>
            <w:rFonts w:ascii="Gill Sans MT" w:hAnsi="Gill Sans MT"/>
            <w:b w:val="0"/>
            <w:bCs w:val="0"/>
            <w:i w:val="0"/>
            <w:iCs w:val="0"/>
            <w:noProof/>
            <w:webHidden/>
            <w:sz w:val="18"/>
            <w:szCs w:val="18"/>
          </w:rPr>
          <w:t>181</w:t>
        </w:r>
        <w:r w:rsidR="00BA4505" w:rsidRPr="00BA4505">
          <w:rPr>
            <w:rFonts w:ascii="Gill Sans MT" w:hAnsi="Gill Sans MT"/>
            <w:b w:val="0"/>
            <w:bCs w:val="0"/>
            <w:i w:val="0"/>
            <w:iCs w:val="0"/>
            <w:noProof/>
            <w:webHidden/>
            <w:sz w:val="18"/>
            <w:szCs w:val="18"/>
          </w:rPr>
          <w:fldChar w:fldCharType="end"/>
        </w:r>
      </w:hyperlink>
    </w:p>
    <w:p w14:paraId="32A291E4" w14:textId="409FDEF6" w:rsidR="00BA4505" w:rsidRPr="00BA4505" w:rsidRDefault="00B568C9" w:rsidP="005F0AB9">
      <w:pPr>
        <w:pStyle w:val="TOC1"/>
        <w:tabs>
          <w:tab w:val="left" w:pos="993"/>
          <w:tab w:val="left" w:pos="1200"/>
          <w:tab w:val="right" w:leader="dot" w:pos="8779"/>
        </w:tabs>
        <w:rPr>
          <w:rFonts w:ascii="Gill Sans MT" w:hAnsi="Gill Sans MT" w:cstheme="minorBidi"/>
          <w:b w:val="0"/>
          <w:bCs w:val="0"/>
          <w:i w:val="0"/>
          <w:iCs w:val="0"/>
          <w:noProof/>
          <w:sz w:val="18"/>
          <w:szCs w:val="18"/>
          <w:lang w:eastAsia="en-GB"/>
        </w:rPr>
      </w:pPr>
      <w:hyperlink w:anchor="_Toc57033206" w:history="1">
        <w:r w:rsidR="00BA4505" w:rsidRPr="00BA4505">
          <w:rPr>
            <w:rStyle w:val="Hyperlink"/>
            <w:rFonts w:ascii="Gill Sans MT" w:hAnsi="Gill Sans MT"/>
            <w:b w:val="0"/>
            <w:bCs w:val="0"/>
            <w:i w:val="0"/>
            <w:iCs w:val="0"/>
            <w:noProof/>
            <w:sz w:val="18"/>
            <w:szCs w:val="18"/>
          </w:rPr>
          <w:t>Table 27:</w:t>
        </w:r>
        <w:r w:rsidR="00BA4505" w:rsidRPr="00BA4505">
          <w:rPr>
            <w:rFonts w:ascii="Gill Sans MT" w:hAnsi="Gill Sans MT" w:cstheme="minorBidi"/>
            <w:b w:val="0"/>
            <w:bCs w:val="0"/>
            <w:i w:val="0"/>
            <w:iCs w:val="0"/>
            <w:noProof/>
            <w:sz w:val="18"/>
            <w:szCs w:val="18"/>
            <w:lang w:eastAsia="en-GB"/>
          </w:rPr>
          <w:tab/>
        </w:r>
        <w:r w:rsidR="00BA4505" w:rsidRPr="00BA4505">
          <w:rPr>
            <w:rStyle w:val="Hyperlink"/>
            <w:rFonts w:ascii="Gill Sans MT" w:hAnsi="Gill Sans MT"/>
            <w:b w:val="0"/>
            <w:bCs w:val="0"/>
            <w:i w:val="0"/>
            <w:iCs w:val="0"/>
            <w:noProof/>
            <w:sz w:val="18"/>
            <w:szCs w:val="18"/>
          </w:rPr>
          <w:t xml:space="preserve">Factor leadings for 2-factor, and 3-factor solutions of PCA on the Dx20 Profiler (* dimension with </w:t>
        </w:r>
        <w:r w:rsidR="00BA4505">
          <w:rPr>
            <w:rStyle w:val="Hyperlink"/>
            <w:rFonts w:ascii="Gill Sans MT" w:hAnsi="Gill Sans MT"/>
            <w:b w:val="0"/>
            <w:bCs w:val="0"/>
            <w:i w:val="0"/>
            <w:iCs w:val="0"/>
            <w:noProof/>
            <w:sz w:val="18"/>
            <w:szCs w:val="18"/>
          </w:rPr>
          <w:tab/>
        </w:r>
        <w:r w:rsidR="00BA4505" w:rsidRPr="00BA4505">
          <w:rPr>
            <w:rStyle w:val="Hyperlink"/>
            <w:rFonts w:ascii="Gill Sans MT" w:hAnsi="Gill Sans MT"/>
            <w:b w:val="0"/>
            <w:bCs w:val="0"/>
            <w:i w:val="0"/>
            <w:iCs w:val="0"/>
            <w:noProof/>
            <w:sz w:val="18"/>
            <w:szCs w:val="18"/>
          </w:rPr>
          <w:t>reverse-coded data).</w:t>
        </w:r>
        <w:r w:rsidR="00BA4505" w:rsidRPr="00BA4505">
          <w:rPr>
            <w:rFonts w:ascii="Gill Sans MT" w:hAnsi="Gill Sans MT"/>
            <w:b w:val="0"/>
            <w:bCs w:val="0"/>
            <w:i w:val="0"/>
            <w:iCs w:val="0"/>
            <w:noProof/>
            <w:webHidden/>
            <w:sz w:val="18"/>
            <w:szCs w:val="18"/>
          </w:rPr>
          <w:tab/>
        </w:r>
        <w:r w:rsidR="00BA4505" w:rsidRPr="00BA4505">
          <w:rPr>
            <w:rFonts w:ascii="Gill Sans MT" w:hAnsi="Gill Sans MT"/>
            <w:b w:val="0"/>
            <w:bCs w:val="0"/>
            <w:i w:val="0"/>
            <w:iCs w:val="0"/>
            <w:noProof/>
            <w:webHidden/>
            <w:sz w:val="18"/>
            <w:szCs w:val="18"/>
          </w:rPr>
          <w:fldChar w:fldCharType="begin"/>
        </w:r>
        <w:r w:rsidR="00BA4505" w:rsidRPr="00BA4505">
          <w:rPr>
            <w:rFonts w:ascii="Gill Sans MT" w:hAnsi="Gill Sans MT"/>
            <w:b w:val="0"/>
            <w:bCs w:val="0"/>
            <w:i w:val="0"/>
            <w:iCs w:val="0"/>
            <w:noProof/>
            <w:webHidden/>
            <w:sz w:val="18"/>
            <w:szCs w:val="18"/>
          </w:rPr>
          <w:instrText xml:space="preserve"> PAGEREF _Toc57033206 \h </w:instrText>
        </w:r>
        <w:r w:rsidR="00BA4505" w:rsidRPr="00BA4505">
          <w:rPr>
            <w:rFonts w:ascii="Gill Sans MT" w:hAnsi="Gill Sans MT"/>
            <w:b w:val="0"/>
            <w:bCs w:val="0"/>
            <w:i w:val="0"/>
            <w:iCs w:val="0"/>
            <w:noProof/>
            <w:webHidden/>
            <w:sz w:val="18"/>
            <w:szCs w:val="18"/>
          </w:rPr>
        </w:r>
        <w:r w:rsidR="00BA4505" w:rsidRPr="00BA4505">
          <w:rPr>
            <w:rFonts w:ascii="Gill Sans MT" w:hAnsi="Gill Sans MT"/>
            <w:b w:val="0"/>
            <w:bCs w:val="0"/>
            <w:i w:val="0"/>
            <w:iCs w:val="0"/>
            <w:noProof/>
            <w:webHidden/>
            <w:sz w:val="18"/>
            <w:szCs w:val="18"/>
          </w:rPr>
          <w:fldChar w:fldCharType="separate"/>
        </w:r>
        <w:r w:rsidR="005F0AB9">
          <w:rPr>
            <w:rFonts w:ascii="Gill Sans MT" w:hAnsi="Gill Sans MT"/>
            <w:b w:val="0"/>
            <w:bCs w:val="0"/>
            <w:i w:val="0"/>
            <w:iCs w:val="0"/>
            <w:noProof/>
            <w:webHidden/>
            <w:sz w:val="18"/>
            <w:szCs w:val="18"/>
          </w:rPr>
          <w:t>182</w:t>
        </w:r>
        <w:r w:rsidR="00BA4505" w:rsidRPr="00BA4505">
          <w:rPr>
            <w:rFonts w:ascii="Gill Sans MT" w:hAnsi="Gill Sans MT"/>
            <w:b w:val="0"/>
            <w:bCs w:val="0"/>
            <w:i w:val="0"/>
            <w:iCs w:val="0"/>
            <w:noProof/>
            <w:webHidden/>
            <w:sz w:val="18"/>
            <w:szCs w:val="18"/>
          </w:rPr>
          <w:fldChar w:fldCharType="end"/>
        </w:r>
      </w:hyperlink>
    </w:p>
    <w:p w14:paraId="21C39366" w14:textId="43ED4999" w:rsidR="00BA4505" w:rsidRPr="00BA4505" w:rsidRDefault="00B568C9" w:rsidP="005F0AB9">
      <w:pPr>
        <w:pStyle w:val="TOC1"/>
        <w:tabs>
          <w:tab w:val="left" w:pos="993"/>
          <w:tab w:val="left" w:pos="1200"/>
          <w:tab w:val="right" w:leader="dot" w:pos="8779"/>
        </w:tabs>
        <w:rPr>
          <w:rFonts w:ascii="Gill Sans MT" w:hAnsi="Gill Sans MT" w:cstheme="minorBidi"/>
          <w:b w:val="0"/>
          <w:bCs w:val="0"/>
          <w:i w:val="0"/>
          <w:iCs w:val="0"/>
          <w:noProof/>
          <w:sz w:val="18"/>
          <w:szCs w:val="18"/>
          <w:lang w:eastAsia="en-GB"/>
        </w:rPr>
      </w:pPr>
      <w:hyperlink w:anchor="_Toc57033207" w:history="1">
        <w:r w:rsidR="00BA4505" w:rsidRPr="00BA4505">
          <w:rPr>
            <w:rStyle w:val="Hyperlink"/>
            <w:rFonts w:ascii="Gill Sans MT" w:hAnsi="Gill Sans MT"/>
            <w:b w:val="0"/>
            <w:bCs w:val="0"/>
            <w:i w:val="0"/>
            <w:iCs w:val="0"/>
            <w:noProof/>
            <w:sz w:val="18"/>
            <w:szCs w:val="18"/>
          </w:rPr>
          <w:t>Table 28:</w:t>
        </w:r>
        <w:r w:rsidR="00BA4505" w:rsidRPr="00BA4505">
          <w:rPr>
            <w:rFonts w:ascii="Gill Sans MT" w:hAnsi="Gill Sans MT" w:cstheme="minorBidi"/>
            <w:b w:val="0"/>
            <w:bCs w:val="0"/>
            <w:i w:val="0"/>
            <w:iCs w:val="0"/>
            <w:noProof/>
            <w:sz w:val="18"/>
            <w:szCs w:val="18"/>
            <w:lang w:eastAsia="en-GB"/>
          </w:rPr>
          <w:tab/>
        </w:r>
        <w:r w:rsidR="00BA4505" w:rsidRPr="00BA4505">
          <w:rPr>
            <w:rStyle w:val="Hyperlink"/>
            <w:rFonts w:ascii="Gill Sans MT" w:hAnsi="Gill Sans MT"/>
            <w:b w:val="0"/>
            <w:bCs w:val="0"/>
            <w:i w:val="0"/>
            <w:iCs w:val="0"/>
            <w:noProof/>
            <w:sz w:val="18"/>
            <w:szCs w:val="18"/>
          </w:rPr>
          <w:t>Possible 3 factor sub-scale structure for the Dx20 Profiler (* dimension with reverse-coded data).</w:t>
        </w:r>
        <w:r w:rsidR="00BA4505" w:rsidRPr="00BA4505">
          <w:rPr>
            <w:rFonts w:ascii="Gill Sans MT" w:hAnsi="Gill Sans MT"/>
            <w:b w:val="0"/>
            <w:bCs w:val="0"/>
            <w:i w:val="0"/>
            <w:iCs w:val="0"/>
            <w:noProof/>
            <w:webHidden/>
            <w:sz w:val="18"/>
            <w:szCs w:val="18"/>
          </w:rPr>
          <w:tab/>
        </w:r>
        <w:r w:rsidR="00BA4505" w:rsidRPr="00BA4505">
          <w:rPr>
            <w:rFonts w:ascii="Gill Sans MT" w:hAnsi="Gill Sans MT"/>
            <w:b w:val="0"/>
            <w:bCs w:val="0"/>
            <w:i w:val="0"/>
            <w:iCs w:val="0"/>
            <w:noProof/>
            <w:webHidden/>
            <w:sz w:val="18"/>
            <w:szCs w:val="18"/>
          </w:rPr>
          <w:fldChar w:fldCharType="begin"/>
        </w:r>
        <w:r w:rsidR="00BA4505" w:rsidRPr="00BA4505">
          <w:rPr>
            <w:rFonts w:ascii="Gill Sans MT" w:hAnsi="Gill Sans MT"/>
            <w:b w:val="0"/>
            <w:bCs w:val="0"/>
            <w:i w:val="0"/>
            <w:iCs w:val="0"/>
            <w:noProof/>
            <w:webHidden/>
            <w:sz w:val="18"/>
            <w:szCs w:val="18"/>
          </w:rPr>
          <w:instrText xml:space="preserve"> PAGEREF _Toc57033207 \h </w:instrText>
        </w:r>
        <w:r w:rsidR="00BA4505" w:rsidRPr="00BA4505">
          <w:rPr>
            <w:rFonts w:ascii="Gill Sans MT" w:hAnsi="Gill Sans MT"/>
            <w:b w:val="0"/>
            <w:bCs w:val="0"/>
            <w:i w:val="0"/>
            <w:iCs w:val="0"/>
            <w:noProof/>
            <w:webHidden/>
            <w:sz w:val="18"/>
            <w:szCs w:val="18"/>
          </w:rPr>
        </w:r>
        <w:r w:rsidR="00BA4505" w:rsidRPr="00BA4505">
          <w:rPr>
            <w:rFonts w:ascii="Gill Sans MT" w:hAnsi="Gill Sans MT"/>
            <w:b w:val="0"/>
            <w:bCs w:val="0"/>
            <w:i w:val="0"/>
            <w:iCs w:val="0"/>
            <w:noProof/>
            <w:webHidden/>
            <w:sz w:val="18"/>
            <w:szCs w:val="18"/>
          </w:rPr>
          <w:fldChar w:fldCharType="separate"/>
        </w:r>
        <w:r w:rsidR="005F0AB9">
          <w:rPr>
            <w:rFonts w:ascii="Gill Sans MT" w:hAnsi="Gill Sans MT"/>
            <w:b w:val="0"/>
            <w:bCs w:val="0"/>
            <w:i w:val="0"/>
            <w:iCs w:val="0"/>
            <w:noProof/>
            <w:webHidden/>
            <w:sz w:val="18"/>
            <w:szCs w:val="18"/>
          </w:rPr>
          <w:t>183</w:t>
        </w:r>
        <w:r w:rsidR="00BA4505" w:rsidRPr="00BA4505">
          <w:rPr>
            <w:rFonts w:ascii="Gill Sans MT" w:hAnsi="Gill Sans MT"/>
            <w:b w:val="0"/>
            <w:bCs w:val="0"/>
            <w:i w:val="0"/>
            <w:iCs w:val="0"/>
            <w:noProof/>
            <w:webHidden/>
            <w:sz w:val="18"/>
            <w:szCs w:val="18"/>
          </w:rPr>
          <w:fldChar w:fldCharType="end"/>
        </w:r>
      </w:hyperlink>
    </w:p>
    <w:p w14:paraId="66FA730A" w14:textId="422A1949" w:rsidR="00BA4505" w:rsidRPr="00BA4505" w:rsidRDefault="00B568C9" w:rsidP="005F0AB9">
      <w:pPr>
        <w:pStyle w:val="TOC1"/>
        <w:tabs>
          <w:tab w:val="left" w:pos="993"/>
          <w:tab w:val="left" w:pos="1200"/>
          <w:tab w:val="right" w:leader="dot" w:pos="8779"/>
        </w:tabs>
        <w:rPr>
          <w:rFonts w:ascii="Gill Sans MT" w:hAnsi="Gill Sans MT" w:cstheme="minorBidi"/>
          <w:b w:val="0"/>
          <w:bCs w:val="0"/>
          <w:i w:val="0"/>
          <w:iCs w:val="0"/>
          <w:noProof/>
          <w:sz w:val="18"/>
          <w:szCs w:val="18"/>
          <w:lang w:eastAsia="en-GB"/>
        </w:rPr>
      </w:pPr>
      <w:hyperlink w:anchor="_Toc57033208" w:history="1">
        <w:r w:rsidR="00BA4505" w:rsidRPr="00BA4505">
          <w:rPr>
            <w:rStyle w:val="Hyperlink"/>
            <w:rFonts w:ascii="Gill Sans MT" w:hAnsi="Gill Sans MT"/>
            <w:b w:val="0"/>
            <w:bCs w:val="0"/>
            <w:i w:val="0"/>
            <w:iCs w:val="0"/>
            <w:noProof/>
            <w:sz w:val="18"/>
            <w:szCs w:val="18"/>
          </w:rPr>
          <w:t>Table 29:</w:t>
        </w:r>
        <w:r w:rsidR="00BA4505" w:rsidRPr="00BA4505">
          <w:rPr>
            <w:rFonts w:ascii="Gill Sans MT" w:hAnsi="Gill Sans MT" w:cstheme="minorBidi"/>
            <w:b w:val="0"/>
            <w:bCs w:val="0"/>
            <w:i w:val="0"/>
            <w:iCs w:val="0"/>
            <w:noProof/>
            <w:sz w:val="18"/>
            <w:szCs w:val="18"/>
            <w:lang w:eastAsia="en-GB"/>
          </w:rPr>
          <w:tab/>
        </w:r>
        <w:r w:rsidR="00BA4505" w:rsidRPr="00BA4505">
          <w:rPr>
            <w:rStyle w:val="Hyperlink"/>
            <w:rFonts w:ascii="Gill Sans MT" w:hAnsi="Gill Sans MT"/>
            <w:b w:val="0"/>
            <w:bCs w:val="0"/>
            <w:i w:val="0"/>
            <w:iCs w:val="0"/>
            <w:noProof/>
            <w:sz w:val="18"/>
            <w:szCs w:val="18"/>
          </w:rPr>
          <w:t xml:space="preserve">Comparison of ABC Factor Means for all ABC Scales; subgroups established from Dx20, and Dx16 </w:t>
        </w:r>
        <w:r w:rsidR="00BA4505">
          <w:rPr>
            <w:rStyle w:val="Hyperlink"/>
            <w:rFonts w:ascii="Gill Sans MT" w:hAnsi="Gill Sans MT"/>
            <w:b w:val="0"/>
            <w:bCs w:val="0"/>
            <w:i w:val="0"/>
            <w:iCs w:val="0"/>
            <w:noProof/>
            <w:sz w:val="18"/>
            <w:szCs w:val="18"/>
          </w:rPr>
          <w:tab/>
        </w:r>
        <w:r w:rsidR="00BA4505" w:rsidRPr="00BA4505">
          <w:rPr>
            <w:rStyle w:val="Hyperlink"/>
            <w:rFonts w:ascii="Gill Sans MT" w:hAnsi="Gill Sans MT"/>
            <w:b w:val="0"/>
            <w:bCs w:val="0"/>
            <w:i w:val="0"/>
            <w:iCs w:val="0"/>
            <w:noProof/>
            <w:sz w:val="18"/>
            <w:szCs w:val="18"/>
          </w:rPr>
          <w:t>Profiler Scales.</w:t>
        </w:r>
        <w:r w:rsidR="00BA4505" w:rsidRPr="00BA4505">
          <w:rPr>
            <w:rFonts w:ascii="Gill Sans MT" w:hAnsi="Gill Sans MT"/>
            <w:b w:val="0"/>
            <w:bCs w:val="0"/>
            <w:i w:val="0"/>
            <w:iCs w:val="0"/>
            <w:noProof/>
            <w:webHidden/>
            <w:sz w:val="18"/>
            <w:szCs w:val="18"/>
          </w:rPr>
          <w:tab/>
        </w:r>
        <w:r w:rsidR="00BA4505" w:rsidRPr="00BA4505">
          <w:rPr>
            <w:rFonts w:ascii="Gill Sans MT" w:hAnsi="Gill Sans MT"/>
            <w:b w:val="0"/>
            <w:bCs w:val="0"/>
            <w:i w:val="0"/>
            <w:iCs w:val="0"/>
            <w:noProof/>
            <w:webHidden/>
            <w:sz w:val="18"/>
            <w:szCs w:val="18"/>
          </w:rPr>
          <w:fldChar w:fldCharType="begin"/>
        </w:r>
        <w:r w:rsidR="00BA4505" w:rsidRPr="00BA4505">
          <w:rPr>
            <w:rFonts w:ascii="Gill Sans MT" w:hAnsi="Gill Sans MT"/>
            <w:b w:val="0"/>
            <w:bCs w:val="0"/>
            <w:i w:val="0"/>
            <w:iCs w:val="0"/>
            <w:noProof/>
            <w:webHidden/>
            <w:sz w:val="18"/>
            <w:szCs w:val="18"/>
          </w:rPr>
          <w:instrText xml:space="preserve"> PAGEREF _Toc57033208 \h </w:instrText>
        </w:r>
        <w:r w:rsidR="00BA4505" w:rsidRPr="00BA4505">
          <w:rPr>
            <w:rFonts w:ascii="Gill Sans MT" w:hAnsi="Gill Sans MT"/>
            <w:b w:val="0"/>
            <w:bCs w:val="0"/>
            <w:i w:val="0"/>
            <w:iCs w:val="0"/>
            <w:noProof/>
            <w:webHidden/>
            <w:sz w:val="18"/>
            <w:szCs w:val="18"/>
          </w:rPr>
        </w:r>
        <w:r w:rsidR="00BA4505" w:rsidRPr="00BA4505">
          <w:rPr>
            <w:rFonts w:ascii="Gill Sans MT" w:hAnsi="Gill Sans MT"/>
            <w:b w:val="0"/>
            <w:bCs w:val="0"/>
            <w:i w:val="0"/>
            <w:iCs w:val="0"/>
            <w:noProof/>
            <w:webHidden/>
            <w:sz w:val="18"/>
            <w:szCs w:val="18"/>
          </w:rPr>
          <w:fldChar w:fldCharType="separate"/>
        </w:r>
        <w:r w:rsidR="005F0AB9">
          <w:rPr>
            <w:rFonts w:ascii="Gill Sans MT" w:hAnsi="Gill Sans MT"/>
            <w:b w:val="0"/>
            <w:bCs w:val="0"/>
            <w:i w:val="0"/>
            <w:iCs w:val="0"/>
            <w:noProof/>
            <w:webHidden/>
            <w:sz w:val="18"/>
            <w:szCs w:val="18"/>
          </w:rPr>
          <w:t>185</w:t>
        </w:r>
        <w:r w:rsidR="00BA4505" w:rsidRPr="00BA4505">
          <w:rPr>
            <w:rFonts w:ascii="Gill Sans MT" w:hAnsi="Gill Sans MT"/>
            <w:b w:val="0"/>
            <w:bCs w:val="0"/>
            <w:i w:val="0"/>
            <w:iCs w:val="0"/>
            <w:noProof/>
            <w:webHidden/>
            <w:sz w:val="18"/>
            <w:szCs w:val="18"/>
          </w:rPr>
          <w:fldChar w:fldCharType="end"/>
        </w:r>
      </w:hyperlink>
    </w:p>
    <w:p w14:paraId="311C2F4F" w14:textId="2920EADA" w:rsidR="00BA4505" w:rsidRPr="00BA4505" w:rsidRDefault="00B568C9" w:rsidP="005F0AB9">
      <w:pPr>
        <w:pStyle w:val="TOC1"/>
        <w:tabs>
          <w:tab w:val="left" w:pos="993"/>
          <w:tab w:val="left" w:pos="1200"/>
          <w:tab w:val="right" w:leader="dot" w:pos="8779"/>
        </w:tabs>
        <w:rPr>
          <w:rFonts w:ascii="Gill Sans MT" w:hAnsi="Gill Sans MT" w:cstheme="minorBidi"/>
          <w:b w:val="0"/>
          <w:bCs w:val="0"/>
          <w:i w:val="0"/>
          <w:iCs w:val="0"/>
          <w:noProof/>
          <w:sz w:val="18"/>
          <w:szCs w:val="18"/>
          <w:lang w:eastAsia="en-GB"/>
        </w:rPr>
      </w:pPr>
      <w:hyperlink w:anchor="_Toc57033209" w:history="1">
        <w:r w:rsidR="00BA4505" w:rsidRPr="00BA4505">
          <w:rPr>
            <w:rStyle w:val="Hyperlink"/>
            <w:rFonts w:ascii="Gill Sans MT" w:hAnsi="Gill Sans MT"/>
            <w:b w:val="0"/>
            <w:bCs w:val="0"/>
            <w:i w:val="0"/>
            <w:iCs w:val="0"/>
            <w:noProof/>
            <w:sz w:val="18"/>
            <w:szCs w:val="18"/>
          </w:rPr>
          <w:t>Table 30:</w:t>
        </w:r>
        <w:r w:rsidR="00BA4505" w:rsidRPr="00BA4505">
          <w:rPr>
            <w:rFonts w:ascii="Gill Sans MT" w:hAnsi="Gill Sans MT" w:cstheme="minorBidi"/>
            <w:b w:val="0"/>
            <w:bCs w:val="0"/>
            <w:i w:val="0"/>
            <w:iCs w:val="0"/>
            <w:noProof/>
            <w:sz w:val="18"/>
            <w:szCs w:val="18"/>
            <w:lang w:eastAsia="en-GB"/>
          </w:rPr>
          <w:tab/>
        </w:r>
        <w:r w:rsidR="00BA4505" w:rsidRPr="00BA4505">
          <w:rPr>
            <w:rStyle w:val="Hyperlink"/>
            <w:rFonts w:ascii="Gill Sans MT" w:hAnsi="Gill Sans MT"/>
            <w:b w:val="0"/>
            <w:bCs w:val="0"/>
            <w:i w:val="0"/>
            <w:iCs w:val="0"/>
            <w:noProof/>
            <w:sz w:val="18"/>
            <w:szCs w:val="18"/>
          </w:rPr>
          <w:t xml:space="preserve">Effect size difference in ABC factor means between non-dyslexic (ND) and dyslexic (DI) groups, and </w:t>
        </w:r>
        <w:r w:rsidR="00BA4505">
          <w:rPr>
            <w:rStyle w:val="Hyperlink"/>
            <w:rFonts w:ascii="Gill Sans MT" w:hAnsi="Gill Sans MT"/>
            <w:b w:val="0"/>
            <w:bCs w:val="0"/>
            <w:i w:val="0"/>
            <w:iCs w:val="0"/>
            <w:noProof/>
            <w:sz w:val="18"/>
            <w:szCs w:val="18"/>
          </w:rPr>
          <w:tab/>
        </w:r>
        <w:r w:rsidR="00BA4505" w:rsidRPr="00BA4505">
          <w:rPr>
            <w:rStyle w:val="Hyperlink"/>
            <w:rFonts w:ascii="Gill Sans MT" w:hAnsi="Gill Sans MT"/>
            <w:b w:val="0"/>
            <w:bCs w:val="0"/>
            <w:i w:val="0"/>
            <w:iCs w:val="0"/>
            <w:noProof/>
            <w:sz w:val="18"/>
            <w:szCs w:val="18"/>
          </w:rPr>
          <w:t>between subgroups as defined from the Dx20 Profiler.</w:t>
        </w:r>
        <w:r w:rsidR="00BA4505" w:rsidRPr="00BA4505">
          <w:rPr>
            <w:rFonts w:ascii="Gill Sans MT" w:hAnsi="Gill Sans MT"/>
            <w:b w:val="0"/>
            <w:bCs w:val="0"/>
            <w:i w:val="0"/>
            <w:iCs w:val="0"/>
            <w:noProof/>
            <w:webHidden/>
            <w:sz w:val="18"/>
            <w:szCs w:val="18"/>
          </w:rPr>
          <w:tab/>
        </w:r>
        <w:r w:rsidR="00BA4505" w:rsidRPr="00BA4505">
          <w:rPr>
            <w:rFonts w:ascii="Gill Sans MT" w:hAnsi="Gill Sans MT"/>
            <w:b w:val="0"/>
            <w:bCs w:val="0"/>
            <w:i w:val="0"/>
            <w:iCs w:val="0"/>
            <w:noProof/>
            <w:webHidden/>
            <w:sz w:val="18"/>
            <w:szCs w:val="18"/>
          </w:rPr>
          <w:fldChar w:fldCharType="begin"/>
        </w:r>
        <w:r w:rsidR="00BA4505" w:rsidRPr="00BA4505">
          <w:rPr>
            <w:rFonts w:ascii="Gill Sans MT" w:hAnsi="Gill Sans MT"/>
            <w:b w:val="0"/>
            <w:bCs w:val="0"/>
            <w:i w:val="0"/>
            <w:iCs w:val="0"/>
            <w:noProof/>
            <w:webHidden/>
            <w:sz w:val="18"/>
            <w:szCs w:val="18"/>
          </w:rPr>
          <w:instrText xml:space="preserve"> PAGEREF _Toc57033209 \h </w:instrText>
        </w:r>
        <w:r w:rsidR="00BA4505" w:rsidRPr="00BA4505">
          <w:rPr>
            <w:rFonts w:ascii="Gill Sans MT" w:hAnsi="Gill Sans MT"/>
            <w:b w:val="0"/>
            <w:bCs w:val="0"/>
            <w:i w:val="0"/>
            <w:iCs w:val="0"/>
            <w:noProof/>
            <w:webHidden/>
            <w:sz w:val="18"/>
            <w:szCs w:val="18"/>
          </w:rPr>
        </w:r>
        <w:r w:rsidR="00BA4505" w:rsidRPr="00BA4505">
          <w:rPr>
            <w:rFonts w:ascii="Gill Sans MT" w:hAnsi="Gill Sans MT"/>
            <w:b w:val="0"/>
            <w:bCs w:val="0"/>
            <w:i w:val="0"/>
            <w:iCs w:val="0"/>
            <w:noProof/>
            <w:webHidden/>
            <w:sz w:val="18"/>
            <w:szCs w:val="18"/>
          </w:rPr>
          <w:fldChar w:fldCharType="separate"/>
        </w:r>
        <w:r w:rsidR="005F0AB9">
          <w:rPr>
            <w:rFonts w:ascii="Gill Sans MT" w:hAnsi="Gill Sans MT"/>
            <w:b w:val="0"/>
            <w:bCs w:val="0"/>
            <w:i w:val="0"/>
            <w:iCs w:val="0"/>
            <w:noProof/>
            <w:webHidden/>
            <w:sz w:val="18"/>
            <w:szCs w:val="18"/>
          </w:rPr>
          <w:t>187</w:t>
        </w:r>
        <w:r w:rsidR="00BA4505" w:rsidRPr="00BA4505">
          <w:rPr>
            <w:rFonts w:ascii="Gill Sans MT" w:hAnsi="Gill Sans MT"/>
            <w:b w:val="0"/>
            <w:bCs w:val="0"/>
            <w:i w:val="0"/>
            <w:iCs w:val="0"/>
            <w:noProof/>
            <w:webHidden/>
            <w:sz w:val="18"/>
            <w:szCs w:val="18"/>
          </w:rPr>
          <w:fldChar w:fldCharType="end"/>
        </w:r>
      </w:hyperlink>
    </w:p>
    <w:p w14:paraId="214FBA06" w14:textId="69179FA3" w:rsidR="00BA4505" w:rsidRPr="00BA4505" w:rsidRDefault="00B568C9" w:rsidP="005F0AB9">
      <w:pPr>
        <w:pStyle w:val="TOC1"/>
        <w:tabs>
          <w:tab w:val="left" w:pos="993"/>
          <w:tab w:val="left" w:pos="1200"/>
          <w:tab w:val="right" w:leader="dot" w:pos="8779"/>
        </w:tabs>
        <w:rPr>
          <w:rFonts w:ascii="Gill Sans MT" w:hAnsi="Gill Sans MT" w:cstheme="minorBidi"/>
          <w:b w:val="0"/>
          <w:bCs w:val="0"/>
          <w:i w:val="0"/>
          <w:iCs w:val="0"/>
          <w:noProof/>
          <w:sz w:val="18"/>
          <w:szCs w:val="18"/>
          <w:lang w:eastAsia="en-GB"/>
        </w:rPr>
      </w:pPr>
      <w:hyperlink w:anchor="_Toc57033210" w:history="1">
        <w:r w:rsidR="00BA4505" w:rsidRPr="00BA4505">
          <w:rPr>
            <w:rStyle w:val="Hyperlink"/>
            <w:rFonts w:ascii="Gill Sans MT" w:hAnsi="Gill Sans MT"/>
            <w:b w:val="0"/>
            <w:bCs w:val="0"/>
            <w:i w:val="0"/>
            <w:iCs w:val="0"/>
            <w:noProof/>
            <w:sz w:val="18"/>
            <w:szCs w:val="18"/>
          </w:rPr>
          <w:t>Table 31:</w:t>
        </w:r>
        <w:r w:rsidR="00BA4505" w:rsidRPr="00BA4505">
          <w:rPr>
            <w:rFonts w:ascii="Gill Sans MT" w:hAnsi="Gill Sans MT" w:cstheme="minorBidi"/>
            <w:b w:val="0"/>
            <w:bCs w:val="0"/>
            <w:i w:val="0"/>
            <w:iCs w:val="0"/>
            <w:noProof/>
            <w:sz w:val="18"/>
            <w:szCs w:val="18"/>
            <w:lang w:eastAsia="en-GB"/>
          </w:rPr>
          <w:tab/>
        </w:r>
        <w:r w:rsidR="00BA4505" w:rsidRPr="00BA4505">
          <w:rPr>
            <w:rStyle w:val="Hyperlink"/>
            <w:rFonts w:ascii="Gill Sans MT" w:hAnsi="Gill Sans MT"/>
            <w:b w:val="0"/>
            <w:bCs w:val="0"/>
            <w:i w:val="0"/>
            <w:iCs w:val="0"/>
            <w:noProof/>
            <w:sz w:val="18"/>
            <w:szCs w:val="18"/>
          </w:rPr>
          <w:t xml:space="preserve">Effect size difference in ABC factor means between non-dyslexic (ND) and dyslexic (DI) groups, and </w:t>
        </w:r>
        <w:r w:rsidR="00BA4505">
          <w:rPr>
            <w:rStyle w:val="Hyperlink"/>
            <w:rFonts w:ascii="Gill Sans MT" w:hAnsi="Gill Sans MT"/>
            <w:b w:val="0"/>
            <w:bCs w:val="0"/>
            <w:i w:val="0"/>
            <w:iCs w:val="0"/>
            <w:noProof/>
            <w:sz w:val="18"/>
            <w:szCs w:val="18"/>
          </w:rPr>
          <w:tab/>
        </w:r>
        <w:r w:rsidR="00BA4505" w:rsidRPr="00BA4505">
          <w:rPr>
            <w:rStyle w:val="Hyperlink"/>
            <w:rFonts w:ascii="Gill Sans MT" w:hAnsi="Gill Sans MT"/>
            <w:b w:val="0"/>
            <w:bCs w:val="0"/>
            <w:i w:val="0"/>
            <w:iCs w:val="0"/>
            <w:noProof/>
            <w:sz w:val="18"/>
            <w:szCs w:val="18"/>
          </w:rPr>
          <w:t>between subgroups as defined from the Dx16 Profiler.</w:t>
        </w:r>
        <w:r w:rsidR="00BA4505" w:rsidRPr="00BA4505">
          <w:rPr>
            <w:rFonts w:ascii="Gill Sans MT" w:hAnsi="Gill Sans MT"/>
            <w:b w:val="0"/>
            <w:bCs w:val="0"/>
            <w:i w:val="0"/>
            <w:iCs w:val="0"/>
            <w:noProof/>
            <w:webHidden/>
            <w:sz w:val="18"/>
            <w:szCs w:val="18"/>
          </w:rPr>
          <w:tab/>
        </w:r>
        <w:r w:rsidR="00BA4505" w:rsidRPr="00BA4505">
          <w:rPr>
            <w:rFonts w:ascii="Gill Sans MT" w:hAnsi="Gill Sans MT"/>
            <w:b w:val="0"/>
            <w:bCs w:val="0"/>
            <w:i w:val="0"/>
            <w:iCs w:val="0"/>
            <w:noProof/>
            <w:webHidden/>
            <w:sz w:val="18"/>
            <w:szCs w:val="18"/>
          </w:rPr>
          <w:fldChar w:fldCharType="begin"/>
        </w:r>
        <w:r w:rsidR="00BA4505" w:rsidRPr="00BA4505">
          <w:rPr>
            <w:rFonts w:ascii="Gill Sans MT" w:hAnsi="Gill Sans MT"/>
            <w:b w:val="0"/>
            <w:bCs w:val="0"/>
            <w:i w:val="0"/>
            <w:iCs w:val="0"/>
            <w:noProof/>
            <w:webHidden/>
            <w:sz w:val="18"/>
            <w:szCs w:val="18"/>
          </w:rPr>
          <w:instrText xml:space="preserve"> PAGEREF _Toc57033210 \h </w:instrText>
        </w:r>
        <w:r w:rsidR="00BA4505" w:rsidRPr="00BA4505">
          <w:rPr>
            <w:rFonts w:ascii="Gill Sans MT" w:hAnsi="Gill Sans MT"/>
            <w:b w:val="0"/>
            <w:bCs w:val="0"/>
            <w:i w:val="0"/>
            <w:iCs w:val="0"/>
            <w:noProof/>
            <w:webHidden/>
            <w:sz w:val="18"/>
            <w:szCs w:val="18"/>
          </w:rPr>
        </w:r>
        <w:r w:rsidR="00BA4505" w:rsidRPr="00BA4505">
          <w:rPr>
            <w:rFonts w:ascii="Gill Sans MT" w:hAnsi="Gill Sans MT"/>
            <w:b w:val="0"/>
            <w:bCs w:val="0"/>
            <w:i w:val="0"/>
            <w:iCs w:val="0"/>
            <w:noProof/>
            <w:webHidden/>
            <w:sz w:val="18"/>
            <w:szCs w:val="18"/>
          </w:rPr>
          <w:fldChar w:fldCharType="separate"/>
        </w:r>
        <w:r w:rsidR="005F0AB9">
          <w:rPr>
            <w:rFonts w:ascii="Gill Sans MT" w:hAnsi="Gill Sans MT"/>
            <w:b w:val="0"/>
            <w:bCs w:val="0"/>
            <w:i w:val="0"/>
            <w:iCs w:val="0"/>
            <w:noProof/>
            <w:webHidden/>
            <w:sz w:val="18"/>
            <w:szCs w:val="18"/>
          </w:rPr>
          <w:t>188</w:t>
        </w:r>
        <w:r w:rsidR="00BA4505" w:rsidRPr="00BA4505">
          <w:rPr>
            <w:rFonts w:ascii="Gill Sans MT" w:hAnsi="Gill Sans MT"/>
            <w:b w:val="0"/>
            <w:bCs w:val="0"/>
            <w:i w:val="0"/>
            <w:iCs w:val="0"/>
            <w:noProof/>
            <w:webHidden/>
            <w:sz w:val="18"/>
            <w:szCs w:val="18"/>
          </w:rPr>
          <w:fldChar w:fldCharType="end"/>
        </w:r>
      </w:hyperlink>
    </w:p>
    <w:p w14:paraId="0AA0473C" w14:textId="1B174771" w:rsidR="00BA4505" w:rsidRPr="00BA4505" w:rsidRDefault="00B568C9" w:rsidP="005F0AB9">
      <w:pPr>
        <w:pStyle w:val="TOC1"/>
        <w:tabs>
          <w:tab w:val="left" w:pos="993"/>
          <w:tab w:val="left" w:pos="1200"/>
          <w:tab w:val="right" w:leader="dot" w:pos="8779"/>
        </w:tabs>
        <w:rPr>
          <w:rFonts w:ascii="Gill Sans MT" w:hAnsi="Gill Sans MT" w:cstheme="minorBidi"/>
          <w:b w:val="0"/>
          <w:bCs w:val="0"/>
          <w:i w:val="0"/>
          <w:iCs w:val="0"/>
          <w:noProof/>
          <w:sz w:val="18"/>
          <w:szCs w:val="18"/>
          <w:lang w:eastAsia="en-GB"/>
        </w:rPr>
      </w:pPr>
      <w:hyperlink w:anchor="_Toc57033211" w:history="1">
        <w:r w:rsidR="00BA4505" w:rsidRPr="00BA4505">
          <w:rPr>
            <w:rStyle w:val="Hyperlink"/>
            <w:rFonts w:ascii="Gill Sans MT" w:eastAsia="Times New Roman" w:hAnsi="Gill Sans MT"/>
            <w:b w:val="0"/>
            <w:bCs w:val="0"/>
            <w:i w:val="0"/>
            <w:iCs w:val="0"/>
            <w:noProof/>
            <w:sz w:val="18"/>
            <w:szCs w:val="18"/>
            <w:lang w:eastAsia="en-GB"/>
          </w:rPr>
          <w:t>Table 32:</w:t>
        </w:r>
        <w:r w:rsidR="00BA4505" w:rsidRPr="00BA4505">
          <w:rPr>
            <w:rFonts w:ascii="Gill Sans MT" w:hAnsi="Gill Sans MT" w:cstheme="minorBidi"/>
            <w:b w:val="0"/>
            <w:bCs w:val="0"/>
            <w:i w:val="0"/>
            <w:iCs w:val="0"/>
            <w:noProof/>
            <w:sz w:val="18"/>
            <w:szCs w:val="18"/>
            <w:lang w:eastAsia="en-GB"/>
          </w:rPr>
          <w:tab/>
        </w:r>
        <w:r w:rsidR="00BA4505" w:rsidRPr="00BA4505">
          <w:rPr>
            <w:rStyle w:val="Hyperlink"/>
            <w:rFonts w:ascii="Gill Sans MT" w:eastAsia="Times New Roman" w:hAnsi="Gill Sans MT"/>
            <w:b w:val="0"/>
            <w:bCs w:val="0"/>
            <w:i w:val="0"/>
            <w:iCs w:val="0"/>
            <w:noProof/>
            <w:sz w:val="18"/>
            <w:szCs w:val="18"/>
            <w:lang w:eastAsia="en-GB"/>
          </w:rPr>
          <w:t>Values of R</w:t>
        </w:r>
        <w:r w:rsidR="00BA4505" w:rsidRPr="00BA4505">
          <w:rPr>
            <w:rStyle w:val="Hyperlink"/>
            <w:rFonts w:ascii="Gill Sans MT" w:eastAsia="Times New Roman" w:hAnsi="Gill Sans MT"/>
            <w:b w:val="0"/>
            <w:bCs w:val="0"/>
            <w:i w:val="0"/>
            <w:iCs w:val="0"/>
            <w:noProof/>
            <w:sz w:val="18"/>
            <w:szCs w:val="18"/>
            <w:vertAlign w:val="superscript"/>
            <w:lang w:eastAsia="en-GB"/>
          </w:rPr>
          <w:t>2</w:t>
        </w:r>
        <w:r w:rsidR="00BA4505" w:rsidRPr="00BA4505">
          <w:rPr>
            <w:rStyle w:val="Hyperlink"/>
            <w:rFonts w:ascii="Gill Sans MT" w:eastAsia="Times New Roman" w:hAnsi="Gill Sans MT"/>
            <w:b w:val="0"/>
            <w:bCs w:val="0"/>
            <w:i w:val="0"/>
            <w:iCs w:val="0"/>
            <w:noProof/>
            <w:sz w:val="18"/>
            <w:szCs w:val="18"/>
            <w:lang w:eastAsia="en-GB"/>
          </w:rPr>
          <w:t xml:space="preserve"> for simple, linear regressions for all permutations of ABC and Dx Profiler Scales.</w:t>
        </w:r>
        <w:r w:rsidR="00BA4505" w:rsidRPr="00BA4505">
          <w:rPr>
            <w:rFonts w:ascii="Gill Sans MT" w:hAnsi="Gill Sans MT"/>
            <w:b w:val="0"/>
            <w:bCs w:val="0"/>
            <w:i w:val="0"/>
            <w:iCs w:val="0"/>
            <w:noProof/>
            <w:webHidden/>
            <w:sz w:val="18"/>
            <w:szCs w:val="18"/>
          </w:rPr>
          <w:tab/>
        </w:r>
        <w:r w:rsidR="00BA4505" w:rsidRPr="00BA4505">
          <w:rPr>
            <w:rFonts w:ascii="Gill Sans MT" w:hAnsi="Gill Sans MT"/>
            <w:b w:val="0"/>
            <w:bCs w:val="0"/>
            <w:i w:val="0"/>
            <w:iCs w:val="0"/>
            <w:noProof/>
            <w:webHidden/>
            <w:sz w:val="18"/>
            <w:szCs w:val="18"/>
          </w:rPr>
          <w:fldChar w:fldCharType="begin"/>
        </w:r>
        <w:r w:rsidR="00BA4505" w:rsidRPr="00BA4505">
          <w:rPr>
            <w:rFonts w:ascii="Gill Sans MT" w:hAnsi="Gill Sans MT"/>
            <w:b w:val="0"/>
            <w:bCs w:val="0"/>
            <w:i w:val="0"/>
            <w:iCs w:val="0"/>
            <w:noProof/>
            <w:webHidden/>
            <w:sz w:val="18"/>
            <w:szCs w:val="18"/>
          </w:rPr>
          <w:instrText xml:space="preserve"> PAGEREF _Toc57033211 \h </w:instrText>
        </w:r>
        <w:r w:rsidR="00BA4505" w:rsidRPr="00BA4505">
          <w:rPr>
            <w:rFonts w:ascii="Gill Sans MT" w:hAnsi="Gill Sans MT"/>
            <w:b w:val="0"/>
            <w:bCs w:val="0"/>
            <w:i w:val="0"/>
            <w:iCs w:val="0"/>
            <w:noProof/>
            <w:webHidden/>
            <w:sz w:val="18"/>
            <w:szCs w:val="18"/>
          </w:rPr>
        </w:r>
        <w:r w:rsidR="00BA4505" w:rsidRPr="00BA4505">
          <w:rPr>
            <w:rFonts w:ascii="Gill Sans MT" w:hAnsi="Gill Sans MT"/>
            <w:b w:val="0"/>
            <w:bCs w:val="0"/>
            <w:i w:val="0"/>
            <w:iCs w:val="0"/>
            <w:noProof/>
            <w:webHidden/>
            <w:sz w:val="18"/>
            <w:szCs w:val="18"/>
          </w:rPr>
          <w:fldChar w:fldCharType="separate"/>
        </w:r>
        <w:r w:rsidR="005F0AB9">
          <w:rPr>
            <w:rFonts w:ascii="Gill Sans MT" w:hAnsi="Gill Sans MT"/>
            <w:b w:val="0"/>
            <w:bCs w:val="0"/>
            <w:i w:val="0"/>
            <w:iCs w:val="0"/>
            <w:noProof/>
            <w:webHidden/>
            <w:sz w:val="18"/>
            <w:szCs w:val="18"/>
          </w:rPr>
          <w:t>191</w:t>
        </w:r>
        <w:r w:rsidR="00BA4505" w:rsidRPr="00BA4505">
          <w:rPr>
            <w:rFonts w:ascii="Gill Sans MT" w:hAnsi="Gill Sans MT"/>
            <w:b w:val="0"/>
            <w:bCs w:val="0"/>
            <w:i w:val="0"/>
            <w:iCs w:val="0"/>
            <w:noProof/>
            <w:webHidden/>
            <w:sz w:val="18"/>
            <w:szCs w:val="18"/>
          </w:rPr>
          <w:fldChar w:fldCharType="end"/>
        </w:r>
      </w:hyperlink>
    </w:p>
    <w:p w14:paraId="41D96E1D" w14:textId="4AFE4A8E" w:rsidR="00BA4505" w:rsidRPr="00BA4505" w:rsidRDefault="00B568C9" w:rsidP="005F0AB9">
      <w:pPr>
        <w:pStyle w:val="TOC1"/>
        <w:tabs>
          <w:tab w:val="left" w:pos="993"/>
          <w:tab w:val="left" w:pos="1200"/>
          <w:tab w:val="right" w:leader="dot" w:pos="8779"/>
        </w:tabs>
        <w:rPr>
          <w:rFonts w:ascii="Gill Sans MT" w:hAnsi="Gill Sans MT" w:cstheme="minorBidi"/>
          <w:b w:val="0"/>
          <w:bCs w:val="0"/>
          <w:i w:val="0"/>
          <w:iCs w:val="0"/>
          <w:noProof/>
          <w:sz w:val="18"/>
          <w:szCs w:val="18"/>
          <w:lang w:eastAsia="en-GB"/>
        </w:rPr>
      </w:pPr>
      <w:hyperlink w:anchor="_Toc57033212" w:history="1">
        <w:r w:rsidR="00BA4505" w:rsidRPr="00BA4505">
          <w:rPr>
            <w:rStyle w:val="Hyperlink"/>
            <w:rFonts w:ascii="Gill Sans MT" w:eastAsia="Times New Roman" w:hAnsi="Gill Sans MT"/>
            <w:b w:val="0"/>
            <w:bCs w:val="0"/>
            <w:i w:val="0"/>
            <w:iCs w:val="0"/>
            <w:noProof/>
            <w:sz w:val="18"/>
            <w:szCs w:val="18"/>
            <w:lang w:eastAsia="en-GB"/>
          </w:rPr>
          <w:t>Table 33:</w:t>
        </w:r>
        <w:r w:rsidR="00BA4505" w:rsidRPr="00BA4505">
          <w:rPr>
            <w:rFonts w:ascii="Gill Sans MT" w:hAnsi="Gill Sans MT" w:cstheme="minorBidi"/>
            <w:b w:val="0"/>
            <w:bCs w:val="0"/>
            <w:i w:val="0"/>
            <w:iCs w:val="0"/>
            <w:noProof/>
            <w:sz w:val="18"/>
            <w:szCs w:val="18"/>
            <w:lang w:eastAsia="en-GB"/>
          </w:rPr>
          <w:tab/>
        </w:r>
        <w:r w:rsidR="00BA4505" w:rsidRPr="00BA4505">
          <w:rPr>
            <w:rStyle w:val="Hyperlink"/>
            <w:rFonts w:ascii="Gill Sans MT" w:eastAsia="Times New Roman" w:hAnsi="Gill Sans MT"/>
            <w:b w:val="0"/>
            <w:bCs w:val="0"/>
            <w:i w:val="0"/>
            <w:iCs w:val="0"/>
            <w:noProof/>
            <w:sz w:val="18"/>
            <w:szCs w:val="18"/>
            <w:lang w:eastAsia="en-GB"/>
          </w:rPr>
          <w:t xml:space="preserve">Comparisons of mean ABC24 between observed and expected values according to pilot multiple </w:t>
        </w:r>
        <w:r w:rsidR="00BA4505">
          <w:rPr>
            <w:rStyle w:val="Hyperlink"/>
            <w:rFonts w:ascii="Gill Sans MT" w:eastAsia="Times New Roman" w:hAnsi="Gill Sans MT"/>
            <w:b w:val="0"/>
            <w:bCs w:val="0"/>
            <w:i w:val="0"/>
            <w:iCs w:val="0"/>
            <w:noProof/>
            <w:sz w:val="18"/>
            <w:szCs w:val="18"/>
            <w:lang w:eastAsia="en-GB"/>
          </w:rPr>
          <w:tab/>
        </w:r>
        <w:r w:rsidR="00BA4505" w:rsidRPr="00BA4505">
          <w:rPr>
            <w:rStyle w:val="Hyperlink"/>
            <w:rFonts w:ascii="Gill Sans MT" w:eastAsia="Times New Roman" w:hAnsi="Gill Sans MT"/>
            <w:b w:val="0"/>
            <w:bCs w:val="0"/>
            <w:i w:val="0"/>
            <w:iCs w:val="0"/>
            <w:noProof/>
            <w:sz w:val="18"/>
            <w:szCs w:val="18"/>
            <w:lang w:eastAsia="en-GB"/>
          </w:rPr>
          <w:t>regression models.</w:t>
        </w:r>
        <w:r w:rsidR="00BA4505" w:rsidRPr="00BA4505">
          <w:rPr>
            <w:rFonts w:ascii="Gill Sans MT" w:hAnsi="Gill Sans MT"/>
            <w:b w:val="0"/>
            <w:bCs w:val="0"/>
            <w:i w:val="0"/>
            <w:iCs w:val="0"/>
            <w:noProof/>
            <w:webHidden/>
            <w:sz w:val="18"/>
            <w:szCs w:val="18"/>
          </w:rPr>
          <w:tab/>
        </w:r>
        <w:r w:rsidR="00BA4505" w:rsidRPr="00BA4505">
          <w:rPr>
            <w:rFonts w:ascii="Gill Sans MT" w:hAnsi="Gill Sans MT"/>
            <w:b w:val="0"/>
            <w:bCs w:val="0"/>
            <w:i w:val="0"/>
            <w:iCs w:val="0"/>
            <w:noProof/>
            <w:webHidden/>
            <w:sz w:val="18"/>
            <w:szCs w:val="18"/>
          </w:rPr>
          <w:fldChar w:fldCharType="begin"/>
        </w:r>
        <w:r w:rsidR="00BA4505" w:rsidRPr="00BA4505">
          <w:rPr>
            <w:rFonts w:ascii="Gill Sans MT" w:hAnsi="Gill Sans MT"/>
            <w:b w:val="0"/>
            <w:bCs w:val="0"/>
            <w:i w:val="0"/>
            <w:iCs w:val="0"/>
            <w:noProof/>
            <w:webHidden/>
            <w:sz w:val="18"/>
            <w:szCs w:val="18"/>
          </w:rPr>
          <w:instrText xml:space="preserve"> PAGEREF _Toc57033212 \h </w:instrText>
        </w:r>
        <w:r w:rsidR="00BA4505" w:rsidRPr="00BA4505">
          <w:rPr>
            <w:rFonts w:ascii="Gill Sans MT" w:hAnsi="Gill Sans MT"/>
            <w:b w:val="0"/>
            <w:bCs w:val="0"/>
            <w:i w:val="0"/>
            <w:iCs w:val="0"/>
            <w:noProof/>
            <w:webHidden/>
            <w:sz w:val="18"/>
            <w:szCs w:val="18"/>
          </w:rPr>
        </w:r>
        <w:r w:rsidR="00BA4505" w:rsidRPr="00BA4505">
          <w:rPr>
            <w:rFonts w:ascii="Gill Sans MT" w:hAnsi="Gill Sans MT"/>
            <w:b w:val="0"/>
            <w:bCs w:val="0"/>
            <w:i w:val="0"/>
            <w:iCs w:val="0"/>
            <w:noProof/>
            <w:webHidden/>
            <w:sz w:val="18"/>
            <w:szCs w:val="18"/>
          </w:rPr>
          <w:fldChar w:fldCharType="separate"/>
        </w:r>
        <w:r w:rsidR="005F0AB9">
          <w:rPr>
            <w:rFonts w:ascii="Gill Sans MT" w:hAnsi="Gill Sans MT"/>
            <w:b w:val="0"/>
            <w:bCs w:val="0"/>
            <w:i w:val="0"/>
            <w:iCs w:val="0"/>
            <w:noProof/>
            <w:webHidden/>
            <w:sz w:val="18"/>
            <w:szCs w:val="18"/>
          </w:rPr>
          <w:t>193</w:t>
        </w:r>
        <w:r w:rsidR="00BA4505" w:rsidRPr="00BA4505">
          <w:rPr>
            <w:rFonts w:ascii="Gill Sans MT" w:hAnsi="Gill Sans MT"/>
            <w:b w:val="0"/>
            <w:bCs w:val="0"/>
            <w:i w:val="0"/>
            <w:iCs w:val="0"/>
            <w:noProof/>
            <w:webHidden/>
            <w:sz w:val="18"/>
            <w:szCs w:val="18"/>
          </w:rPr>
          <w:fldChar w:fldCharType="end"/>
        </w:r>
      </w:hyperlink>
    </w:p>
    <w:p w14:paraId="6E7E6A06" w14:textId="4D62138B" w:rsidR="007707AB" w:rsidRPr="00BA4505" w:rsidRDefault="00D029AE" w:rsidP="005F0AB9">
      <w:pPr>
        <w:tabs>
          <w:tab w:val="left" w:pos="993"/>
        </w:tabs>
        <w:spacing w:before="0" w:after="160" w:line="259" w:lineRule="auto"/>
        <w:rPr>
          <w:rFonts w:ascii="Gill Sans MT" w:hAnsi="Gill Sans MT"/>
          <w:smallCaps/>
          <w:color w:val="4472C4" w:themeColor="accent1"/>
          <w:spacing w:val="5"/>
          <w:sz w:val="18"/>
          <w:szCs w:val="18"/>
        </w:rPr>
      </w:pPr>
      <w:r w:rsidRPr="00BA4505">
        <w:rPr>
          <w:rFonts w:ascii="Gill Sans MT" w:hAnsi="Gill Sans MT"/>
          <w:sz w:val="18"/>
          <w:szCs w:val="18"/>
        </w:rPr>
        <w:fldChar w:fldCharType="end"/>
      </w:r>
      <w:r w:rsidR="007707AB" w:rsidRPr="00BA4505">
        <w:rPr>
          <w:rFonts w:ascii="Gill Sans MT" w:hAnsi="Gill Sans MT"/>
          <w:sz w:val="18"/>
          <w:szCs w:val="18"/>
        </w:rPr>
        <w:br w:type="page"/>
      </w:r>
    </w:p>
    <w:p w14:paraId="18769684" w14:textId="77777777" w:rsidR="007707AB" w:rsidRDefault="007707AB" w:rsidP="007707AB">
      <w:pPr>
        <w:pStyle w:val="Heading1"/>
      </w:pPr>
    </w:p>
    <w:p w14:paraId="5F645DF3" w14:textId="43B1B42E" w:rsidR="00903D66" w:rsidRPr="007707AB" w:rsidRDefault="00903D66" w:rsidP="007707AB">
      <w:pPr>
        <w:pStyle w:val="Heading1"/>
      </w:pPr>
      <w:bookmarkStart w:id="12" w:name="_Toc57035876"/>
      <w:r w:rsidRPr="007707AB">
        <w:t>Abstract</w:t>
      </w:r>
      <w:bookmarkEnd w:id="12"/>
    </w:p>
    <w:p w14:paraId="61A7E126" w14:textId="77777777" w:rsidR="00903D66" w:rsidRDefault="00903D66" w:rsidP="00903D66">
      <w:pPr>
        <w:spacing w:before="0" w:after="0"/>
      </w:pPr>
    </w:p>
    <w:bookmarkEnd w:id="0"/>
    <w:p w14:paraId="00756040" w14:textId="6B0B2531" w:rsidR="00903D66" w:rsidRPr="004D3449" w:rsidRDefault="00903D66" w:rsidP="00903D66">
      <w:pPr>
        <w:pStyle w:val="Heading2"/>
      </w:pPr>
    </w:p>
    <w:p w14:paraId="31FA2AE0" w14:textId="796B37FB" w:rsidR="00903D66" w:rsidRDefault="00903D66" w:rsidP="00903D66">
      <w:bookmarkStart w:id="13" w:name="_Hlk31117816"/>
      <w:r>
        <w:t xml:space="preserve">This </w:t>
      </w:r>
      <w:r w:rsidR="00C50808">
        <w:t>study</w:t>
      </w:r>
      <w:r>
        <w:t xml:space="preserve"> explore</w:t>
      </w:r>
      <w:r w:rsidR="00753920">
        <w:t>d</w:t>
      </w:r>
      <w:r>
        <w:t xml:space="preserve"> how university students' academic confidence may be affected by them being identified as dyslexic.</w:t>
      </w:r>
      <w:r w:rsidR="0084741D">
        <w:t xml:space="preserve"> Contemporary views of dyslexia range from considering it primarily as a literacy-based, specific learning difficulty (BDA, 2017</w:t>
      </w:r>
      <w:r w:rsidR="00DF2DC4">
        <w:t>)</w:t>
      </w:r>
      <w:r w:rsidR="0084741D">
        <w:t xml:space="preserve">, to a multi-factorial information processing difference (Tamboer et.al., 2016). Currently, </w:t>
      </w:r>
      <w:r w:rsidR="001B1009">
        <w:t xml:space="preserve">and by defining dyslexia as a disability, </w:t>
      </w:r>
      <w:r w:rsidR="0084741D">
        <w:t>dyslexia-identified students at university in the UK are entitled to receive academic support to enable equitable engagement with their studies.</w:t>
      </w:r>
    </w:p>
    <w:p w14:paraId="43EC028B" w14:textId="45D5FF68" w:rsidR="0084741D" w:rsidRPr="0084741D" w:rsidRDefault="0084741D" w:rsidP="0084741D">
      <w:pPr>
        <w:rPr>
          <w:rFonts w:eastAsia="Times New Roman"/>
          <w:lang w:eastAsia="en-GB"/>
        </w:rPr>
      </w:pPr>
      <w:bookmarkStart w:id="14" w:name="_Hlk31118626"/>
      <w:r w:rsidRPr="0084741D">
        <w:rPr>
          <w:rFonts w:eastAsia="Times New Roman"/>
          <w:lang w:eastAsia="en-GB"/>
        </w:rPr>
        <w:t xml:space="preserve">Confidence is a robust dimensional characteristic of individual differences (Stankov, 2012) and academic confidence has been defined as the level of strong belief, firm trust, or sure expectation of responses to the demands of studying at university (Sander </w:t>
      </w:r>
      <w:r w:rsidR="00DF2DC4">
        <w:rPr>
          <w:rFonts w:eastAsia="Times New Roman"/>
          <w:lang w:eastAsia="en-GB"/>
        </w:rPr>
        <w:t>&amp;</w:t>
      </w:r>
      <w:r w:rsidRPr="0084741D">
        <w:rPr>
          <w:rFonts w:eastAsia="Times New Roman"/>
          <w:lang w:eastAsia="en-GB"/>
        </w:rPr>
        <w:t xml:space="preserve"> Sander</w:t>
      </w:r>
      <w:r w:rsidR="00DF2DC4">
        <w:rPr>
          <w:rFonts w:eastAsia="Times New Roman"/>
          <w:lang w:eastAsia="en-GB"/>
        </w:rPr>
        <w:t>s</w:t>
      </w:r>
      <w:r w:rsidRPr="0084741D">
        <w:rPr>
          <w:rFonts w:eastAsia="Times New Roman"/>
          <w:lang w:eastAsia="en-GB"/>
        </w:rPr>
        <w:t>, 2006a). Academic confidence has been linked to academic capability and ultimately, to academic achievement (de la Fuente et.al., 2013). In this study, academic confidence was gauged using the Academic Behavioural Confidence (ABC) Scale, a metric designed to explore and explain differences in the study behaviours and learning strategies of students at university (Sander and Sanders, 2003, 2006a, 2009). The ABC Scale draws from the Social Cognitive Theory (SCT) of Bandura, and particularly the application of SCT to learning through the concept of self-efficacy (Bandura, 1997), considered as the parent construct of academic confidence (op cit, 2006a).</w:t>
      </w:r>
    </w:p>
    <w:bookmarkEnd w:id="13"/>
    <w:p w14:paraId="539ED32F" w14:textId="71D6B668" w:rsidR="001B1009" w:rsidRPr="001B1009" w:rsidRDefault="001B1009" w:rsidP="001B1009">
      <w:pPr>
        <w:rPr>
          <w:rFonts w:ascii="Times New Roman" w:eastAsia="Times New Roman" w:hAnsi="Times New Roman" w:cs="Times New Roman"/>
          <w:sz w:val="24"/>
          <w:szCs w:val="24"/>
          <w:lang w:eastAsia="en-GB"/>
        </w:rPr>
      </w:pPr>
      <w:r w:rsidRPr="001B1009">
        <w:rPr>
          <w:rFonts w:eastAsia="Times New Roman"/>
          <w:lang w:eastAsia="en-GB"/>
        </w:rPr>
        <w:t>Data was collected by self-report questionnaire from a sample of n=166 university students, who had declared either a dyslexic learning difference or not. By comparing differences in ABC between students with dyslexia and those with no identified dyslexia, evidence emerged that the non-dyslexic students showed significantly</w:t>
      </w:r>
      <w:r w:rsidR="005F78BC">
        <w:rPr>
          <w:rFonts w:eastAsia="Times New Roman"/>
          <w:lang w:eastAsia="en-GB"/>
        </w:rPr>
        <w:t xml:space="preserve"> </w:t>
      </w:r>
      <w:r w:rsidRPr="001B1009">
        <w:rPr>
          <w:rFonts w:eastAsia="Times New Roman"/>
          <w:lang w:eastAsia="en-GB"/>
        </w:rPr>
        <w:t>higher levels of academic confidence than their dyslexia-identified peers, principally indicated</w:t>
      </w:r>
      <w:r w:rsidR="005F78BC">
        <w:rPr>
          <w:rFonts w:eastAsia="Times New Roman"/>
          <w:lang w:eastAsia="en-GB"/>
        </w:rPr>
        <w:t xml:space="preserve"> </w:t>
      </w:r>
      <w:r w:rsidRPr="001B1009">
        <w:rPr>
          <w:rFonts w:eastAsia="Times New Roman"/>
          <w:lang w:eastAsia="en-GB"/>
        </w:rPr>
        <w:t xml:space="preserve">by a </w:t>
      </w:r>
      <w:r w:rsidR="00A10B3D">
        <w:rPr>
          <w:rFonts w:eastAsia="Times New Roman"/>
          <w:lang w:eastAsia="en-GB"/>
        </w:rPr>
        <w:t>moderate</w:t>
      </w:r>
      <w:r w:rsidR="005F78BC">
        <w:rPr>
          <w:rFonts w:eastAsia="Times New Roman"/>
          <w:lang w:eastAsia="en-GB"/>
        </w:rPr>
        <w:t>-to-large</w:t>
      </w:r>
      <w:r w:rsidRPr="001B1009">
        <w:rPr>
          <w:rFonts w:eastAsia="Times New Roman"/>
          <w:lang w:eastAsia="en-GB"/>
        </w:rPr>
        <w:t xml:space="preserve"> effect size</w:t>
      </w:r>
      <w:r w:rsidR="005F78BC">
        <w:rPr>
          <w:rFonts w:eastAsia="Times New Roman"/>
          <w:lang w:eastAsia="en-GB"/>
        </w:rPr>
        <w:t xml:space="preserve"> range</w:t>
      </w:r>
      <w:r w:rsidRPr="001B1009">
        <w:rPr>
          <w:rFonts w:eastAsia="Times New Roman"/>
          <w:lang w:eastAsia="en-GB"/>
        </w:rPr>
        <w:t xml:space="preserve"> (</w:t>
      </w:r>
      <w:r w:rsidR="005F78BC">
        <w:rPr>
          <w:rFonts w:eastAsia="Times New Roman"/>
          <w:lang w:eastAsia="en-GB"/>
        </w:rPr>
        <w:t xml:space="preserve">0.532 &lt; </w:t>
      </w:r>
      <w:r w:rsidRPr="00266998">
        <w:rPr>
          <w:rFonts w:eastAsia="Times New Roman"/>
          <w:i/>
          <w:iCs/>
          <w:bdr w:val="none" w:sz="0" w:space="0" w:color="auto" w:frame="1"/>
          <w:lang w:eastAsia="en-GB"/>
        </w:rPr>
        <w:t>g</w:t>
      </w:r>
      <w:r w:rsidRPr="001B1009">
        <w:rPr>
          <w:rFonts w:eastAsia="Times New Roman"/>
          <w:b/>
          <w:bCs/>
          <w:i/>
          <w:iCs/>
          <w:bdr w:val="none" w:sz="0" w:space="0" w:color="auto" w:frame="1"/>
          <w:lang w:eastAsia="en-GB"/>
        </w:rPr>
        <w:t> </w:t>
      </w:r>
      <w:r w:rsidR="005F78BC">
        <w:rPr>
          <w:rFonts w:eastAsia="Times New Roman"/>
          <w:lang w:eastAsia="en-GB"/>
        </w:rPr>
        <w:t>&lt; 1.086</w:t>
      </w:r>
      <w:r w:rsidRPr="001B1009">
        <w:rPr>
          <w:rFonts w:eastAsia="Times New Roman"/>
          <w:lang w:eastAsia="en-GB"/>
        </w:rPr>
        <w:t xml:space="preserve">). From the non-dyslexic group, a sub-group of quasi-dyslexic students was identified, being those who presented attributes </w:t>
      </w:r>
      <w:r w:rsidRPr="001B1009">
        <w:rPr>
          <w:rFonts w:eastAsia="Times New Roman"/>
          <w:lang w:eastAsia="en-GB"/>
        </w:rPr>
        <w:lastRenderedPageBreak/>
        <w:t>and characteristics that were similar to those in the dyslexic group. To achieve this, a fresh metric was developed, the Dyslexia Index (Dx) Profiler, which framed dyslexia through the lens of study skills and learning behaviours at university. Existing dyslexia screeners were considered to be ethically inappropriate for this study. The academic confidence of students in the quasi-dyslexic group was compared to those in the dyslexic group, and the remainder of the non-dyslexic group. The quasi-dyslexic students also had s</w:t>
      </w:r>
      <w:r w:rsidR="00A10B3D">
        <w:rPr>
          <w:rFonts w:eastAsia="Times New Roman"/>
          <w:lang w:eastAsia="en-GB"/>
        </w:rPr>
        <w:t>ubstantially</w:t>
      </w:r>
      <w:r w:rsidRPr="001B1009">
        <w:rPr>
          <w:rFonts w:eastAsia="Times New Roman"/>
          <w:lang w:eastAsia="en-GB"/>
        </w:rPr>
        <w:t xml:space="preserve"> higher levels of academic confidence in comparison to</w:t>
      </w:r>
      <w:r w:rsidR="005F78BC">
        <w:rPr>
          <w:rFonts w:eastAsia="Times New Roman"/>
          <w:lang w:eastAsia="en-GB"/>
        </w:rPr>
        <w:t xml:space="preserve"> </w:t>
      </w:r>
      <w:r w:rsidRPr="001B1009">
        <w:rPr>
          <w:rFonts w:eastAsia="Times New Roman"/>
          <w:lang w:eastAsia="en-GB"/>
        </w:rPr>
        <w:t xml:space="preserve">their dyslexia-identified peers, indicated by a </w:t>
      </w:r>
      <w:r w:rsidR="00A10B3D">
        <w:rPr>
          <w:rFonts w:eastAsia="Times New Roman"/>
          <w:lang w:eastAsia="en-GB"/>
        </w:rPr>
        <w:t>small-to-</w:t>
      </w:r>
      <w:r w:rsidRPr="001B1009">
        <w:rPr>
          <w:rFonts w:eastAsia="Times New Roman"/>
          <w:lang w:eastAsia="en-GB"/>
        </w:rPr>
        <w:t xml:space="preserve">moderate effect size </w:t>
      </w:r>
      <w:r w:rsidR="00A10B3D">
        <w:rPr>
          <w:rFonts w:eastAsia="Times New Roman"/>
          <w:lang w:eastAsia="en-GB"/>
        </w:rPr>
        <w:t xml:space="preserve">range </w:t>
      </w:r>
      <w:r w:rsidRPr="001B1009">
        <w:rPr>
          <w:rFonts w:eastAsia="Times New Roman"/>
          <w:lang w:eastAsia="en-GB"/>
        </w:rPr>
        <w:t>(</w:t>
      </w:r>
      <w:r w:rsidR="005F78BC">
        <w:rPr>
          <w:rFonts w:eastAsia="Times New Roman"/>
          <w:lang w:eastAsia="en-GB"/>
        </w:rPr>
        <w:t xml:space="preserve">0.184 &lt; </w:t>
      </w:r>
      <w:r w:rsidRPr="00533FBF">
        <w:rPr>
          <w:rFonts w:eastAsia="Times New Roman"/>
          <w:i/>
          <w:iCs/>
          <w:bdr w:val="none" w:sz="0" w:space="0" w:color="auto" w:frame="1"/>
          <w:lang w:eastAsia="en-GB"/>
        </w:rPr>
        <w:t>g</w:t>
      </w:r>
      <w:r w:rsidRPr="001B1009">
        <w:rPr>
          <w:rFonts w:eastAsia="Times New Roman"/>
          <w:b/>
          <w:bCs/>
          <w:i/>
          <w:iCs/>
          <w:bdr w:val="none" w:sz="0" w:space="0" w:color="auto" w:frame="1"/>
          <w:lang w:eastAsia="en-GB"/>
        </w:rPr>
        <w:t> </w:t>
      </w:r>
      <w:r w:rsidR="005F78BC">
        <w:rPr>
          <w:rFonts w:eastAsia="Times New Roman"/>
          <w:lang w:eastAsia="en-GB"/>
        </w:rPr>
        <w:t xml:space="preserve">&lt; </w:t>
      </w:r>
      <w:r w:rsidRPr="001B1009">
        <w:rPr>
          <w:rFonts w:eastAsia="Times New Roman"/>
          <w:lang w:eastAsia="en-GB"/>
        </w:rPr>
        <w:t>0.4</w:t>
      </w:r>
      <w:r w:rsidR="005F78BC">
        <w:rPr>
          <w:rFonts w:eastAsia="Times New Roman"/>
          <w:lang w:eastAsia="en-GB"/>
        </w:rPr>
        <w:t>06</w:t>
      </w:r>
      <w:r w:rsidRPr="001B1009">
        <w:rPr>
          <w:rFonts w:eastAsia="Times New Roman"/>
          <w:lang w:eastAsia="en-GB"/>
        </w:rPr>
        <w:t>). For students in the dyslexic group, significant differences in ABC were also revealed as a function of how these students were told of their dyslexia, with those whose dyslexia had been diagnosed as a disability showing the lowest levels of ABC. To further explore more nuanced differences between the groups, both principal component analysis and a tentative regression analysis were used.</w:t>
      </w:r>
    </w:p>
    <w:p w14:paraId="6EADAB7B" w14:textId="0E296C11" w:rsidR="00C25704" w:rsidRDefault="0084741D" w:rsidP="0084741D">
      <w:r>
        <w:t xml:space="preserve">The main conclusion drawn from the analysis outcomes </w:t>
      </w:r>
      <w:r w:rsidR="00E46CB2">
        <w:t xml:space="preserve">was to suggest that identifying dyslexia in university students may be counter-productive, because </w:t>
      </w:r>
      <w:r w:rsidR="00DF2DC4">
        <w:t>this</w:t>
      </w:r>
      <w:r w:rsidR="00E46CB2">
        <w:t xml:space="preserve"> </w:t>
      </w:r>
      <w:r w:rsidR="00DF2DC4">
        <w:t>might</w:t>
      </w:r>
      <w:r w:rsidR="00E46CB2">
        <w:t xml:space="preserve"> negatively impact on academic confidence, and possibly on academic achievement.</w:t>
      </w:r>
    </w:p>
    <w:bookmarkEnd w:id="14"/>
    <w:p w14:paraId="034A676D" w14:textId="77777777" w:rsidR="00086112" w:rsidRDefault="00086112">
      <w:pPr>
        <w:spacing w:before="0" w:after="160" w:line="259" w:lineRule="auto"/>
      </w:pPr>
      <w:r>
        <w:br w:type="page"/>
      </w:r>
    </w:p>
    <w:p w14:paraId="2258AECC" w14:textId="77777777" w:rsidR="00086112" w:rsidRDefault="00086112" w:rsidP="00086112">
      <w:pPr>
        <w:pStyle w:val="Heading1"/>
      </w:pPr>
    </w:p>
    <w:p w14:paraId="3F3695BC" w14:textId="6B00228E" w:rsidR="00086112" w:rsidRDefault="00086112" w:rsidP="00086112">
      <w:pPr>
        <w:pStyle w:val="Heading1"/>
      </w:pPr>
      <w:bookmarkStart w:id="15" w:name="_Toc57035877"/>
      <w:r>
        <w:t>List of Abbreviations</w:t>
      </w:r>
      <w:bookmarkEnd w:id="15"/>
    </w:p>
    <w:tbl>
      <w:tblPr>
        <w:tblStyle w:val="ListTable7ColourfulAccent1"/>
        <w:tblW w:w="0" w:type="auto"/>
        <w:tblLook w:val="04A0" w:firstRow="1" w:lastRow="0" w:firstColumn="1" w:lastColumn="0" w:noHBand="0" w:noVBand="1"/>
      </w:tblPr>
      <w:tblGrid>
        <w:gridCol w:w="1701"/>
        <w:gridCol w:w="7078"/>
      </w:tblGrid>
      <w:tr w:rsidR="00086112" w14:paraId="5DF3F827" w14:textId="77777777" w:rsidTr="00E4771F">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1701" w:type="dxa"/>
            <w:vAlign w:val="center"/>
          </w:tcPr>
          <w:p w14:paraId="538A6AFC" w14:textId="0529B58A" w:rsidR="00086112" w:rsidRDefault="00086112" w:rsidP="00086112">
            <w:pPr>
              <w:spacing w:before="0" w:after="160" w:line="259" w:lineRule="auto"/>
            </w:pPr>
            <w:r>
              <w:t>Abbreviation</w:t>
            </w:r>
          </w:p>
        </w:tc>
        <w:tc>
          <w:tcPr>
            <w:tcW w:w="7078" w:type="dxa"/>
            <w:vAlign w:val="center"/>
          </w:tcPr>
          <w:p w14:paraId="003720DA" w14:textId="0161CF91" w:rsidR="00086112" w:rsidRPr="00086112" w:rsidRDefault="00086112" w:rsidP="00086112">
            <w:pPr>
              <w:spacing w:before="0" w:after="160" w:line="259" w:lineRule="auto"/>
              <w:cnfStyle w:val="100000000000" w:firstRow="1" w:lastRow="0" w:firstColumn="0" w:lastColumn="0" w:oddVBand="0" w:evenVBand="0" w:oddHBand="0" w:evenHBand="0" w:firstRowFirstColumn="0" w:firstRowLastColumn="0" w:lastRowFirstColumn="0" w:lastRowLastColumn="0"/>
              <w:rPr>
                <w:i w:val="0"/>
                <w:iCs w:val="0"/>
              </w:rPr>
            </w:pPr>
            <w:r>
              <w:rPr>
                <w:i w:val="0"/>
                <w:iCs w:val="0"/>
              </w:rPr>
              <w:t>Explanation</w:t>
            </w:r>
          </w:p>
        </w:tc>
      </w:tr>
      <w:tr w:rsidR="00086112" w14:paraId="25E43AA4" w14:textId="77777777" w:rsidTr="00E477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7383C968" w14:textId="61ABC80C" w:rsidR="00086112" w:rsidRDefault="00086112" w:rsidP="00086112">
            <w:pPr>
              <w:spacing w:before="0" w:after="160" w:line="259" w:lineRule="auto"/>
            </w:pPr>
            <w:r>
              <w:t>ABC</w:t>
            </w:r>
          </w:p>
        </w:tc>
        <w:tc>
          <w:tcPr>
            <w:tcW w:w="7078" w:type="dxa"/>
            <w:vAlign w:val="center"/>
          </w:tcPr>
          <w:p w14:paraId="21D28FD2" w14:textId="2DEC9EC4" w:rsidR="00086112" w:rsidRDefault="00086112" w:rsidP="00E4771F">
            <w:pPr>
              <w:spacing w:before="0" w:after="160" w:line="259" w:lineRule="auto"/>
              <w:cnfStyle w:val="000000100000" w:firstRow="0" w:lastRow="0" w:firstColumn="0" w:lastColumn="0" w:oddVBand="0" w:evenVBand="0" w:oddHBand="1" w:evenHBand="0" w:firstRowFirstColumn="0" w:firstRowLastColumn="0" w:lastRowFirstColumn="0" w:lastRowLastColumn="0"/>
            </w:pPr>
            <w:r>
              <w:t>Academic Behavioural Confidence</w:t>
            </w:r>
          </w:p>
        </w:tc>
      </w:tr>
      <w:tr w:rsidR="00640EE4" w14:paraId="5FB36294" w14:textId="77777777" w:rsidTr="00E4771F">
        <w:trPr>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7700D72F" w14:textId="7838826A" w:rsidR="00640EE4" w:rsidRDefault="00640EE4" w:rsidP="00086112">
            <w:pPr>
              <w:spacing w:before="0" w:after="160" w:line="259" w:lineRule="auto"/>
            </w:pPr>
            <w:r>
              <w:t>ACS</w:t>
            </w:r>
          </w:p>
        </w:tc>
        <w:tc>
          <w:tcPr>
            <w:tcW w:w="7078" w:type="dxa"/>
            <w:vAlign w:val="center"/>
          </w:tcPr>
          <w:p w14:paraId="764C144A" w14:textId="61EDF08B" w:rsidR="00640EE4" w:rsidRDefault="00640EE4" w:rsidP="00086112">
            <w:pPr>
              <w:spacing w:before="0" w:after="160" w:line="259" w:lineRule="auto"/>
              <w:cnfStyle w:val="000000000000" w:firstRow="0" w:lastRow="0" w:firstColumn="0" w:lastColumn="0" w:oddVBand="0" w:evenVBand="0" w:oddHBand="0" w:evenHBand="0" w:firstRowFirstColumn="0" w:firstRowLastColumn="0" w:lastRowFirstColumn="0" w:lastRowLastColumn="0"/>
            </w:pPr>
            <w:r>
              <w:t>Academic Confidence Scale</w:t>
            </w:r>
          </w:p>
        </w:tc>
      </w:tr>
      <w:tr w:rsidR="001E07BD" w14:paraId="3F79E5B3" w14:textId="77777777" w:rsidTr="00E477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02BFCE9B" w14:textId="6BCFC326" w:rsidR="001E07BD" w:rsidRDefault="001E07BD" w:rsidP="00086112">
            <w:pPr>
              <w:spacing w:before="0" w:after="160" w:line="259" w:lineRule="auto"/>
            </w:pPr>
            <w:r>
              <w:t>ADD</w:t>
            </w:r>
          </w:p>
        </w:tc>
        <w:tc>
          <w:tcPr>
            <w:tcW w:w="7078" w:type="dxa"/>
            <w:vAlign w:val="center"/>
          </w:tcPr>
          <w:p w14:paraId="1365B267" w14:textId="38B180C2" w:rsidR="001E07BD" w:rsidRDefault="001E07BD" w:rsidP="00086112">
            <w:pPr>
              <w:spacing w:before="0" w:after="160" w:line="259" w:lineRule="auto"/>
              <w:cnfStyle w:val="000000100000" w:firstRow="0" w:lastRow="0" w:firstColumn="0" w:lastColumn="0" w:oddVBand="0" w:evenVBand="0" w:oddHBand="1" w:evenHBand="0" w:firstRowFirstColumn="0" w:firstRowLastColumn="0" w:lastRowFirstColumn="0" w:lastRowLastColumn="0"/>
            </w:pPr>
            <w:r>
              <w:t>Attention Deficit Disorder</w:t>
            </w:r>
          </w:p>
        </w:tc>
      </w:tr>
      <w:tr w:rsidR="001E07BD" w14:paraId="3D9125BB" w14:textId="77777777" w:rsidTr="00E4771F">
        <w:trPr>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3592D7C9" w14:textId="165D1F42" w:rsidR="001E07BD" w:rsidRDefault="001E07BD" w:rsidP="00086112">
            <w:pPr>
              <w:spacing w:before="0" w:after="160" w:line="259" w:lineRule="auto"/>
            </w:pPr>
            <w:r>
              <w:t>ADHD</w:t>
            </w:r>
          </w:p>
        </w:tc>
        <w:tc>
          <w:tcPr>
            <w:tcW w:w="7078" w:type="dxa"/>
            <w:vAlign w:val="center"/>
          </w:tcPr>
          <w:p w14:paraId="5D6D1A27" w14:textId="662C864A" w:rsidR="001E07BD" w:rsidRDefault="001E07BD" w:rsidP="00086112">
            <w:pPr>
              <w:spacing w:before="0" w:after="160" w:line="259" w:lineRule="auto"/>
              <w:cnfStyle w:val="000000000000" w:firstRow="0" w:lastRow="0" w:firstColumn="0" w:lastColumn="0" w:oddVBand="0" w:evenVBand="0" w:oddHBand="0" w:evenHBand="0" w:firstRowFirstColumn="0" w:firstRowLastColumn="0" w:lastRowFirstColumn="0" w:lastRowLastColumn="0"/>
            </w:pPr>
            <w:r>
              <w:t>Attention Deficit Hyperactive Disorder</w:t>
            </w:r>
          </w:p>
        </w:tc>
      </w:tr>
      <w:tr w:rsidR="00086112" w14:paraId="5DA6DD76" w14:textId="77777777" w:rsidTr="00E477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79520D42" w14:textId="289CDA2F" w:rsidR="00086112" w:rsidRDefault="00086112" w:rsidP="00086112">
            <w:pPr>
              <w:spacing w:before="0" w:after="160" w:line="259" w:lineRule="auto"/>
            </w:pPr>
            <w:r>
              <w:t>ADSHE</w:t>
            </w:r>
          </w:p>
        </w:tc>
        <w:tc>
          <w:tcPr>
            <w:tcW w:w="7078" w:type="dxa"/>
            <w:vAlign w:val="center"/>
          </w:tcPr>
          <w:p w14:paraId="5BD38BCB" w14:textId="709A4B8B" w:rsidR="00086112" w:rsidRDefault="00086112" w:rsidP="00086112">
            <w:pPr>
              <w:spacing w:before="0" w:after="160" w:line="259" w:lineRule="auto"/>
              <w:cnfStyle w:val="000000100000" w:firstRow="0" w:lastRow="0" w:firstColumn="0" w:lastColumn="0" w:oddVBand="0" w:evenVBand="0" w:oddHBand="1" w:evenHBand="0" w:firstRowFirstColumn="0" w:firstRowLastColumn="0" w:lastRowFirstColumn="0" w:lastRowLastColumn="0"/>
            </w:pPr>
            <w:r>
              <w:t>Association of Dyslexia Specialists in Higher Education</w:t>
            </w:r>
          </w:p>
        </w:tc>
      </w:tr>
      <w:tr w:rsidR="00086112" w14:paraId="221B80DC" w14:textId="77777777" w:rsidTr="00E4771F">
        <w:trPr>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3FAA66C4" w14:textId="5E23BF37" w:rsidR="00086112" w:rsidRDefault="00086112" w:rsidP="00086112">
            <w:pPr>
              <w:spacing w:before="0" w:after="160" w:line="259" w:lineRule="auto"/>
            </w:pPr>
            <w:r>
              <w:t>BDA</w:t>
            </w:r>
          </w:p>
        </w:tc>
        <w:tc>
          <w:tcPr>
            <w:tcW w:w="7078" w:type="dxa"/>
            <w:vAlign w:val="center"/>
          </w:tcPr>
          <w:p w14:paraId="07354818" w14:textId="27FCA16C" w:rsidR="00086112" w:rsidRDefault="00086112" w:rsidP="00086112">
            <w:pPr>
              <w:spacing w:before="0" w:after="160" w:line="259" w:lineRule="auto"/>
              <w:cnfStyle w:val="000000000000" w:firstRow="0" w:lastRow="0" w:firstColumn="0" w:lastColumn="0" w:oddVBand="0" w:evenVBand="0" w:oddHBand="0" w:evenHBand="0" w:firstRowFirstColumn="0" w:firstRowLastColumn="0" w:lastRowFirstColumn="0" w:lastRowLastColumn="0"/>
            </w:pPr>
            <w:r>
              <w:t>British Dyslexia Association</w:t>
            </w:r>
          </w:p>
        </w:tc>
      </w:tr>
      <w:tr w:rsidR="001E07BD" w14:paraId="04BB6BBC" w14:textId="77777777" w:rsidTr="00E477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43077A59" w14:textId="71992A58" w:rsidR="001E07BD" w:rsidRDefault="001E07BD" w:rsidP="00086112">
            <w:pPr>
              <w:spacing w:before="0" w:after="160" w:line="259" w:lineRule="auto"/>
            </w:pPr>
            <w:r>
              <w:t>BRAIN.HE</w:t>
            </w:r>
          </w:p>
        </w:tc>
        <w:tc>
          <w:tcPr>
            <w:tcW w:w="7078" w:type="dxa"/>
            <w:vAlign w:val="center"/>
          </w:tcPr>
          <w:p w14:paraId="10ED9009" w14:textId="0C5DA33E" w:rsidR="001E07BD" w:rsidRDefault="001E07BD" w:rsidP="00086112">
            <w:pPr>
              <w:spacing w:before="0" w:after="160" w:line="259" w:lineRule="auto"/>
              <w:cnfStyle w:val="000000100000" w:firstRow="0" w:lastRow="0" w:firstColumn="0" w:lastColumn="0" w:oddVBand="0" w:evenVBand="0" w:oddHBand="1" w:evenHBand="0" w:firstRowFirstColumn="0" w:firstRowLastColumn="0" w:lastRowFirstColumn="0" w:lastRowLastColumn="0"/>
            </w:pPr>
            <w:r>
              <w:t>Best Resources for Achievement and Intervention re Neurodiversity in Higher Education</w:t>
            </w:r>
          </w:p>
        </w:tc>
      </w:tr>
      <w:tr w:rsidR="00086112" w14:paraId="3E1482D8" w14:textId="77777777" w:rsidTr="00E4771F">
        <w:trPr>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142B3DFC" w14:textId="329AFCF7" w:rsidR="00086112" w:rsidRDefault="001E07BD" w:rsidP="00086112">
            <w:pPr>
              <w:spacing w:before="0" w:after="160" w:line="259" w:lineRule="auto"/>
            </w:pPr>
            <w:r>
              <w:t>CDT</w:t>
            </w:r>
          </w:p>
        </w:tc>
        <w:tc>
          <w:tcPr>
            <w:tcW w:w="7078" w:type="dxa"/>
            <w:vAlign w:val="center"/>
          </w:tcPr>
          <w:p w14:paraId="59F599A7" w14:textId="514364D2" w:rsidR="00086112" w:rsidRDefault="001E07BD" w:rsidP="00086112">
            <w:pPr>
              <w:spacing w:before="0" w:after="160" w:line="259" w:lineRule="auto"/>
              <w:cnfStyle w:val="000000000000" w:firstRow="0" w:lastRow="0" w:firstColumn="0" w:lastColumn="0" w:oddVBand="0" w:evenVBand="0" w:oddHBand="0" w:evenHBand="0" w:firstRowFirstColumn="0" w:firstRowLastColumn="0" w:lastRowFirstColumn="0" w:lastRowLastColumn="0"/>
            </w:pPr>
            <w:r>
              <w:t>Cerebellar Deficit Theory</w:t>
            </w:r>
          </w:p>
        </w:tc>
      </w:tr>
      <w:tr w:rsidR="00640EE4" w14:paraId="1AB15126" w14:textId="77777777" w:rsidTr="00E477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3E2CFE90" w14:textId="1939E874" w:rsidR="00640EE4" w:rsidRDefault="00640EE4" w:rsidP="00086112">
            <w:pPr>
              <w:spacing w:before="0" w:after="160" w:line="259" w:lineRule="auto"/>
            </w:pPr>
            <w:r>
              <w:t>DAST</w:t>
            </w:r>
          </w:p>
        </w:tc>
        <w:tc>
          <w:tcPr>
            <w:tcW w:w="7078" w:type="dxa"/>
            <w:vAlign w:val="center"/>
          </w:tcPr>
          <w:p w14:paraId="5F2E9FB2" w14:textId="6600319D" w:rsidR="00640EE4" w:rsidRDefault="00640EE4" w:rsidP="00086112">
            <w:pPr>
              <w:spacing w:before="0" w:after="160" w:line="259" w:lineRule="auto"/>
              <w:cnfStyle w:val="000000100000" w:firstRow="0" w:lastRow="0" w:firstColumn="0" w:lastColumn="0" w:oddVBand="0" w:evenVBand="0" w:oddHBand="1" w:evenHBand="0" w:firstRowFirstColumn="0" w:firstRowLastColumn="0" w:lastRowFirstColumn="0" w:lastRowLastColumn="0"/>
            </w:pPr>
            <w:r>
              <w:t>Dyslexia Adult Screening Test</w:t>
            </w:r>
          </w:p>
        </w:tc>
      </w:tr>
      <w:tr w:rsidR="00086112" w14:paraId="4596DB3B" w14:textId="77777777" w:rsidTr="00E4771F">
        <w:trPr>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33EC76E1" w14:textId="66AA9311" w:rsidR="00086112" w:rsidRDefault="001E07BD" w:rsidP="00086112">
            <w:pPr>
              <w:spacing w:before="0" w:after="160" w:line="259" w:lineRule="auto"/>
            </w:pPr>
            <w:r>
              <w:t>DSA</w:t>
            </w:r>
          </w:p>
        </w:tc>
        <w:tc>
          <w:tcPr>
            <w:tcW w:w="7078" w:type="dxa"/>
            <w:vAlign w:val="center"/>
          </w:tcPr>
          <w:p w14:paraId="11996A7C" w14:textId="7B76F214" w:rsidR="00086112" w:rsidRDefault="001E07BD" w:rsidP="00086112">
            <w:pPr>
              <w:spacing w:before="0" w:after="160" w:line="259" w:lineRule="auto"/>
              <w:cnfStyle w:val="000000000000" w:firstRow="0" w:lastRow="0" w:firstColumn="0" w:lastColumn="0" w:oddVBand="0" w:evenVBand="0" w:oddHBand="0" w:evenHBand="0" w:firstRowFirstColumn="0" w:firstRowLastColumn="0" w:lastRowFirstColumn="0" w:lastRowLastColumn="0"/>
            </w:pPr>
            <w:r>
              <w:t>Disabled Students' Allowance</w:t>
            </w:r>
          </w:p>
        </w:tc>
      </w:tr>
      <w:tr w:rsidR="00086112" w14:paraId="1443BD70" w14:textId="77777777" w:rsidTr="00E477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47654B83" w14:textId="0EC0CFE4" w:rsidR="00086112" w:rsidRDefault="00086112" w:rsidP="00086112">
            <w:pPr>
              <w:spacing w:before="0" w:after="160" w:line="259" w:lineRule="auto"/>
            </w:pPr>
            <w:r>
              <w:t>Dx</w:t>
            </w:r>
          </w:p>
        </w:tc>
        <w:tc>
          <w:tcPr>
            <w:tcW w:w="7078" w:type="dxa"/>
            <w:vAlign w:val="center"/>
          </w:tcPr>
          <w:p w14:paraId="140EBBB5" w14:textId="55A6ECAD" w:rsidR="00086112" w:rsidRDefault="00086112" w:rsidP="00086112">
            <w:pPr>
              <w:spacing w:before="0" w:after="160" w:line="259" w:lineRule="auto"/>
              <w:cnfStyle w:val="000000100000" w:firstRow="0" w:lastRow="0" w:firstColumn="0" w:lastColumn="0" w:oddVBand="0" w:evenVBand="0" w:oddHBand="1" w:evenHBand="0" w:firstRowFirstColumn="0" w:firstRowLastColumn="0" w:lastRowFirstColumn="0" w:lastRowLastColumn="0"/>
            </w:pPr>
            <w:r>
              <w:t>Dyslexia Index</w:t>
            </w:r>
          </w:p>
        </w:tc>
      </w:tr>
      <w:tr w:rsidR="005F78BC" w14:paraId="4F154B92" w14:textId="77777777" w:rsidTr="00E4771F">
        <w:trPr>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04A4E286" w14:textId="69D04DFB" w:rsidR="005F78BC" w:rsidRDefault="005F78BC" w:rsidP="00086112">
            <w:pPr>
              <w:spacing w:before="0" w:after="160" w:line="259" w:lineRule="auto"/>
            </w:pPr>
            <w:r>
              <w:t>EMCS</w:t>
            </w:r>
          </w:p>
        </w:tc>
        <w:tc>
          <w:tcPr>
            <w:tcW w:w="7078" w:type="dxa"/>
            <w:vAlign w:val="center"/>
          </w:tcPr>
          <w:p w14:paraId="4492CED3" w14:textId="54F7E0E1" w:rsidR="005F78BC" w:rsidRDefault="005F78BC" w:rsidP="00086112">
            <w:pPr>
              <w:spacing w:before="0" w:after="160" w:line="259" w:lineRule="auto"/>
              <w:cnfStyle w:val="000000000000" w:firstRow="0" w:lastRow="0" w:firstColumn="0" w:lastColumn="0" w:oddVBand="0" w:evenVBand="0" w:oddHBand="0" w:evenHBand="0" w:firstRowFirstColumn="0" w:firstRowLastColumn="0" w:lastRowFirstColumn="0" w:lastRowLastColumn="0"/>
            </w:pPr>
            <w:r>
              <w:t>Eigenvalue Monte Carlo Simulation</w:t>
            </w:r>
          </w:p>
        </w:tc>
      </w:tr>
      <w:tr w:rsidR="00086112" w14:paraId="5BB7E61F" w14:textId="77777777" w:rsidTr="00E477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3375C640" w14:textId="72EC7931" w:rsidR="00086112" w:rsidRDefault="001E07BD" w:rsidP="00086112">
            <w:pPr>
              <w:spacing w:before="0" w:after="160" w:line="259" w:lineRule="auto"/>
            </w:pPr>
            <w:r>
              <w:t>HE</w:t>
            </w:r>
          </w:p>
        </w:tc>
        <w:tc>
          <w:tcPr>
            <w:tcW w:w="7078" w:type="dxa"/>
            <w:vAlign w:val="center"/>
          </w:tcPr>
          <w:p w14:paraId="48435F9D" w14:textId="61011DEA" w:rsidR="00086112" w:rsidRDefault="001E07BD" w:rsidP="00086112">
            <w:pPr>
              <w:spacing w:before="0" w:after="160" w:line="259" w:lineRule="auto"/>
              <w:cnfStyle w:val="000000100000" w:firstRow="0" w:lastRow="0" w:firstColumn="0" w:lastColumn="0" w:oddVBand="0" w:evenVBand="0" w:oddHBand="1" w:evenHBand="0" w:firstRowFirstColumn="0" w:firstRowLastColumn="0" w:lastRowFirstColumn="0" w:lastRowLastColumn="0"/>
            </w:pPr>
            <w:r>
              <w:t>Higher Education</w:t>
            </w:r>
          </w:p>
        </w:tc>
      </w:tr>
      <w:tr w:rsidR="00640EE4" w14:paraId="0DCCCA0D" w14:textId="77777777" w:rsidTr="00E4771F">
        <w:trPr>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27DB099C" w14:textId="2371B6EB" w:rsidR="00640EE4" w:rsidRDefault="00640EE4" w:rsidP="00086112">
            <w:pPr>
              <w:spacing w:before="0" w:after="160" w:line="259" w:lineRule="auto"/>
            </w:pPr>
            <w:r>
              <w:t>HESA</w:t>
            </w:r>
          </w:p>
        </w:tc>
        <w:tc>
          <w:tcPr>
            <w:tcW w:w="7078" w:type="dxa"/>
            <w:vAlign w:val="center"/>
          </w:tcPr>
          <w:p w14:paraId="190C740D" w14:textId="240C7FDE" w:rsidR="00640EE4" w:rsidRDefault="00640EE4" w:rsidP="00086112">
            <w:pPr>
              <w:spacing w:before="0" w:after="160" w:line="259" w:lineRule="auto"/>
              <w:cnfStyle w:val="000000000000" w:firstRow="0" w:lastRow="0" w:firstColumn="0" w:lastColumn="0" w:oddVBand="0" w:evenVBand="0" w:oddHBand="0" w:evenHBand="0" w:firstRowFirstColumn="0" w:firstRowLastColumn="0" w:lastRowFirstColumn="0" w:lastRowLastColumn="0"/>
            </w:pPr>
            <w:r>
              <w:t>Higher Education Statistics Agency</w:t>
            </w:r>
          </w:p>
        </w:tc>
      </w:tr>
      <w:tr w:rsidR="00C82A14" w14:paraId="62F417EF" w14:textId="77777777" w:rsidTr="00E477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4ED8F7FC" w14:textId="289C60DA" w:rsidR="00C82A14" w:rsidRDefault="00C82A14" w:rsidP="00086112">
            <w:pPr>
              <w:spacing w:before="0" w:after="160" w:line="259" w:lineRule="auto"/>
            </w:pPr>
            <w:r>
              <w:t>IPA</w:t>
            </w:r>
          </w:p>
        </w:tc>
        <w:tc>
          <w:tcPr>
            <w:tcW w:w="7078" w:type="dxa"/>
            <w:vAlign w:val="center"/>
          </w:tcPr>
          <w:p w14:paraId="74AE6F63" w14:textId="50CEF58B" w:rsidR="00C82A14" w:rsidRDefault="00C82A14" w:rsidP="00086112">
            <w:pPr>
              <w:spacing w:before="0" w:after="160" w:line="259" w:lineRule="auto"/>
              <w:cnfStyle w:val="000000100000" w:firstRow="0" w:lastRow="0" w:firstColumn="0" w:lastColumn="0" w:oddVBand="0" w:evenVBand="0" w:oddHBand="1" w:evenHBand="0" w:firstRowFirstColumn="0" w:firstRowLastColumn="0" w:lastRowFirstColumn="0" w:lastRowLastColumn="0"/>
            </w:pPr>
            <w:r>
              <w:t>Interpre</w:t>
            </w:r>
            <w:r w:rsidR="00B122D9">
              <w:t>ta</w:t>
            </w:r>
            <w:r>
              <w:t>tive Phenomenological Analysis</w:t>
            </w:r>
          </w:p>
        </w:tc>
      </w:tr>
      <w:tr w:rsidR="00640EE4" w14:paraId="4FC8F5E1" w14:textId="77777777" w:rsidTr="00E4771F">
        <w:trPr>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696B6E0E" w14:textId="3009F05C" w:rsidR="00640EE4" w:rsidRDefault="00640EE4" w:rsidP="00086112">
            <w:pPr>
              <w:spacing w:before="0" w:after="160" w:line="259" w:lineRule="auto"/>
            </w:pPr>
            <w:r>
              <w:t>LADS</w:t>
            </w:r>
          </w:p>
        </w:tc>
        <w:tc>
          <w:tcPr>
            <w:tcW w:w="7078" w:type="dxa"/>
            <w:vAlign w:val="center"/>
          </w:tcPr>
          <w:p w14:paraId="5969ED7F" w14:textId="31788BD2" w:rsidR="00640EE4" w:rsidRDefault="00640EE4" w:rsidP="00086112">
            <w:pPr>
              <w:spacing w:before="0" w:after="160" w:line="259" w:lineRule="auto"/>
              <w:cnfStyle w:val="000000000000" w:firstRow="0" w:lastRow="0" w:firstColumn="0" w:lastColumn="0" w:oddVBand="0" w:evenVBand="0" w:oddHBand="0" w:evenHBand="0" w:firstRowFirstColumn="0" w:firstRowLastColumn="0" w:lastRowFirstColumn="0" w:lastRowLastColumn="0"/>
            </w:pPr>
            <w:r>
              <w:t>Lucid Adult Dyslexia Screener</w:t>
            </w:r>
          </w:p>
        </w:tc>
      </w:tr>
      <w:tr w:rsidR="00F64A21" w14:paraId="7D1D5611" w14:textId="77777777" w:rsidTr="00E477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0466DF6A" w14:textId="7C173C12" w:rsidR="00F64A21" w:rsidRDefault="00F64A21" w:rsidP="00086112">
            <w:pPr>
              <w:spacing w:before="0" w:after="160" w:line="259" w:lineRule="auto"/>
            </w:pPr>
            <w:r>
              <w:t>MSc</w:t>
            </w:r>
          </w:p>
        </w:tc>
        <w:tc>
          <w:tcPr>
            <w:tcW w:w="7078" w:type="dxa"/>
            <w:vAlign w:val="center"/>
          </w:tcPr>
          <w:p w14:paraId="7995A664" w14:textId="17386DAF" w:rsidR="00F64A21" w:rsidRDefault="00F64A21" w:rsidP="00086112">
            <w:pPr>
              <w:spacing w:before="0" w:after="160" w:line="259" w:lineRule="auto"/>
              <w:cnfStyle w:val="000000100000" w:firstRow="0" w:lastRow="0" w:firstColumn="0" w:lastColumn="0" w:oddVBand="0" w:evenVBand="0" w:oddHBand="1" w:evenHBand="0" w:firstRowFirstColumn="0" w:firstRowLastColumn="0" w:lastRowFirstColumn="0" w:lastRowLastColumn="0"/>
            </w:pPr>
            <w:r>
              <w:t>Master of Science</w:t>
            </w:r>
          </w:p>
        </w:tc>
      </w:tr>
      <w:tr w:rsidR="00086112" w14:paraId="7F5D150E" w14:textId="77777777" w:rsidTr="00E4771F">
        <w:trPr>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3904162B" w14:textId="49EBF707" w:rsidR="00086112" w:rsidRDefault="001E07BD" w:rsidP="00086112">
            <w:pPr>
              <w:spacing w:before="0" w:after="160" w:line="259" w:lineRule="auto"/>
            </w:pPr>
            <w:r>
              <w:t>MIS</w:t>
            </w:r>
          </w:p>
        </w:tc>
        <w:tc>
          <w:tcPr>
            <w:tcW w:w="7078" w:type="dxa"/>
            <w:vAlign w:val="center"/>
          </w:tcPr>
          <w:p w14:paraId="6CD34077" w14:textId="7AE8F8DF" w:rsidR="00086112" w:rsidRDefault="001E07BD" w:rsidP="00086112">
            <w:pPr>
              <w:spacing w:before="0" w:after="160" w:line="259" w:lineRule="auto"/>
              <w:cnfStyle w:val="000000000000" w:firstRow="0" w:lastRow="0" w:firstColumn="0" w:lastColumn="0" w:oddVBand="0" w:evenVBand="0" w:oddHBand="0" w:evenHBand="0" w:firstRowFirstColumn="0" w:firstRowLastColumn="0" w:lastRowFirstColumn="0" w:lastRowLastColumn="0"/>
            </w:pPr>
            <w:r>
              <w:t>Meares-Irlen Syndrome</w:t>
            </w:r>
          </w:p>
        </w:tc>
      </w:tr>
      <w:tr w:rsidR="004B1DBE" w14:paraId="75B9D9CB" w14:textId="77777777" w:rsidTr="00E477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1CFB5C4A" w14:textId="45FE21F4" w:rsidR="004B1DBE" w:rsidRDefault="004B1DBE" w:rsidP="00086112">
            <w:pPr>
              <w:spacing w:before="0" w:after="160" w:line="259" w:lineRule="auto"/>
            </w:pPr>
            <w:r>
              <w:t>NHST</w:t>
            </w:r>
          </w:p>
        </w:tc>
        <w:tc>
          <w:tcPr>
            <w:tcW w:w="7078" w:type="dxa"/>
            <w:vAlign w:val="center"/>
          </w:tcPr>
          <w:p w14:paraId="7210487D" w14:textId="5DE97B40" w:rsidR="004B1DBE" w:rsidRDefault="004B1DBE" w:rsidP="00086112">
            <w:pPr>
              <w:spacing w:before="0" w:after="160" w:line="259" w:lineRule="auto"/>
              <w:cnfStyle w:val="000000100000" w:firstRow="0" w:lastRow="0" w:firstColumn="0" w:lastColumn="0" w:oddVBand="0" w:evenVBand="0" w:oddHBand="1" w:evenHBand="0" w:firstRowFirstColumn="0" w:firstRowLastColumn="0" w:lastRowFirstColumn="0" w:lastRowLastColumn="0"/>
            </w:pPr>
            <w:r>
              <w:t>Null Hypothesis Significance Testing</w:t>
            </w:r>
          </w:p>
        </w:tc>
      </w:tr>
      <w:tr w:rsidR="0061247E" w14:paraId="5652F1F3" w14:textId="77777777" w:rsidTr="00E4771F">
        <w:trPr>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1A6704A7" w14:textId="7A04329D" w:rsidR="0061247E" w:rsidRDefault="0061247E" w:rsidP="00086112">
            <w:pPr>
              <w:spacing w:before="0" w:after="160" w:line="259" w:lineRule="auto"/>
            </w:pPr>
            <w:r>
              <w:t>PCA</w:t>
            </w:r>
          </w:p>
        </w:tc>
        <w:tc>
          <w:tcPr>
            <w:tcW w:w="7078" w:type="dxa"/>
            <w:vAlign w:val="center"/>
          </w:tcPr>
          <w:p w14:paraId="7D2A2ED1" w14:textId="648F0DC7" w:rsidR="0061247E" w:rsidRDefault="0061247E" w:rsidP="00086112">
            <w:pPr>
              <w:spacing w:before="0" w:after="160" w:line="259" w:lineRule="auto"/>
              <w:cnfStyle w:val="000000000000" w:firstRow="0" w:lastRow="0" w:firstColumn="0" w:lastColumn="0" w:oddVBand="0" w:evenVBand="0" w:oddHBand="0" w:evenHBand="0" w:firstRowFirstColumn="0" w:firstRowLastColumn="0" w:lastRowFirstColumn="0" w:lastRowLastColumn="0"/>
            </w:pPr>
            <w:r>
              <w:t>Principal Component Analysis</w:t>
            </w:r>
          </w:p>
        </w:tc>
      </w:tr>
      <w:tr w:rsidR="0061247E" w14:paraId="26E9D159" w14:textId="77777777" w:rsidTr="00E477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79B1819A" w14:textId="00685D75" w:rsidR="0061247E" w:rsidRDefault="0061247E" w:rsidP="00086112">
            <w:pPr>
              <w:spacing w:before="0" w:after="160" w:line="259" w:lineRule="auto"/>
            </w:pPr>
            <w:r>
              <w:t>QAA</w:t>
            </w:r>
          </w:p>
        </w:tc>
        <w:tc>
          <w:tcPr>
            <w:tcW w:w="7078" w:type="dxa"/>
            <w:vAlign w:val="center"/>
          </w:tcPr>
          <w:p w14:paraId="29C5DE31" w14:textId="6BF49CD6" w:rsidR="0061247E" w:rsidRDefault="0061247E" w:rsidP="00086112">
            <w:pPr>
              <w:spacing w:before="0" w:after="160" w:line="259" w:lineRule="auto"/>
              <w:cnfStyle w:val="000000100000" w:firstRow="0" w:lastRow="0" w:firstColumn="0" w:lastColumn="0" w:oddVBand="0" w:evenVBand="0" w:oddHBand="1" w:evenHBand="0" w:firstRowFirstColumn="0" w:firstRowLastColumn="0" w:lastRowFirstColumn="0" w:lastRowLastColumn="0"/>
            </w:pPr>
            <w:r>
              <w:t>Quality Assurance Agency for Higher Education</w:t>
            </w:r>
          </w:p>
        </w:tc>
      </w:tr>
      <w:tr w:rsidR="0061247E" w14:paraId="1BF9105B" w14:textId="77777777" w:rsidTr="00E4771F">
        <w:trPr>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7BBE0546" w14:textId="5F3C19DF" w:rsidR="0061247E" w:rsidRDefault="0061247E" w:rsidP="00086112">
            <w:pPr>
              <w:spacing w:before="0" w:after="160" w:line="259" w:lineRule="auto"/>
            </w:pPr>
            <w:r>
              <w:t>QRI</w:t>
            </w:r>
          </w:p>
        </w:tc>
        <w:tc>
          <w:tcPr>
            <w:tcW w:w="7078" w:type="dxa"/>
            <w:vAlign w:val="center"/>
          </w:tcPr>
          <w:p w14:paraId="43DD4DA8" w14:textId="00A7167B" w:rsidR="0061247E" w:rsidRDefault="0061247E" w:rsidP="00086112">
            <w:pPr>
              <w:spacing w:before="0" w:after="160" w:line="259" w:lineRule="auto"/>
              <w:cnfStyle w:val="000000000000" w:firstRow="0" w:lastRow="0" w:firstColumn="0" w:lastColumn="0" w:oddVBand="0" w:evenVBand="0" w:oddHBand="0" w:evenHBand="0" w:firstRowFirstColumn="0" w:firstRowLastColumn="0" w:lastRowFirstColumn="0" w:lastRowLastColumn="0"/>
            </w:pPr>
            <w:r>
              <w:t>Questionnaire Response Identifier</w:t>
            </w:r>
          </w:p>
        </w:tc>
      </w:tr>
      <w:tr w:rsidR="0061247E" w14:paraId="144C2EE5" w14:textId="77777777" w:rsidTr="00E477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48165120" w14:textId="03257E81" w:rsidR="0061247E" w:rsidRDefault="0061247E" w:rsidP="00086112">
            <w:pPr>
              <w:spacing w:before="0" w:after="160" w:line="259" w:lineRule="auto"/>
            </w:pPr>
            <w:r>
              <w:t>RG:DI</w:t>
            </w:r>
          </w:p>
        </w:tc>
        <w:tc>
          <w:tcPr>
            <w:tcW w:w="7078" w:type="dxa"/>
            <w:vAlign w:val="center"/>
          </w:tcPr>
          <w:p w14:paraId="1B33262C" w14:textId="039BA2AE" w:rsidR="0061247E" w:rsidRDefault="0061247E" w:rsidP="00086112">
            <w:pPr>
              <w:spacing w:before="0" w:after="160" w:line="259" w:lineRule="auto"/>
              <w:cnfStyle w:val="000000100000" w:firstRow="0" w:lastRow="0" w:firstColumn="0" w:lastColumn="0" w:oddVBand="0" w:evenVBand="0" w:oddHBand="1" w:evenHBand="0" w:firstRowFirstColumn="0" w:firstRowLastColumn="0" w:lastRowFirstColumn="0" w:lastRowLastColumn="0"/>
            </w:pPr>
            <w:r>
              <w:t>Research Group DI - students with identified dyslexia</w:t>
            </w:r>
          </w:p>
        </w:tc>
      </w:tr>
      <w:tr w:rsidR="0061247E" w14:paraId="2B454629" w14:textId="77777777" w:rsidTr="00E4771F">
        <w:trPr>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5F004FCB" w14:textId="60D11436" w:rsidR="0061247E" w:rsidRDefault="0061247E" w:rsidP="00086112">
            <w:pPr>
              <w:spacing w:before="0" w:after="160" w:line="259" w:lineRule="auto"/>
            </w:pPr>
            <w:r>
              <w:lastRenderedPageBreak/>
              <w:t>RG:DNI</w:t>
            </w:r>
          </w:p>
        </w:tc>
        <w:tc>
          <w:tcPr>
            <w:tcW w:w="7078" w:type="dxa"/>
            <w:vAlign w:val="center"/>
          </w:tcPr>
          <w:p w14:paraId="2A0209F8" w14:textId="710544D7" w:rsidR="0061247E" w:rsidRDefault="0061247E" w:rsidP="00086112">
            <w:pPr>
              <w:spacing w:before="0" w:after="160" w:line="259" w:lineRule="auto"/>
              <w:cnfStyle w:val="000000000000" w:firstRow="0" w:lastRow="0" w:firstColumn="0" w:lastColumn="0" w:oddVBand="0" w:evenVBand="0" w:oddHBand="0" w:evenHBand="0" w:firstRowFirstColumn="0" w:firstRowLastColumn="0" w:lastRowFirstColumn="0" w:lastRowLastColumn="0"/>
            </w:pPr>
            <w:r>
              <w:t>Research Group DNI - students with quasi-dyslexia</w:t>
            </w:r>
          </w:p>
        </w:tc>
      </w:tr>
      <w:tr w:rsidR="0061247E" w14:paraId="777C803B" w14:textId="77777777" w:rsidTr="00E477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0185A4AF" w14:textId="298A6C00" w:rsidR="0061247E" w:rsidRDefault="0061247E" w:rsidP="00086112">
            <w:pPr>
              <w:spacing w:before="0" w:after="160" w:line="259" w:lineRule="auto"/>
            </w:pPr>
            <w:r>
              <w:t>RG:ND</w:t>
            </w:r>
          </w:p>
        </w:tc>
        <w:tc>
          <w:tcPr>
            <w:tcW w:w="7078" w:type="dxa"/>
            <w:vAlign w:val="center"/>
          </w:tcPr>
          <w:p w14:paraId="7F0B81B9" w14:textId="660F6E4C" w:rsidR="0061247E" w:rsidRDefault="0061247E" w:rsidP="00086112">
            <w:pPr>
              <w:spacing w:before="0" w:after="160" w:line="259" w:lineRule="auto"/>
              <w:cnfStyle w:val="000000100000" w:firstRow="0" w:lastRow="0" w:firstColumn="0" w:lastColumn="0" w:oddVBand="0" w:evenVBand="0" w:oddHBand="1" w:evenHBand="0" w:firstRowFirstColumn="0" w:firstRowLastColumn="0" w:lastRowFirstColumn="0" w:lastRowLastColumn="0"/>
            </w:pPr>
            <w:r>
              <w:t>Research Group ND - students with no identified dyslexia</w:t>
            </w:r>
          </w:p>
        </w:tc>
      </w:tr>
      <w:tr w:rsidR="00086112" w14:paraId="364C8168" w14:textId="77777777" w:rsidTr="00E4771F">
        <w:trPr>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30FDB5CB" w14:textId="4F8C0F16" w:rsidR="00086112" w:rsidRDefault="00640EE4" w:rsidP="00086112">
            <w:pPr>
              <w:spacing w:before="0" w:after="160" w:line="259" w:lineRule="auto"/>
            </w:pPr>
            <w:r>
              <w:t>SATA</w:t>
            </w:r>
          </w:p>
        </w:tc>
        <w:tc>
          <w:tcPr>
            <w:tcW w:w="7078" w:type="dxa"/>
            <w:vAlign w:val="center"/>
          </w:tcPr>
          <w:p w14:paraId="10340264" w14:textId="2CDE901C" w:rsidR="00086112" w:rsidRDefault="00640EE4" w:rsidP="00086112">
            <w:pPr>
              <w:spacing w:before="0" w:after="160" w:line="259" w:lineRule="auto"/>
              <w:cnfStyle w:val="000000000000" w:firstRow="0" w:lastRow="0" w:firstColumn="0" w:lastColumn="0" w:oddVBand="0" w:evenVBand="0" w:oddHBand="0" w:evenHBand="0" w:firstRowFirstColumn="0" w:firstRowLastColumn="0" w:lastRowFirstColumn="0" w:lastRowLastColumn="0"/>
            </w:pPr>
            <w:r>
              <w:t>Scholastic Abilities Test for Adults</w:t>
            </w:r>
          </w:p>
        </w:tc>
      </w:tr>
      <w:tr w:rsidR="00086112" w14:paraId="0404EC80" w14:textId="77777777" w:rsidTr="00E477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300D4CC5" w14:textId="4C5A1592" w:rsidR="00086112" w:rsidRDefault="00086112" w:rsidP="00086112">
            <w:pPr>
              <w:spacing w:before="0" w:after="160" w:line="259" w:lineRule="auto"/>
            </w:pPr>
            <w:r>
              <w:t>SCT</w:t>
            </w:r>
          </w:p>
        </w:tc>
        <w:tc>
          <w:tcPr>
            <w:tcW w:w="7078" w:type="dxa"/>
            <w:vAlign w:val="center"/>
          </w:tcPr>
          <w:p w14:paraId="0947012E" w14:textId="438B19A9" w:rsidR="00086112" w:rsidRDefault="00086112" w:rsidP="00086112">
            <w:pPr>
              <w:spacing w:before="0" w:after="160" w:line="259" w:lineRule="auto"/>
              <w:cnfStyle w:val="000000100000" w:firstRow="0" w:lastRow="0" w:firstColumn="0" w:lastColumn="0" w:oddVBand="0" w:evenVBand="0" w:oddHBand="1" w:evenHBand="0" w:firstRowFirstColumn="0" w:firstRowLastColumn="0" w:lastRowFirstColumn="0" w:lastRowLastColumn="0"/>
            </w:pPr>
            <w:r>
              <w:t>Social Cognitive Theory</w:t>
            </w:r>
          </w:p>
        </w:tc>
      </w:tr>
      <w:tr w:rsidR="00640EE4" w14:paraId="7F5BB987" w14:textId="77777777" w:rsidTr="00E4771F">
        <w:trPr>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7E670B5E" w14:textId="61835D1A" w:rsidR="00640EE4" w:rsidRDefault="00640EE4" w:rsidP="00086112">
            <w:pPr>
              <w:spacing w:before="0" w:after="160" w:line="259" w:lineRule="auto"/>
            </w:pPr>
            <w:r>
              <w:t>SLE</w:t>
            </w:r>
          </w:p>
        </w:tc>
        <w:tc>
          <w:tcPr>
            <w:tcW w:w="7078" w:type="dxa"/>
            <w:vAlign w:val="center"/>
          </w:tcPr>
          <w:p w14:paraId="522C0F81" w14:textId="0730E3A2" w:rsidR="00640EE4" w:rsidRDefault="00640EE4" w:rsidP="00086112">
            <w:pPr>
              <w:spacing w:before="0" w:after="160" w:line="259" w:lineRule="auto"/>
              <w:cnfStyle w:val="000000000000" w:firstRow="0" w:lastRow="0" w:firstColumn="0" w:lastColumn="0" w:oddVBand="0" w:evenVBand="0" w:oddHBand="0" w:evenHBand="0" w:firstRowFirstColumn="0" w:firstRowLastColumn="0" w:lastRowFirstColumn="0" w:lastRowLastColumn="0"/>
            </w:pPr>
            <w:r>
              <w:t>Smart Learning Environment</w:t>
            </w:r>
          </w:p>
        </w:tc>
      </w:tr>
      <w:tr w:rsidR="00C82A14" w14:paraId="587C75D6" w14:textId="77777777" w:rsidTr="00E477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60EFAEFA" w14:textId="3F19CC51" w:rsidR="00C82A14" w:rsidRDefault="00C82A14" w:rsidP="00086112">
            <w:pPr>
              <w:spacing w:before="0" w:after="160" w:line="259" w:lineRule="auto"/>
            </w:pPr>
            <w:r>
              <w:t>STM</w:t>
            </w:r>
          </w:p>
        </w:tc>
        <w:tc>
          <w:tcPr>
            <w:tcW w:w="7078" w:type="dxa"/>
            <w:vAlign w:val="center"/>
          </w:tcPr>
          <w:p w14:paraId="66189797" w14:textId="1116C01B" w:rsidR="00C82A14" w:rsidRDefault="00C82A14" w:rsidP="00086112">
            <w:pPr>
              <w:spacing w:before="0" w:after="160" w:line="259" w:lineRule="auto"/>
              <w:cnfStyle w:val="000000100000" w:firstRow="0" w:lastRow="0" w:firstColumn="0" w:lastColumn="0" w:oddVBand="0" w:evenVBand="0" w:oddHBand="1" w:evenHBand="0" w:firstRowFirstColumn="0" w:firstRowLastColumn="0" w:lastRowFirstColumn="0" w:lastRowLastColumn="0"/>
            </w:pPr>
            <w:r>
              <w:t>Short Term Memory</w:t>
            </w:r>
          </w:p>
        </w:tc>
      </w:tr>
      <w:tr w:rsidR="001E07BD" w14:paraId="446798BE" w14:textId="77777777" w:rsidTr="00E4771F">
        <w:trPr>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3F7C8B29" w14:textId="6E59A098" w:rsidR="001E07BD" w:rsidRDefault="001E07BD" w:rsidP="00086112">
            <w:pPr>
              <w:spacing w:before="0" w:after="160" w:line="259" w:lineRule="auto"/>
            </w:pPr>
            <w:r>
              <w:t>SSD</w:t>
            </w:r>
          </w:p>
        </w:tc>
        <w:tc>
          <w:tcPr>
            <w:tcW w:w="7078" w:type="dxa"/>
            <w:vAlign w:val="center"/>
          </w:tcPr>
          <w:p w14:paraId="27F385FA" w14:textId="129C8855" w:rsidR="001E07BD" w:rsidRDefault="001E07BD" w:rsidP="00086112">
            <w:pPr>
              <w:spacing w:before="0" w:after="160" w:line="259" w:lineRule="auto"/>
              <w:cnfStyle w:val="000000000000" w:firstRow="0" w:lastRow="0" w:firstColumn="0" w:lastColumn="0" w:oddVBand="0" w:evenVBand="0" w:oddHBand="0" w:evenHBand="0" w:firstRowFirstColumn="0" w:firstRowLastColumn="0" w:lastRowFirstColumn="0" w:lastRowLastColumn="0"/>
            </w:pPr>
            <w:r>
              <w:t>Speech Sound Disorder</w:t>
            </w:r>
          </w:p>
        </w:tc>
      </w:tr>
      <w:tr w:rsidR="00640EE4" w14:paraId="3FC17C46" w14:textId="77777777" w:rsidTr="00E477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56C36934" w14:textId="2A1525E8" w:rsidR="00640EE4" w:rsidRDefault="00640EE4" w:rsidP="00086112">
            <w:pPr>
              <w:spacing w:before="0" w:after="160" w:line="259" w:lineRule="auto"/>
            </w:pPr>
            <w:r>
              <w:t>TEF</w:t>
            </w:r>
          </w:p>
        </w:tc>
        <w:tc>
          <w:tcPr>
            <w:tcW w:w="7078" w:type="dxa"/>
            <w:vAlign w:val="center"/>
          </w:tcPr>
          <w:p w14:paraId="21A7DC77" w14:textId="29DE2775" w:rsidR="00640EE4" w:rsidRDefault="00640EE4" w:rsidP="00086112">
            <w:pPr>
              <w:spacing w:before="0" w:after="160" w:line="259" w:lineRule="auto"/>
              <w:cnfStyle w:val="000000100000" w:firstRow="0" w:lastRow="0" w:firstColumn="0" w:lastColumn="0" w:oddVBand="0" w:evenVBand="0" w:oddHBand="1" w:evenHBand="0" w:firstRowFirstColumn="0" w:firstRowLastColumn="0" w:lastRowFirstColumn="0" w:lastRowLastColumn="0"/>
            </w:pPr>
            <w:r>
              <w:t>Teaching Excellence Framework</w:t>
            </w:r>
          </w:p>
        </w:tc>
      </w:tr>
      <w:tr w:rsidR="00086112" w14:paraId="21CF2E05" w14:textId="77777777" w:rsidTr="00E4771F">
        <w:trPr>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4BF1931C" w14:textId="4EA2BCAE" w:rsidR="00086112" w:rsidRDefault="00086112" w:rsidP="00086112">
            <w:pPr>
              <w:spacing w:before="0" w:after="160" w:line="259" w:lineRule="auto"/>
            </w:pPr>
            <w:r>
              <w:t>UDL</w:t>
            </w:r>
          </w:p>
        </w:tc>
        <w:tc>
          <w:tcPr>
            <w:tcW w:w="7078" w:type="dxa"/>
            <w:vAlign w:val="center"/>
          </w:tcPr>
          <w:p w14:paraId="0DA5843F" w14:textId="42689686" w:rsidR="00086112" w:rsidRDefault="00086112" w:rsidP="00086112">
            <w:pPr>
              <w:spacing w:before="0" w:after="160" w:line="259" w:lineRule="auto"/>
              <w:cnfStyle w:val="000000000000" w:firstRow="0" w:lastRow="0" w:firstColumn="0" w:lastColumn="0" w:oddVBand="0" w:evenVBand="0" w:oddHBand="0" w:evenHBand="0" w:firstRowFirstColumn="0" w:firstRowLastColumn="0" w:lastRowFirstColumn="0" w:lastRowLastColumn="0"/>
            </w:pPr>
            <w:r>
              <w:t>Universal Design for Learning</w:t>
            </w:r>
          </w:p>
        </w:tc>
      </w:tr>
      <w:tr w:rsidR="001E07BD" w14:paraId="52C65FCB" w14:textId="77777777" w:rsidTr="00E477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3C6FD1B4" w14:textId="047EC922" w:rsidR="001E07BD" w:rsidRDefault="001E07BD" w:rsidP="00086112">
            <w:pPr>
              <w:spacing w:before="0" w:after="160" w:line="259" w:lineRule="auto"/>
            </w:pPr>
            <w:r>
              <w:t>ViS</w:t>
            </w:r>
          </w:p>
        </w:tc>
        <w:tc>
          <w:tcPr>
            <w:tcW w:w="7078" w:type="dxa"/>
            <w:vAlign w:val="center"/>
          </w:tcPr>
          <w:p w14:paraId="28CCC5A0" w14:textId="0CDCBA56" w:rsidR="001E07BD" w:rsidRDefault="001E07BD" w:rsidP="00086112">
            <w:pPr>
              <w:spacing w:before="0" w:after="160" w:line="259" w:lineRule="auto"/>
              <w:cnfStyle w:val="000000100000" w:firstRow="0" w:lastRow="0" w:firstColumn="0" w:lastColumn="0" w:oddVBand="0" w:evenVBand="0" w:oddHBand="1" w:evenHBand="0" w:firstRowFirstColumn="0" w:firstRowLastColumn="0" w:lastRowFirstColumn="0" w:lastRowLastColumn="0"/>
            </w:pPr>
            <w:r>
              <w:t>Visual Stress</w:t>
            </w:r>
          </w:p>
        </w:tc>
      </w:tr>
      <w:tr w:rsidR="001E07BD" w14:paraId="52807D24" w14:textId="77777777" w:rsidTr="00E4771F">
        <w:trPr>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692B028C" w14:textId="6EEED2C3" w:rsidR="001E07BD" w:rsidRDefault="001E07BD" w:rsidP="00086112">
            <w:pPr>
              <w:spacing w:before="0" w:after="160" w:line="259" w:lineRule="auto"/>
            </w:pPr>
            <w:r>
              <w:t>VLE</w:t>
            </w:r>
          </w:p>
        </w:tc>
        <w:tc>
          <w:tcPr>
            <w:tcW w:w="7078" w:type="dxa"/>
            <w:vAlign w:val="center"/>
          </w:tcPr>
          <w:p w14:paraId="320DB25E" w14:textId="7599972F" w:rsidR="001E07BD" w:rsidRDefault="001E07BD" w:rsidP="00086112">
            <w:pPr>
              <w:spacing w:before="0" w:after="160" w:line="259" w:lineRule="auto"/>
              <w:cnfStyle w:val="000000000000" w:firstRow="0" w:lastRow="0" w:firstColumn="0" w:lastColumn="0" w:oddVBand="0" w:evenVBand="0" w:oddHBand="0" w:evenHBand="0" w:firstRowFirstColumn="0" w:firstRowLastColumn="0" w:lastRowFirstColumn="0" w:lastRowLastColumn="0"/>
            </w:pPr>
            <w:r>
              <w:t>Virtual Learning Environment</w:t>
            </w:r>
          </w:p>
        </w:tc>
      </w:tr>
      <w:tr w:rsidR="001E07BD" w14:paraId="075EE554" w14:textId="77777777" w:rsidTr="00E477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3E378548" w14:textId="75D29AC1" w:rsidR="001E07BD" w:rsidRDefault="001E07BD" w:rsidP="00086112">
            <w:pPr>
              <w:spacing w:before="0" w:after="160" w:line="259" w:lineRule="auto"/>
            </w:pPr>
            <w:r>
              <w:t>WFN</w:t>
            </w:r>
          </w:p>
        </w:tc>
        <w:tc>
          <w:tcPr>
            <w:tcW w:w="7078" w:type="dxa"/>
            <w:vAlign w:val="center"/>
          </w:tcPr>
          <w:p w14:paraId="7300F90A" w14:textId="63927DC8" w:rsidR="001E07BD" w:rsidRDefault="001E07BD" w:rsidP="00086112">
            <w:pPr>
              <w:spacing w:before="0" w:after="160" w:line="259" w:lineRule="auto"/>
              <w:cnfStyle w:val="000000100000" w:firstRow="0" w:lastRow="0" w:firstColumn="0" w:lastColumn="0" w:oddVBand="0" w:evenVBand="0" w:oddHBand="1" w:evenHBand="0" w:firstRowFirstColumn="0" w:firstRowLastColumn="0" w:lastRowFirstColumn="0" w:lastRowLastColumn="0"/>
            </w:pPr>
            <w:r>
              <w:t>World Federation of Neurology</w:t>
            </w:r>
          </w:p>
        </w:tc>
      </w:tr>
      <w:tr w:rsidR="00640EE4" w14:paraId="2F79458B" w14:textId="77777777" w:rsidTr="00E4771F">
        <w:trPr>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382F4231" w14:textId="609F181E" w:rsidR="00640EE4" w:rsidRDefault="00640EE4" w:rsidP="00086112">
            <w:pPr>
              <w:spacing w:before="0" w:after="160" w:line="259" w:lineRule="auto"/>
            </w:pPr>
            <w:r>
              <w:t>YAA-R</w:t>
            </w:r>
          </w:p>
        </w:tc>
        <w:tc>
          <w:tcPr>
            <w:tcW w:w="7078" w:type="dxa"/>
            <w:vAlign w:val="center"/>
          </w:tcPr>
          <w:p w14:paraId="080B2AE5" w14:textId="4186352C" w:rsidR="00640EE4" w:rsidRDefault="00640EE4" w:rsidP="00086112">
            <w:pPr>
              <w:spacing w:before="0" w:after="160" w:line="259" w:lineRule="auto"/>
              <w:cnfStyle w:val="000000000000" w:firstRow="0" w:lastRow="0" w:firstColumn="0" w:lastColumn="0" w:oddVBand="0" w:evenVBand="0" w:oddHBand="0" w:evenHBand="0" w:firstRowFirstColumn="0" w:firstRowLastColumn="0" w:lastRowFirstColumn="0" w:lastRowLastColumn="0"/>
            </w:pPr>
            <w:r>
              <w:t>York Adult Assessment - Revised</w:t>
            </w:r>
          </w:p>
        </w:tc>
      </w:tr>
    </w:tbl>
    <w:p w14:paraId="6BDB1FF5" w14:textId="7812C632" w:rsidR="00903D66" w:rsidRDefault="00903D66" w:rsidP="00903D66">
      <w:pPr>
        <w:spacing w:before="0" w:after="160" w:line="259" w:lineRule="auto"/>
      </w:pPr>
      <w:r>
        <w:br w:type="page"/>
      </w:r>
    </w:p>
    <w:p w14:paraId="0D192022" w14:textId="77777777" w:rsidR="000F5E95" w:rsidRDefault="000F5E95" w:rsidP="000F5E95">
      <w:pPr>
        <w:pStyle w:val="Heading1"/>
      </w:pPr>
    </w:p>
    <w:p w14:paraId="536C857F" w14:textId="2D4B1EEF" w:rsidR="00903D66" w:rsidRDefault="00E2724C" w:rsidP="00C16949">
      <w:pPr>
        <w:pStyle w:val="Heading1"/>
      </w:pPr>
      <w:bookmarkStart w:id="16" w:name="_Toc57035878"/>
      <w:r>
        <w:t>1</w:t>
      </w:r>
      <w:r>
        <w:tab/>
      </w:r>
      <w:r w:rsidR="00903D66">
        <w:t>Study Overview</w:t>
      </w:r>
      <w:bookmarkEnd w:id="16"/>
    </w:p>
    <w:p w14:paraId="054A3EE5" w14:textId="766684EE" w:rsidR="00903D66" w:rsidRDefault="00C16949" w:rsidP="00AB320D">
      <w:pPr>
        <w:pStyle w:val="Heading5"/>
        <w:spacing w:before="0"/>
        <w:ind w:left="720"/>
      </w:pPr>
      <w:bookmarkStart w:id="17" w:name="_1.1_Academic_Confidence"/>
      <w:bookmarkEnd w:id="17"/>
      <w:r>
        <w:t>1.1</w:t>
      </w:r>
      <w:r>
        <w:tab/>
        <w:t>Academic Confidence and Dyslexia at university</w:t>
      </w:r>
    </w:p>
    <w:p w14:paraId="355783AC" w14:textId="5531EBDD" w:rsidR="00C16949" w:rsidRDefault="00C16949" w:rsidP="00AB320D">
      <w:pPr>
        <w:pStyle w:val="Heading5"/>
        <w:spacing w:before="0"/>
        <w:ind w:left="1440"/>
      </w:pPr>
      <w:r>
        <w:t>I</w:t>
      </w:r>
      <w:r>
        <w:tab/>
        <w:t>Dyslexia</w:t>
      </w:r>
    </w:p>
    <w:p w14:paraId="39703245" w14:textId="0D292AFA" w:rsidR="00C16949" w:rsidRDefault="00C16949" w:rsidP="00AB320D">
      <w:pPr>
        <w:pStyle w:val="Heading5"/>
        <w:spacing w:before="0"/>
        <w:ind w:left="720"/>
      </w:pPr>
      <w:r>
        <w:tab/>
        <w:t>II</w:t>
      </w:r>
      <w:r>
        <w:tab/>
        <w:t>Academic Confidence</w:t>
      </w:r>
    </w:p>
    <w:p w14:paraId="20455EF4" w14:textId="0575E701" w:rsidR="00C16949" w:rsidRDefault="00C16949" w:rsidP="00AB320D">
      <w:pPr>
        <w:pStyle w:val="Heading5"/>
        <w:spacing w:before="0"/>
        <w:ind w:left="720"/>
      </w:pPr>
      <w:r>
        <w:tab/>
        <w:t>III</w:t>
      </w:r>
      <w:r>
        <w:tab/>
        <w:t>Academic Behavioural Confidence</w:t>
      </w:r>
    </w:p>
    <w:p w14:paraId="205880F9" w14:textId="0CA4F7CD" w:rsidR="00C16949" w:rsidRDefault="00C16949" w:rsidP="00AB320D">
      <w:pPr>
        <w:pStyle w:val="Heading5"/>
        <w:spacing w:before="0"/>
        <w:ind w:left="720"/>
      </w:pPr>
      <w:r>
        <w:tab/>
        <w:t>IV</w:t>
      </w:r>
      <w:r>
        <w:tab/>
        <w:t>Location and stance of the study:  Impact Statement</w:t>
      </w:r>
    </w:p>
    <w:p w14:paraId="7E588B1F" w14:textId="4CF40E45" w:rsidR="00C16949" w:rsidRDefault="00C16949" w:rsidP="00AB320D">
      <w:pPr>
        <w:pStyle w:val="Heading5"/>
        <w:spacing w:before="0"/>
        <w:ind w:left="720"/>
      </w:pPr>
      <w:r>
        <w:t>I.2</w:t>
      </w:r>
      <w:r>
        <w:tab/>
        <w:t>Research Design and Methodological Overview</w:t>
      </w:r>
    </w:p>
    <w:p w14:paraId="25DE2D15" w14:textId="6BA1397B" w:rsidR="00C16949" w:rsidRDefault="00C16949" w:rsidP="00AB320D">
      <w:pPr>
        <w:pStyle w:val="Heading5"/>
        <w:spacing w:before="0"/>
        <w:ind w:left="720"/>
      </w:pPr>
      <w:r>
        <w:tab/>
        <w:t>I</w:t>
      </w:r>
      <w:r>
        <w:tab/>
        <w:t>Background: The preceding small-scale enquiry</w:t>
      </w:r>
    </w:p>
    <w:p w14:paraId="232722FD" w14:textId="1A8A1705" w:rsidR="00C16949" w:rsidRDefault="00C16949" w:rsidP="00AB320D">
      <w:pPr>
        <w:pStyle w:val="Heading5"/>
        <w:spacing w:before="0"/>
        <w:ind w:left="720"/>
      </w:pPr>
      <w:r>
        <w:tab/>
        <w:t>II</w:t>
      </w:r>
      <w:r>
        <w:tab/>
        <w:t>Structure and Process</w:t>
      </w:r>
    </w:p>
    <w:p w14:paraId="3EA1DB41" w14:textId="751DD674" w:rsidR="00C16949" w:rsidRDefault="00C16949" w:rsidP="00AB320D">
      <w:pPr>
        <w:pStyle w:val="Heading5"/>
        <w:spacing w:before="0"/>
        <w:ind w:left="1440"/>
      </w:pPr>
      <w:r>
        <w:t>III</w:t>
      </w:r>
      <w:r>
        <w:tab/>
        <w:t>Register</w:t>
      </w:r>
    </w:p>
    <w:p w14:paraId="4FC856AF" w14:textId="72CD0B3D" w:rsidR="00C16949" w:rsidRDefault="00C16949" w:rsidP="00AB320D">
      <w:pPr>
        <w:pStyle w:val="Heading5"/>
        <w:spacing w:before="0"/>
        <w:ind w:left="720"/>
      </w:pPr>
      <w:r>
        <w:t>1.3</w:t>
      </w:r>
      <w:r>
        <w:tab/>
        <w:t>Research Importance</w:t>
      </w:r>
    </w:p>
    <w:p w14:paraId="3F352430" w14:textId="44A80EFA" w:rsidR="00C16949" w:rsidRPr="00C16949" w:rsidRDefault="00C16949" w:rsidP="00AB320D">
      <w:pPr>
        <w:pStyle w:val="Heading5"/>
        <w:spacing w:before="0"/>
        <w:ind w:left="720"/>
      </w:pPr>
      <w:r>
        <w:t>1.4</w:t>
      </w:r>
      <w:r>
        <w:tab/>
        <w:t>Research Questions</w:t>
      </w:r>
      <w:r w:rsidR="00204AB1">
        <w:t xml:space="preserve"> and Hypotheses</w:t>
      </w:r>
    </w:p>
    <w:p w14:paraId="773269D1" w14:textId="77777777" w:rsidR="00C16949" w:rsidRPr="00C16949" w:rsidRDefault="00C16949" w:rsidP="00C16949"/>
    <w:p w14:paraId="44C1ECFF" w14:textId="77777777" w:rsidR="00C16949" w:rsidRDefault="00C16949">
      <w:pPr>
        <w:spacing w:before="0" w:after="160" w:line="259" w:lineRule="auto"/>
        <w:rPr>
          <w:b/>
          <w:smallCaps/>
          <w:color w:val="4472C4" w:themeColor="accent1"/>
          <w:spacing w:val="5"/>
          <w:sz w:val="24"/>
          <w:szCs w:val="24"/>
        </w:rPr>
      </w:pPr>
      <w:bookmarkStart w:id="18" w:name="_Toc9795717"/>
      <w:r>
        <w:br w:type="page"/>
      </w:r>
    </w:p>
    <w:p w14:paraId="0C5B7DEF" w14:textId="34568292" w:rsidR="00903D66" w:rsidRDefault="00903D66" w:rsidP="00E2724C">
      <w:pPr>
        <w:pStyle w:val="Heading2"/>
      </w:pPr>
      <w:bookmarkStart w:id="19" w:name="acconf_history"/>
      <w:bookmarkStart w:id="20" w:name="_Toc57035879"/>
      <w:bookmarkEnd w:id="19"/>
      <w:r>
        <w:lastRenderedPageBreak/>
        <w:t>1.</w:t>
      </w:r>
      <w:r w:rsidR="00E2724C">
        <w:t>1</w:t>
      </w:r>
      <w:r w:rsidR="00E2724C">
        <w:tab/>
      </w:r>
      <w:r>
        <w:t>Academic confidence and dyslexia at university</w:t>
      </w:r>
      <w:bookmarkEnd w:id="18"/>
      <w:bookmarkEnd w:id="20"/>
    </w:p>
    <w:p w14:paraId="7C5A1D19" w14:textId="6CC45A0B" w:rsidR="009E77AB" w:rsidRDefault="00903D66" w:rsidP="00903D66">
      <w:bookmarkStart w:id="21" w:name="_Hlk522285958"/>
      <w:r>
        <w:t>This study explore</w:t>
      </w:r>
      <w:r w:rsidR="000C0B22">
        <w:t>d</w:t>
      </w:r>
      <w:r>
        <w:t xml:space="preserve"> </w:t>
      </w:r>
      <w:r w:rsidRPr="006D5CD7">
        <w:t xml:space="preserve">how the academic confidence of students at university </w:t>
      </w:r>
      <w:r w:rsidR="000C0B22">
        <w:t>may be</w:t>
      </w:r>
      <w:r w:rsidRPr="006D5CD7">
        <w:t xml:space="preserve"> affected by dyslexia-ness</w:t>
      </w:r>
      <w:r>
        <w:t>, the term used throughout this thesis to describe an individual’s intensity of dyslexic characteristics or dimensions.</w:t>
      </w:r>
    </w:p>
    <w:p w14:paraId="4CEE50CF" w14:textId="77777777" w:rsidR="008F4947" w:rsidRDefault="00903D66" w:rsidP="00903D66">
      <w:r>
        <w:t>The research</w:t>
      </w:r>
      <w:r w:rsidRPr="006D5CD7">
        <w:t xml:space="preserve"> </w:t>
      </w:r>
      <w:r w:rsidR="00934F24">
        <w:t>wa</w:t>
      </w:r>
      <w:r w:rsidRPr="006D5CD7">
        <w:t xml:space="preserve">s about </w:t>
      </w:r>
      <w:r>
        <w:t xml:space="preserve">gauging </w:t>
      </w:r>
      <w:r w:rsidRPr="006D5CD7">
        <w:t xml:space="preserve">how </w:t>
      </w:r>
      <w:r>
        <w:t xml:space="preserve">the dyslexia-ness of </w:t>
      </w:r>
      <w:r w:rsidRPr="006D5CD7">
        <w:t xml:space="preserve">students with </w:t>
      </w:r>
      <w:r>
        <w:t xml:space="preserve">identified </w:t>
      </w:r>
      <w:r w:rsidRPr="006D5CD7">
        <w:t>dyslexia</w:t>
      </w:r>
      <w:r>
        <w:t>,</w:t>
      </w:r>
      <w:r w:rsidRPr="006D5CD7">
        <w:t xml:space="preserve"> or with </w:t>
      </w:r>
      <w:r>
        <w:t xml:space="preserve">previously unidentified </w:t>
      </w:r>
      <w:r w:rsidRPr="006D5CD7">
        <w:t xml:space="preserve">dyslexia-like profiles </w:t>
      </w:r>
      <w:r>
        <w:t xml:space="preserve">(termed </w:t>
      </w:r>
      <w:r w:rsidRPr="00330642">
        <w:rPr>
          <w:i/>
        </w:rPr>
        <w:t>quasi</w:t>
      </w:r>
      <w:r w:rsidRPr="00C2422F">
        <w:t>-dyslexia</w:t>
      </w:r>
      <w:r>
        <w:t xml:space="preserve">), </w:t>
      </w:r>
      <w:r w:rsidR="00934F24">
        <w:t>may i</w:t>
      </w:r>
      <w:r w:rsidRPr="006D5CD7">
        <w:t>mpact o</w:t>
      </w:r>
      <w:r>
        <w:t>n</w:t>
      </w:r>
      <w:r w:rsidRPr="006D5CD7">
        <w:t xml:space="preserve"> their study </w:t>
      </w:r>
      <w:r>
        <w:t xml:space="preserve">strategies and </w:t>
      </w:r>
      <w:r w:rsidRPr="006D5CD7">
        <w:t xml:space="preserve">processes in relation to </w:t>
      </w:r>
      <w:r>
        <w:t xml:space="preserve">their sense of academic purpose. This </w:t>
      </w:r>
      <w:r w:rsidR="00934F24">
        <w:t>wa</w:t>
      </w:r>
      <w:r>
        <w:t xml:space="preserve">s achieved by exploring </w:t>
      </w:r>
      <w:r w:rsidRPr="006D5CD7">
        <w:t xml:space="preserve">the confidence </w:t>
      </w:r>
      <w:r>
        <w:t xml:space="preserve">they </w:t>
      </w:r>
      <w:r w:rsidRPr="006D5CD7">
        <w:t xml:space="preserve">express in meeting the academic challenges </w:t>
      </w:r>
      <w:r>
        <w:t xml:space="preserve">of </w:t>
      </w:r>
      <w:r w:rsidRPr="006D5CD7">
        <w:t>university.</w:t>
      </w:r>
      <w:r w:rsidR="008F4947">
        <w:t xml:space="preserve"> </w:t>
      </w:r>
      <w:r w:rsidRPr="006D5CD7">
        <w:t>T</w:t>
      </w:r>
      <w:r>
        <w:t>hus, t</w:t>
      </w:r>
      <w:r w:rsidRPr="006D5CD7">
        <w:t xml:space="preserve">he </w:t>
      </w:r>
      <w:r>
        <w:t xml:space="preserve">objective </w:t>
      </w:r>
      <w:r w:rsidR="00934F24">
        <w:t>wa</w:t>
      </w:r>
      <w:r w:rsidRPr="006D5CD7">
        <w:t xml:space="preserve">s to determine whether an association exists between levels of dyslexia-ness and levels of academic confidence. The academic confidence of students with </w:t>
      </w:r>
      <w:r>
        <w:t>few</w:t>
      </w:r>
      <w:r w:rsidRPr="006D5CD7">
        <w:t xml:space="preserve"> or no indications of dyslexia will be used for comparison. </w:t>
      </w:r>
    </w:p>
    <w:p w14:paraId="1FACC490" w14:textId="12316EB5" w:rsidR="008F4947" w:rsidRDefault="008F4947" w:rsidP="008F4947">
      <w:pPr>
        <w:pStyle w:val="Heading3"/>
      </w:pPr>
      <w:bookmarkStart w:id="22" w:name="_Toc57035880"/>
      <w:r>
        <w:t>I</w:t>
      </w:r>
      <w:r w:rsidR="00E2724C">
        <w:tab/>
      </w:r>
      <w:r>
        <w:t>Dyslexia</w:t>
      </w:r>
      <w:bookmarkEnd w:id="22"/>
    </w:p>
    <w:p w14:paraId="24E8922D" w14:textId="71F32FB0" w:rsidR="006126B8" w:rsidRDefault="00903D66" w:rsidP="00903D66">
      <w:r>
        <w:t>In the context of this project,</w:t>
      </w:r>
      <w:r w:rsidRPr="006D5CD7">
        <w:t xml:space="preserve"> dyslexia </w:t>
      </w:r>
      <w:r w:rsidR="00C17A13">
        <w:t xml:space="preserve">at university </w:t>
      </w:r>
      <w:r w:rsidRPr="006D5CD7">
        <w:t xml:space="preserve">is </w:t>
      </w:r>
      <w:r>
        <w:t xml:space="preserve">viewed </w:t>
      </w:r>
      <w:r w:rsidRPr="006D5CD7">
        <w:t>a</w:t>
      </w:r>
      <w:r>
        <w:t>s a learning difference</w:t>
      </w:r>
      <w:r w:rsidR="00934F24">
        <w:t xml:space="preserve"> rather than a disability</w:t>
      </w:r>
      <w:r w:rsidR="009222DF">
        <w:t>. I</w:t>
      </w:r>
      <w:r w:rsidR="00F364A8">
        <w:t xml:space="preserve">t is acknowledged </w:t>
      </w:r>
      <w:r w:rsidR="009222DF">
        <w:t xml:space="preserve">however, </w:t>
      </w:r>
      <w:r w:rsidR="00F364A8">
        <w:t>that at its core</w:t>
      </w:r>
      <w:r w:rsidR="004E68E3">
        <w:t>,</w:t>
      </w:r>
      <w:r w:rsidR="00C17A13">
        <w:t xml:space="preserve"> </w:t>
      </w:r>
      <w:r w:rsidR="00F364A8">
        <w:t>a legacy of literacy challenges in earlier schooling</w:t>
      </w:r>
      <w:r w:rsidR="00E50297">
        <w:t xml:space="preserve"> may place additional study demands on some university students with dyslexia in comparison with their non-dyslexic peers</w:t>
      </w:r>
      <w:r w:rsidR="009222DF">
        <w:t>, which may</w:t>
      </w:r>
      <w:r w:rsidR="00817AED">
        <w:t xml:space="preserve"> place them at a learning disadvantage</w:t>
      </w:r>
      <w:r w:rsidR="008D0258">
        <w:t>,</w:t>
      </w:r>
      <w:r w:rsidR="00817AED">
        <w:t xml:space="preserve"> and which might be viewed as disabling</w:t>
      </w:r>
      <w:r w:rsidR="00C17A13">
        <w:t>. However</w:t>
      </w:r>
      <w:r w:rsidR="008E256B">
        <w:t>,</w:t>
      </w:r>
      <w:r w:rsidR="00C17A13">
        <w:t xml:space="preserve"> defining dyslexia remains contentious (e.g.: </w:t>
      </w:r>
      <w:r w:rsidR="008E256B">
        <w:t xml:space="preserve">Tunmer &amp; Greaney, 2010; </w:t>
      </w:r>
      <w:r w:rsidR="00C17A13">
        <w:t>Elliott &amp; Grigorenko, 2014; Nicholson &amp; Fawcett, 2017)</w:t>
      </w:r>
      <w:r w:rsidR="008E256B">
        <w:t xml:space="preserve"> especially in adults</w:t>
      </w:r>
      <w:r w:rsidR="00820751">
        <w:t xml:space="preserve">. </w:t>
      </w:r>
      <w:r w:rsidR="00E861A4">
        <w:t>This is perhaps unsurprising g</w:t>
      </w:r>
      <w:r w:rsidR="00820751">
        <w:t xml:space="preserve">iven </w:t>
      </w:r>
      <w:r w:rsidR="008E256B">
        <w:t xml:space="preserve">the predominance of literature in the field has been interested in </w:t>
      </w:r>
      <w:r w:rsidR="00B1342B">
        <w:t>the syndrome in children</w:t>
      </w:r>
      <w:r w:rsidR="00E861A4">
        <w:t xml:space="preserve">, with </w:t>
      </w:r>
      <w:r w:rsidR="00B1342B">
        <w:t>a shift in focus to</w:t>
      </w:r>
      <w:r w:rsidR="004F78A1">
        <w:t xml:space="preserve"> </w:t>
      </w:r>
      <w:r w:rsidR="00B1342B">
        <w:t>dyslexia</w:t>
      </w:r>
      <w:r w:rsidR="004F78A1">
        <w:t xml:space="preserve"> in adults </w:t>
      </w:r>
      <w:r w:rsidR="00E861A4">
        <w:t>being</w:t>
      </w:r>
      <w:r w:rsidR="00820751">
        <w:t xml:space="preserve"> </w:t>
      </w:r>
      <w:r w:rsidR="004F78A1">
        <w:t>relatively recent</w:t>
      </w:r>
      <w:r w:rsidR="00820751">
        <w:t>. This in part</w:t>
      </w:r>
      <w:r w:rsidR="004F78A1">
        <w:t xml:space="preserve"> acknowled</w:t>
      </w:r>
      <w:r w:rsidR="00820751">
        <w:t xml:space="preserve">ges </w:t>
      </w:r>
      <w:r w:rsidR="004F78A1">
        <w:t>that dyslexia persists into adulthood (Undheim, 2009; Carawan et.al., 2016)</w:t>
      </w:r>
      <w:r w:rsidR="00882646">
        <w:t>, b</w:t>
      </w:r>
      <w:r w:rsidR="00820751">
        <w:t xml:space="preserve">ut also that </w:t>
      </w:r>
      <w:r w:rsidR="000C0B22">
        <w:t>since</w:t>
      </w:r>
      <w:r w:rsidR="00F14633">
        <w:t xml:space="preserve"> </w:t>
      </w:r>
      <w:r w:rsidR="00820751">
        <w:t>many higher intellectual functioning dyslexic adults are now attending university</w:t>
      </w:r>
      <w:r w:rsidR="00F14633">
        <w:t xml:space="preserve"> (Tops, et.al., 2012; Pino &amp; Mortari, 2014), </w:t>
      </w:r>
      <w:r w:rsidR="00820751">
        <w:t xml:space="preserve">the </w:t>
      </w:r>
      <w:r w:rsidR="00F14633">
        <w:t xml:space="preserve">arguably </w:t>
      </w:r>
      <w:r w:rsidR="00882646">
        <w:t xml:space="preserve">disparate </w:t>
      </w:r>
      <w:r w:rsidR="00F14633">
        <w:t>nature of dyslexia has become more evidenced, not least by exploring levels of support for students with dyslexia and its effectiveness (</w:t>
      </w:r>
      <w:r w:rsidR="003A1F7D">
        <w:t>Dobson</w:t>
      </w:r>
      <w:r w:rsidR="00F14633">
        <w:t>, 201</w:t>
      </w:r>
      <w:r w:rsidR="003A1F7D">
        <w:t>9</w:t>
      </w:r>
      <w:r w:rsidR="00F14633">
        <w:t>).</w:t>
      </w:r>
    </w:p>
    <w:p w14:paraId="3B45AB9F" w14:textId="2FA5892B" w:rsidR="004F78A1" w:rsidRDefault="001A139A" w:rsidP="00903D66">
      <w:r>
        <w:t>T</w:t>
      </w:r>
      <w:r w:rsidR="008E256B">
        <w:t xml:space="preserve">he most wide-ranging and locally (i.e. UK) pertinent statement </w:t>
      </w:r>
      <w:r w:rsidR="003A1F7D">
        <w:t>to describe</w:t>
      </w:r>
      <w:r w:rsidR="008E256B">
        <w:t xml:space="preserve"> dyslexia </w:t>
      </w:r>
      <w:r>
        <w:t xml:space="preserve">is </w:t>
      </w:r>
      <w:r w:rsidR="007B009C">
        <w:t>demonstrated by the set of characteristics offered by the British Dyslexia Association (BDA, 2018</w:t>
      </w:r>
      <w:r w:rsidR="003A1F7D">
        <w:t xml:space="preserve">). These </w:t>
      </w:r>
      <w:r w:rsidR="007B009C">
        <w:t>suggest that: dyslexia is a learning difficulty that primarily affects the skills involved in accurate and fluent word reading and spelling</w:t>
      </w:r>
      <w:r w:rsidR="006126B8">
        <w:t>,</w:t>
      </w:r>
      <w:r w:rsidR="007B009C">
        <w:t xml:space="preserve"> and occurs across the range of intellectual abilities; that characteristic features are difficulties in phonological awareness, verbal memory, verbal processing speeds, and that co-occurring challenges may be apparent in aspects of language, motor co-ordination, mental calculation, concentration and personal organization. Notably, the BDA indicates that dyslexia can be </w:t>
      </w:r>
      <w:r w:rsidR="007B009C">
        <w:lastRenderedPageBreak/>
        <w:t xml:space="preserve">best considered as a continuum </w:t>
      </w:r>
      <w:r w:rsidR="000C0B22">
        <w:t>(Jamieson &amp; Morgan, 2008; Reid, 2016</w:t>
      </w:r>
      <w:r w:rsidR="00210006">
        <w:t>, 2019</w:t>
      </w:r>
      <w:r w:rsidR="000C0B22">
        <w:t>; Edwards et.al., 201</w:t>
      </w:r>
      <w:r w:rsidR="00210006">
        <w:t xml:space="preserve">8, Spanoudis, 2019; </w:t>
      </w:r>
      <w:r w:rsidR="000C0B22">
        <w:t xml:space="preserve">) </w:t>
      </w:r>
      <w:r w:rsidR="009A0B83">
        <w:t xml:space="preserve">with no clear boundaries </w:t>
      </w:r>
      <w:r w:rsidR="007B009C">
        <w:t>rather than a distinct category</w:t>
      </w:r>
      <w:r w:rsidR="00E25A89">
        <w:t>, not least due to the diverse range of characteristics that may be present or not in dyslexic individuals.</w:t>
      </w:r>
    </w:p>
    <w:p w14:paraId="221161E7" w14:textId="4D3D825A" w:rsidR="00934F24" w:rsidRDefault="00E25A89" w:rsidP="00903D66">
      <w:r>
        <w:t xml:space="preserve">This current study acknowledges the breadth of this 'definition' of dyslexia and </w:t>
      </w:r>
      <w:r w:rsidR="006126B8">
        <w:t xml:space="preserve">contends </w:t>
      </w:r>
      <w:r>
        <w:t xml:space="preserve">that it can be seen to </w:t>
      </w:r>
      <w:r w:rsidR="006126B8">
        <w:t xml:space="preserve">be aligned with </w:t>
      </w:r>
      <w:r>
        <w:t>the</w:t>
      </w:r>
      <w:r w:rsidR="00903D66">
        <w:t xml:space="preserve"> </w:t>
      </w:r>
      <w:r w:rsidR="00934F24">
        <w:t xml:space="preserve">more recent </w:t>
      </w:r>
      <w:r w:rsidR="00903D66">
        <w:t xml:space="preserve">approaches towards understanding </w:t>
      </w:r>
      <w:r w:rsidR="00903D66" w:rsidRPr="006D5CD7">
        <w:t xml:space="preserve">dyslexia as a multifactorial condition (Tamboer </w:t>
      </w:r>
      <w:r w:rsidR="00903D66">
        <w:t>et al</w:t>
      </w:r>
      <w:r w:rsidR="00903D66" w:rsidRPr="006D5CD7">
        <w:t>, 2014</w:t>
      </w:r>
      <w:r w:rsidR="00903D66">
        <w:t>;</w:t>
      </w:r>
      <w:r w:rsidR="00903D66" w:rsidRPr="006D5CD7">
        <w:t xml:space="preserve"> Tamboer </w:t>
      </w:r>
      <w:r w:rsidR="00903D66">
        <w:t>et al.</w:t>
      </w:r>
      <w:r w:rsidR="00903D66" w:rsidRPr="006D5CD7">
        <w:t>, 2017)</w:t>
      </w:r>
      <w:r w:rsidR="003B08BF">
        <w:t>,</w:t>
      </w:r>
      <w:r>
        <w:t xml:space="preserve"> which is </w:t>
      </w:r>
      <w:r w:rsidR="003B08BF">
        <w:t xml:space="preserve">arguably </w:t>
      </w:r>
      <w:r>
        <w:t xml:space="preserve">more relatable to the specific subset of adults with dyslexia who attend higher education. </w:t>
      </w:r>
      <w:r w:rsidR="00A4088D">
        <w:t>This is the contemporary view that the syndrome impacts on a range of literacy</w:t>
      </w:r>
      <w:r w:rsidR="00934F24">
        <w:t xml:space="preserve">, </w:t>
      </w:r>
      <w:r w:rsidR="00A4088D">
        <w:t xml:space="preserve">cognitive </w:t>
      </w:r>
      <w:r w:rsidR="00934F24">
        <w:t xml:space="preserve">and organizational </w:t>
      </w:r>
      <w:r w:rsidR="00A4088D">
        <w:t xml:space="preserve">competencies which, </w:t>
      </w:r>
      <w:r w:rsidR="00934F24">
        <w:t xml:space="preserve">through variances </w:t>
      </w:r>
      <w:r w:rsidR="00A4088D">
        <w:t xml:space="preserve">of both degree and co-morbidity, </w:t>
      </w:r>
      <w:r w:rsidR="00934F24">
        <w:t xml:space="preserve">can </w:t>
      </w:r>
      <w:r w:rsidR="00A4088D">
        <w:t>render the dyslexic individual at a disadvantage in conventionally delivered, literacy-based learning environments. Th</w:t>
      </w:r>
      <w:r w:rsidR="003B08BF">
        <w:t xml:space="preserve">e dyslexia debate is </w:t>
      </w:r>
      <w:r w:rsidR="00A4088D">
        <w:t>discussed more comprehensively in Section 2</w:t>
      </w:r>
      <w:r w:rsidR="001A139A">
        <w:t>.1</w:t>
      </w:r>
      <w:r w:rsidR="00A4088D">
        <w:t>, where a selection of literature pertaining to the nature and aetiology of dyslexia is discussed</w:t>
      </w:r>
      <w:r w:rsidR="003B08BF">
        <w:t xml:space="preserve">, and where the stance of this current study </w:t>
      </w:r>
      <w:r w:rsidR="001A139A">
        <w:t xml:space="preserve">on dyslexia </w:t>
      </w:r>
      <w:r w:rsidR="003B08BF">
        <w:t>is elaborated</w:t>
      </w:r>
      <w:r w:rsidR="00A4088D">
        <w:t>.</w:t>
      </w:r>
      <w:r w:rsidR="00903D66">
        <w:t xml:space="preserve"> </w:t>
      </w:r>
    </w:p>
    <w:p w14:paraId="010A3B6C" w14:textId="21643356" w:rsidR="00467128" w:rsidRDefault="00755205" w:rsidP="00903D66">
      <w:r>
        <w:t>However, by</w:t>
      </w:r>
      <w:r w:rsidR="00642BC9">
        <w:t xml:space="preserve"> </w:t>
      </w:r>
      <w:r w:rsidR="00903D66" w:rsidRPr="006D5CD7">
        <w:t>taking the multifactorial</w:t>
      </w:r>
      <w:r w:rsidR="00467128">
        <w:t xml:space="preserve"> </w:t>
      </w:r>
      <w:r w:rsidR="00903D66" w:rsidRPr="006D5CD7">
        <w:t xml:space="preserve">approach to dyslexia, </w:t>
      </w:r>
      <w:r w:rsidR="00642BC9">
        <w:t xml:space="preserve">and so that the study could draw on a research pool of students across the complete university community, </w:t>
      </w:r>
      <w:r w:rsidR="00467128">
        <w:t xml:space="preserve">it was necessary to develop </w:t>
      </w:r>
      <w:r w:rsidR="00903D66" w:rsidRPr="006D5CD7">
        <w:t>a</w:t>
      </w:r>
      <w:r w:rsidR="00903D66">
        <w:t>n</w:t>
      </w:r>
      <w:r w:rsidR="00903D66" w:rsidRPr="006D5CD7">
        <w:t xml:space="preserve"> innovative profiler </w:t>
      </w:r>
      <w:r w:rsidR="003D11D2">
        <w:t>to gauge dyslexia-ness</w:t>
      </w:r>
      <w:r w:rsidR="00642BC9">
        <w:t>.</w:t>
      </w:r>
      <w:r w:rsidR="003D11D2">
        <w:t xml:space="preserve"> </w:t>
      </w:r>
      <w:r w:rsidR="00642BC9">
        <w:t>This was one which</w:t>
      </w:r>
      <w:r w:rsidR="00934F24">
        <w:t xml:space="preserve"> did </w:t>
      </w:r>
      <w:r w:rsidR="00903D66" w:rsidRPr="006D5CD7">
        <w:t xml:space="preserve">not focus on deficit-discrepancy models or </w:t>
      </w:r>
      <w:r w:rsidR="00903D66">
        <w:t xml:space="preserve">on </w:t>
      </w:r>
      <w:r w:rsidR="00903D66" w:rsidRPr="006D5CD7">
        <w:t>disability</w:t>
      </w:r>
      <w:r w:rsidR="00467128">
        <w:t>, and which avoided ethical issues of disclosure that would have arisen had an existing dyslexia</w:t>
      </w:r>
      <w:r w:rsidR="00934F24">
        <w:t xml:space="preserve"> screener</w:t>
      </w:r>
      <w:r w:rsidR="00467128">
        <w:t xml:space="preserve"> been used</w:t>
      </w:r>
      <w:r w:rsidR="00642BC9">
        <w:t xml:space="preserve"> with non-, and especially with quasi-dyslexic students</w:t>
      </w:r>
      <w:r w:rsidR="00467128">
        <w:t>.</w:t>
      </w:r>
      <w:r w:rsidR="00903D66" w:rsidRPr="006D5CD7">
        <w:t xml:space="preserve"> </w:t>
      </w:r>
      <w:r w:rsidR="00467128">
        <w:t xml:space="preserve">This profiler </w:t>
      </w:r>
      <w:r w:rsidR="00934F24">
        <w:t>wa</w:t>
      </w:r>
      <w:r w:rsidR="00903D66">
        <w:t xml:space="preserve">s built from </w:t>
      </w:r>
      <w:r w:rsidR="00903D66" w:rsidRPr="006D5CD7">
        <w:t xml:space="preserve">dimensions of dyslexia that </w:t>
      </w:r>
      <w:r w:rsidR="003D11D2">
        <w:t xml:space="preserve">have been shown </w:t>
      </w:r>
      <w:r w:rsidR="00903D66" w:rsidRPr="006D5CD7">
        <w:t xml:space="preserve">to be typical amongst </w:t>
      </w:r>
      <w:r w:rsidR="00903D66">
        <w:t xml:space="preserve">university </w:t>
      </w:r>
      <w:r w:rsidR="00903D66" w:rsidRPr="006D5CD7">
        <w:t>students with dyslexia</w:t>
      </w:r>
      <w:r w:rsidR="00903D66">
        <w:t>, but which c</w:t>
      </w:r>
      <w:r w:rsidR="00A72ECD">
        <w:t>ould also be relatable</w:t>
      </w:r>
      <w:r w:rsidR="00467128">
        <w:t xml:space="preserve"> </w:t>
      </w:r>
      <w:r w:rsidR="00903D66">
        <w:t>study behaviours of non-dyslexic students</w:t>
      </w:r>
      <w:r w:rsidR="00903D66" w:rsidRPr="006D5CD7">
        <w:t xml:space="preserve">. </w:t>
      </w:r>
      <w:r w:rsidR="00903D66">
        <w:t>Th</w:t>
      </w:r>
      <w:r w:rsidR="003D11D2">
        <w:t>e</w:t>
      </w:r>
      <w:r w:rsidR="00903D66">
        <w:t xml:space="preserve"> development of this</w:t>
      </w:r>
      <w:r w:rsidR="00467128">
        <w:t xml:space="preserve"> profiler is discussed in Section 3</w:t>
      </w:r>
      <w:r w:rsidR="00642BC9">
        <w:t>.</w:t>
      </w:r>
      <w:r w:rsidR="00F417A1">
        <w:t>6</w:t>
      </w:r>
      <w:r w:rsidR="00903D66">
        <w:t xml:space="preserve">. </w:t>
      </w:r>
    </w:p>
    <w:p w14:paraId="722B42D9" w14:textId="3B40A9F8" w:rsidR="008F4947" w:rsidRPr="0007351F" w:rsidRDefault="008F4947" w:rsidP="008F4947">
      <w:pPr>
        <w:pStyle w:val="Heading3"/>
      </w:pPr>
      <w:bookmarkStart w:id="23" w:name="_Toc57035881"/>
      <w:r>
        <w:t>II</w:t>
      </w:r>
      <w:r w:rsidR="00E2724C">
        <w:tab/>
      </w:r>
      <w:r>
        <w:t>Academic Confidence</w:t>
      </w:r>
      <w:bookmarkEnd w:id="23"/>
    </w:p>
    <w:p w14:paraId="00D09073" w14:textId="77777777" w:rsidR="00642BC9" w:rsidRDefault="008F4947" w:rsidP="008F4947">
      <w:r w:rsidRPr="0066195F">
        <w:t>Academic confidence is set as the dependent variable in this study. The position will be adopted that academic confidence is a sub-construct of academic self-efficacy (Sander &amp; Sanders, 2003)</w:t>
      </w:r>
      <w:r>
        <w:t>, and is concerned with a student's belief about their capability to perform a task at a particular level to attain a specific goal. Along with self-esteem, self-confidence, and notably, self-efficacy, these beliefs and attitudes form the core of our self-concept</w:t>
      </w:r>
      <w:r w:rsidR="004F78A1">
        <w:t xml:space="preserve"> (Pajares &amp; Schunk, 2005)</w:t>
      </w:r>
      <w:r>
        <w:t xml:space="preserve">, and at university, act to guide students through the academic challenges that university study presents (Sander &amp; Sanders, 2006a). </w:t>
      </w:r>
    </w:p>
    <w:p w14:paraId="572F4629" w14:textId="29C148A1" w:rsidR="00642BC9" w:rsidRDefault="008F4947" w:rsidP="008F4947">
      <w:r>
        <w:t xml:space="preserve">Academic confidence </w:t>
      </w:r>
      <w:r w:rsidRPr="0066195F">
        <w:t xml:space="preserve">is </w:t>
      </w:r>
      <w:r w:rsidR="00642BC9">
        <w:t>ground</w:t>
      </w:r>
      <w:r w:rsidRPr="0066195F">
        <w:t xml:space="preserve">ed in the </w:t>
      </w:r>
      <w:r>
        <w:t xml:space="preserve">self-efficacy component of </w:t>
      </w:r>
      <w:r w:rsidRPr="0066195F">
        <w:t xml:space="preserve">Social Cognitive Theory (SCT) </w:t>
      </w:r>
      <w:r>
        <w:t>(</w:t>
      </w:r>
      <w:r w:rsidRPr="0066195F">
        <w:t>Bandura</w:t>
      </w:r>
      <w:r>
        <w:t>,</w:t>
      </w:r>
      <w:r w:rsidR="00E53EB1">
        <w:t xml:space="preserve"> </w:t>
      </w:r>
      <w:r>
        <w:t>e.g.:</w:t>
      </w:r>
      <w:r w:rsidRPr="0066195F">
        <w:t xml:space="preserve"> 1977, 1986, 1997a)</w:t>
      </w:r>
      <w:r>
        <w:t>, itself concerned with how human actions and behaviours are self-regulated</w:t>
      </w:r>
      <w:r w:rsidRPr="0066195F">
        <w:t xml:space="preserve">. </w:t>
      </w:r>
      <w:r>
        <w:t xml:space="preserve">Increasingly, components of the self, and more </w:t>
      </w:r>
      <w:r>
        <w:lastRenderedPageBreak/>
        <w:t>particularly, self-beliefs, are being cited as key indicators of students' motivation in learning environments (Zimmerman, 2000; Pajares &amp; Schunk, 2002; McGeown, et. al., 2014</w:t>
      </w:r>
      <w:r w:rsidR="00E53EB1">
        <w:t>).</w:t>
      </w:r>
      <w:r w:rsidR="00642BC9">
        <w:t xml:space="preserve"> </w:t>
      </w:r>
      <w:r>
        <w:t>A</w:t>
      </w:r>
      <w:r w:rsidRPr="0066195F">
        <w:t>cademic confidence is likely to emerge primarily as a result of mastery experiences (Skaalvik &amp; Skaalvik, 2002</w:t>
      </w:r>
      <w:r w:rsidR="00642BC9">
        <w:t>, Usher &amp; Pajares, 2006</w:t>
      </w:r>
      <w:r w:rsidRPr="0066195F">
        <w:t xml:space="preserve">), this being one of the four components of SCT, </w:t>
      </w:r>
      <w:r>
        <w:t>and is about achievements built on positive prior experiences in related, relevant contexts. T</w:t>
      </w:r>
      <w:r w:rsidRPr="0066195F">
        <w:t xml:space="preserve">he others </w:t>
      </w:r>
      <w:r>
        <w:t>are</w:t>
      </w:r>
      <w:r w:rsidRPr="0066195F">
        <w:t xml:space="preserve"> vicarious experiences</w:t>
      </w:r>
      <w:r>
        <w:t xml:space="preserve"> - formed largely through gaining a sense of capability in comparison with others engaged in the same undertaking; </w:t>
      </w:r>
      <w:r w:rsidRPr="0066195F">
        <w:t>verbal persuasion</w:t>
      </w:r>
      <w:r>
        <w:t>, notably through encouragement by people significant to the individual;</w:t>
      </w:r>
      <w:r w:rsidRPr="0066195F">
        <w:t xml:space="preserve"> and physiological </w:t>
      </w:r>
      <w:r>
        <w:t xml:space="preserve">and affective </w:t>
      </w:r>
      <w:r w:rsidRPr="0066195F">
        <w:t>states</w:t>
      </w:r>
      <w:r>
        <w:t xml:space="preserve">, that is, how we </w:t>
      </w:r>
      <w:r>
        <w:rPr>
          <w:i/>
          <w:iCs/>
        </w:rPr>
        <w:t xml:space="preserve">feel </w:t>
      </w:r>
      <w:r>
        <w:t>when we are engaged in an activity or endeavour.</w:t>
      </w:r>
      <w:r w:rsidR="00E53EB1">
        <w:t xml:space="preserve"> These components of SCT are elaborated in Section 2.2</w:t>
      </w:r>
      <w:r w:rsidR="00D47216">
        <w:t>/</w:t>
      </w:r>
      <w:r w:rsidR="006102C0">
        <w:t>II</w:t>
      </w:r>
      <w:r w:rsidR="00E53EB1">
        <w:t>.</w:t>
      </w:r>
    </w:p>
    <w:p w14:paraId="00B06184" w14:textId="45F55E04" w:rsidR="008F4947" w:rsidRPr="00E25546" w:rsidRDefault="008F4947" w:rsidP="008F4947">
      <w:r>
        <w:t xml:space="preserve">Academic </w:t>
      </w:r>
      <w:r w:rsidRPr="0066195F">
        <w:t>self-efficacy focuses on the features of self-efficacy which are presented in learning contexts</w:t>
      </w:r>
      <w:r>
        <w:t xml:space="preserve">. The research contributions </w:t>
      </w:r>
      <w:r w:rsidRPr="0066195F">
        <w:t>of Zimmerman, Schunk and Pajares have been selected to demonstrate how SCT can be applied in educational settings</w:t>
      </w:r>
      <w:r>
        <w:t>, not least due to their relevance to university contexts.</w:t>
      </w:r>
      <w:r w:rsidRPr="0066195F">
        <w:t xml:space="preserve"> In </w:t>
      </w:r>
      <w:r>
        <w:t xml:space="preserve">particular, Zimmerman </w:t>
      </w:r>
      <w:r w:rsidRPr="0066195F">
        <w:t>placed academic self-efficacy as a central component of the learning process through learners' beliefs in their capabilities to self-regulate their learning and master academic challenges, acquire new ideas and communicate their knowledge. Zimmerman</w:t>
      </w:r>
      <w:r>
        <w:t xml:space="preserve"> (1990)</w:t>
      </w:r>
      <w:r w:rsidRPr="0066195F">
        <w:t xml:space="preserve"> evidenced that students who are competent self-regulators achieve stronger academic outcomes than their otherwise comparable peers who</w:t>
      </w:r>
      <w:r>
        <w:t xml:space="preserve"> are poor self-regulators</w:t>
      </w:r>
      <w:r w:rsidRPr="0066195F">
        <w:t>.</w:t>
      </w:r>
      <w:r>
        <w:t xml:space="preserve"> All of these concepts and constructs are discussed in Section 2</w:t>
      </w:r>
      <w:r w:rsidR="00E53EB1">
        <w:t>.2</w:t>
      </w:r>
      <w:r w:rsidR="00D47216">
        <w:t>/</w:t>
      </w:r>
      <w:r w:rsidR="006102C0">
        <w:t>III</w:t>
      </w:r>
      <w:r>
        <w:t>.</w:t>
      </w:r>
    </w:p>
    <w:p w14:paraId="0999C0F9" w14:textId="3FC2483E" w:rsidR="008F4947" w:rsidRPr="0007351F" w:rsidRDefault="008F4947" w:rsidP="008F4947">
      <w:pPr>
        <w:pStyle w:val="Heading3"/>
      </w:pPr>
      <w:bookmarkStart w:id="24" w:name="_Toc57035882"/>
      <w:r>
        <w:t>III</w:t>
      </w:r>
      <w:r w:rsidR="00E2724C">
        <w:tab/>
      </w:r>
      <w:r>
        <w:t>Academic Behavioural Confidence</w:t>
      </w:r>
      <w:bookmarkEnd w:id="24"/>
    </w:p>
    <w:p w14:paraId="4F3A60CB" w14:textId="4CED2EB9" w:rsidR="00E57F62" w:rsidRDefault="00E57F62" w:rsidP="00E57F62">
      <w:pPr>
        <w:rPr>
          <w:rFonts w:eastAsia="Times New Roman"/>
          <w:lang w:eastAsia="en-GB"/>
        </w:rPr>
      </w:pPr>
      <w:r>
        <w:rPr>
          <w:rFonts w:eastAsia="Times New Roman"/>
          <w:lang w:eastAsia="en-GB"/>
        </w:rPr>
        <w:t>A</w:t>
      </w:r>
      <w:r w:rsidRPr="00E57F62">
        <w:rPr>
          <w:rFonts w:eastAsia="Times New Roman"/>
          <w:lang w:eastAsia="en-GB"/>
        </w:rPr>
        <w:t>cademic behavioural confidence is used to operationalize academic confidence through use of the Academic Behavioural Confidence (ABC) Scale, following precedents set in other studies (e.g.: Putwain et al., 2013; Nicholson, et.al., 2013). ABC emerged from earlier attempts to explain differences in the reasons provided by university students from two different cohorts to defend their preferences for particular pedagogical processes, namely learning through role-play or through peer-group presentations. At that time, academic confidence was proposed as “a mediating variable between the individual's inherent abilities, their learning styles and the opportunities afforded by the academic environment of higher education” (</w:t>
      </w:r>
      <w:r>
        <w:rPr>
          <w:rFonts w:eastAsia="Times New Roman"/>
          <w:lang w:eastAsia="en-GB"/>
        </w:rPr>
        <w:t>Sander &amp; Sanders, 2003</w:t>
      </w:r>
      <w:r w:rsidRPr="00E57F62">
        <w:rPr>
          <w:rFonts w:eastAsia="Times New Roman"/>
          <w:lang w:eastAsia="en-GB"/>
        </w:rPr>
        <w:t>, p4). It was first operationalized as the Academic Confidence Scale which was later revised into the Academic Behavioural Confidence Scale because it was better seen to be gauging confidence in behaviours, actions and plans related to academic study (Sander &amp; Sanders, 2006a). The ABC Scale is designed to be a general measure of students' confidence about their academic work at university.</w:t>
      </w:r>
    </w:p>
    <w:p w14:paraId="42263D82" w14:textId="77777777" w:rsidR="00535D19" w:rsidRPr="00E57F62" w:rsidRDefault="00535D19" w:rsidP="00E57F62">
      <w:pPr>
        <w:rPr>
          <w:rFonts w:eastAsia="Times New Roman"/>
          <w:lang w:eastAsia="en-GB"/>
        </w:rPr>
      </w:pPr>
    </w:p>
    <w:p w14:paraId="5372CC87" w14:textId="1195A3F4" w:rsidR="008F4947" w:rsidRDefault="008F4947" w:rsidP="008F4947">
      <w:pPr>
        <w:pStyle w:val="Heading3"/>
      </w:pPr>
      <w:bookmarkStart w:id="25" w:name="_Toc57035883"/>
      <w:r>
        <w:lastRenderedPageBreak/>
        <w:t>IV</w:t>
      </w:r>
      <w:r w:rsidR="00E2724C">
        <w:tab/>
      </w:r>
      <w:r>
        <w:t xml:space="preserve">Location </w:t>
      </w:r>
      <w:r w:rsidR="00E730EB">
        <w:t xml:space="preserve">and stance </w:t>
      </w:r>
      <w:r>
        <w:t>of th</w:t>
      </w:r>
      <w:r w:rsidR="00FF5F3B">
        <w:t>e study</w:t>
      </w:r>
      <w:r w:rsidR="00E730EB">
        <w:t>: Impact Statement</w:t>
      </w:r>
      <w:bookmarkEnd w:id="25"/>
    </w:p>
    <w:p w14:paraId="3D2C9DB6" w14:textId="03015716" w:rsidR="00166F56" w:rsidRDefault="00903D66" w:rsidP="00903D66">
      <w:r>
        <w:t>T</w:t>
      </w:r>
      <w:r w:rsidRPr="006D5CD7">
        <w:t>h</w:t>
      </w:r>
      <w:r w:rsidR="00F355C9">
        <w:t>is</w:t>
      </w:r>
      <w:r w:rsidRPr="006D5CD7">
        <w:t xml:space="preserve"> study </w:t>
      </w:r>
      <w:r>
        <w:t xml:space="preserve">provides </w:t>
      </w:r>
      <w:r w:rsidRPr="006D5CD7">
        <w:t>evidence</w:t>
      </w:r>
      <w:r>
        <w:t xml:space="preserve"> to suggest</w:t>
      </w:r>
      <w:r w:rsidRPr="006D5CD7">
        <w:t xml:space="preserve"> that students who know about their dyslexia present lower levels of academic confidence in comparison </w:t>
      </w:r>
      <w:r w:rsidR="00A26A87">
        <w:t>with</w:t>
      </w:r>
      <w:r w:rsidRPr="006D5CD7">
        <w:t xml:space="preserve"> their non-dyslexic peers. </w:t>
      </w:r>
      <w:r>
        <w:t>The study also show</w:t>
      </w:r>
      <w:r w:rsidR="00DC010C">
        <w:t>s</w:t>
      </w:r>
      <w:r>
        <w:t xml:space="preserve"> that the </w:t>
      </w:r>
      <w:r w:rsidR="00645330">
        <w:t xml:space="preserve">terminology used to </w:t>
      </w:r>
      <w:r w:rsidR="00A72ECD">
        <w:t>tell</w:t>
      </w:r>
      <w:r w:rsidR="00645330">
        <w:t xml:space="preserve"> newly-assessed </w:t>
      </w:r>
      <w:r>
        <w:t>students of their dyslexia</w:t>
      </w:r>
      <w:r w:rsidR="00645330">
        <w:t xml:space="preserve"> may also</w:t>
      </w:r>
      <w:r>
        <w:t xml:space="preserve"> have a significant</w:t>
      </w:r>
      <w:r w:rsidR="00645330">
        <w:t xml:space="preserve"> </w:t>
      </w:r>
      <w:r>
        <w:t xml:space="preserve">effect on their academic confidence. This </w:t>
      </w:r>
      <w:r w:rsidRPr="006D5CD7">
        <w:t>add</w:t>
      </w:r>
      <w:r>
        <w:t>s</w:t>
      </w:r>
      <w:r w:rsidRPr="006D5CD7">
        <w:t xml:space="preserve"> to the limited range of research relating to the academic confidence of university students </w:t>
      </w:r>
      <w:r w:rsidR="00645330">
        <w:t>f</w:t>
      </w:r>
      <w:r w:rsidRPr="006D5CD7">
        <w:t>rom minority groups, especially those deemed to have learning disabilit</w:t>
      </w:r>
      <w:r w:rsidR="00645330">
        <w:t>ies</w:t>
      </w:r>
      <w:r w:rsidRPr="006D5CD7">
        <w:t xml:space="preserve"> </w:t>
      </w:r>
      <w:r w:rsidR="00645330">
        <w:t xml:space="preserve">however </w:t>
      </w:r>
      <w:r w:rsidRPr="006D5CD7">
        <w:t>th</w:t>
      </w:r>
      <w:r w:rsidR="00645330">
        <w:t>ese</w:t>
      </w:r>
      <w:r w:rsidRPr="006D5CD7">
        <w:t xml:space="preserve"> might be defined.</w:t>
      </w:r>
      <w:r>
        <w:t xml:space="preserve"> T</w:t>
      </w:r>
      <w:r w:rsidRPr="006D5CD7">
        <w:t xml:space="preserve">he </w:t>
      </w:r>
      <w:r w:rsidR="00E730EB">
        <w:t>conclusion</w:t>
      </w:r>
      <w:r>
        <w:t xml:space="preserve">s of the </w:t>
      </w:r>
      <w:r w:rsidRPr="006D5CD7">
        <w:t>st</w:t>
      </w:r>
      <w:r>
        <w:t xml:space="preserve">udy support a contemporary view favouring </w:t>
      </w:r>
      <w:r w:rsidRPr="006D5CD7">
        <w:t>a shift in the delivery of university learning towards</w:t>
      </w:r>
      <w:r w:rsidR="00645330">
        <w:t xml:space="preserve"> increased</w:t>
      </w:r>
      <w:r w:rsidRPr="006D5CD7">
        <w:t xml:space="preserve"> inclusiv</w:t>
      </w:r>
      <w:r w:rsidR="00645330">
        <w:t>ity</w:t>
      </w:r>
      <w:r w:rsidRPr="006D5CD7">
        <w:t xml:space="preserve"> and accessib</w:t>
      </w:r>
      <w:r w:rsidR="00645330">
        <w:t>ility</w:t>
      </w:r>
      <w:r w:rsidR="00E730EB">
        <w:t>.</w:t>
      </w:r>
      <w:r w:rsidRPr="006D5CD7">
        <w:t xml:space="preserve"> </w:t>
      </w:r>
      <w:r w:rsidR="00E730EB">
        <w:t>Th</w:t>
      </w:r>
      <w:r w:rsidR="00166F56">
        <w:t>e</w:t>
      </w:r>
      <w:r w:rsidR="00E730EB">
        <w:t xml:space="preserve"> impact of this would be </w:t>
      </w:r>
      <w:r w:rsidR="00645330">
        <w:t>t</w:t>
      </w:r>
      <w:r w:rsidR="00166F56">
        <w:t xml:space="preserve">hat be accommodating </w:t>
      </w:r>
      <w:r w:rsidR="00645330">
        <w:t xml:space="preserve">greater learner </w:t>
      </w:r>
      <w:r w:rsidRPr="006D5CD7">
        <w:t>adaptab</w:t>
      </w:r>
      <w:r w:rsidR="00645330">
        <w:t>ility</w:t>
      </w:r>
      <w:r w:rsidRPr="006D5CD7">
        <w:t xml:space="preserve"> and </w:t>
      </w:r>
      <w:r w:rsidR="00645330">
        <w:t xml:space="preserve">learning </w:t>
      </w:r>
      <w:r w:rsidRPr="006D5CD7">
        <w:t>flexi</w:t>
      </w:r>
      <w:r w:rsidR="00645330">
        <w:t>bility</w:t>
      </w:r>
      <w:r w:rsidR="00166F56">
        <w:t xml:space="preserve">, </w:t>
      </w:r>
      <w:r w:rsidRPr="006D5CD7">
        <w:t>learners with dyslexia</w:t>
      </w:r>
      <w:r w:rsidR="00E730EB">
        <w:t>, however this is also defined,</w:t>
      </w:r>
      <w:r w:rsidRPr="006D5CD7">
        <w:t xml:space="preserve"> </w:t>
      </w:r>
      <w:r w:rsidR="00A72ECD">
        <w:t xml:space="preserve">might </w:t>
      </w:r>
      <w:r w:rsidRPr="006D5CD7">
        <w:t>feel more included and less 'different' (e.g.: Dykes, 2008</w:t>
      </w:r>
      <w:r>
        <w:t>;</w:t>
      </w:r>
      <w:r w:rsidRPr="006D5CD7">
        <w:t xml:space="preserve"> Thompson </w:t>
      </w:r>
      <w:r>
        <w:t>et al.</w:t>
      </w:r>
      <w:r w:rsidRPr="006D5CD7">
        <w:t>, 2015).</w:t>
      </w:r>
    </w:p>
    <w:p w14:paraId="36904678" w14:textId="368317BF" w:rsidR="00903D66" w:rsidRDefault="00A72ECD" w:rsidP="00903D66">
      <w:r>
        <w:t>T</w:t>
      </w:r>
      <w:r w:rsidR="00903D66">
        <w:t xml:space="preserve">his </w:t>
      </w:r>
      <w:r w:rsidR="00903D66" w:rsidRPr="006D5CD7">
        <w:t>might be achieved by adopting the principles of Universal Design for Learning (UDL</w:t>
      </w:r>
      <w:r w:rsidR="00A26A87">
        <w:t xml:space="preserve">; </w:t>
      </w:r>
      <w:r w:rsidR="00903D66">
        <w:t xml:space="preserve"> Rose et al., 1999; Rose &amp; Meyer, 2002</w:t>
      </w:r>
      <w:r w:rsidR="00903D66" w:rsidRPr="006D5CD7">
        <w:t xml:space="preserve">), an original approach to redesigning classrooms and curriculum delivery </w:t>
      </w:r>
      <w:r w:rsidR="00903D66">
        <w:t>to</w:t>
      </w:r>
      <w:r w:rsidR="00903D66" w:rsidRPr="006D5CD7">
        <w:t xml:space="preserve"> extend the rights of students with disabilities </w:t>
      </w:r>
      <w:r w:rsidR="00903D66">
        <w:t>for</w:t>
      </w:r>
      <w:r w:rsidR="00903D66" w:rsidRPr="006D5CD7">
        <w:t xml:space="preserve"> better access to the general education curriculum</w:t>
      </w:r>
      <w:r w:rsidR="00903D66">
        <w:t xml:space="preserve">. </w:t>
      </w:r>
      <w:r w:rsidR="00E730EB">
        <w:t>E</w:t>
      </w:r>
      <w:r w:rsidR="00E730EB" w:rsidRPr="006D5CD7">
        <w:t xml:space="preserve">ncouraging the design and development of </w:t>
      </w:r>
      <w:r w:rsidR="00E730EB">
        <w:t xml:space="preserve">more accessible curricula is argued to be </w:t>
      </w:r>
      <w:r w:rsidR="00E730EB" w:rsidRPr="006D5CD7">
        <w:t>preferable to retrofitting the curriculum to the learner (Lancaster, 2008) by way of 'reasonable ad</w:t>
      </w:r>
      <w:r w:rsidR="00E730EB">
        <w:t xml:space="preserve">justments' (discussed in sub-section 2.1(I)). </w:t>
      </w:r>
      <w:r w:rsidR="00903D66">
        <w:t>UDL provides</w:t>
      </w:r>
      <w:r w:rsidR="00903D66" w:rsidRPr="006D5CD7">
        <w:t xml:space="preserve"> a blueprint for </w:t>
      </w:r>
      <w:r w:rsidR="00903D66">
        <w:t xml:space="preserve">institutions to become </w:t>
      </w:r>
      <w:r w:rsidR="00903D66" w:rsidRPr="006D5CD7">
        <w:t>accessible and inclusive without the need for differentiation of learning spaces or curriculum delivery</w:t>
      </w:r>
      <w:r w:rsidR="00903D66">
        <w:t>,</w:t>
      </w:r>
      <w:r w:rsidR="00903D66" w:rsidRPr="006D5CD7">
        <w:t xml:space="preserve"> previously thought as the most appropriate way to accommodate the atypical learning needs of disabled students. </w:t>
      </w:r>
      <w:r w:rsidR="00645330">
        <w:t xml:space="preserve">In UDL environments </w:t>
      </w:r>
      <w:r w:rsidR="00903D66" w:rsidRPr="006D5CD7">
        <w:t xml:space="preserve">the principles of inclusivity </w:t>
      </w:r>
      <w:r w:rsidR="00903D66">
        <w:t xml:space="preserve">are embraced, </w:t>
      </w:r>
      <w:r w:rsidR="001E50FD">
        <w:t xml:space="preserve">thus ameliorating </w:t>
      </w:r>
      <w:r w:rsidR="00903D66" w:rsidRPr="006D5CD7">
        <w:t>an emerging disconnect between the 'one-size-fits-all' curriculum</w:t>
      </w:r>
      <w:r w:rsidR="00903D66">
        <w:t xml:space="preserve"> and </w:t>
      </w:r>
      <w:r w:rsidR="001E50FD">
        <w:t xml:space="preserve">increasingly more diverse </w:t>
      </w:r>
      <w:r w:rsidR="00903D66" w:rsidRPr="006D5CD7">
        <w:t xml:space="preserve">communities of learners </w:t>
      </w:r>
      <w:r w:rsidR="00903D66">
        <w:t>(Edyburn, 2010)</w:t>
      </w:r>
      <w:r w:rsidR="00903D66" w:rsidRPr="006D5CD7">
        <w:t>.</w:t>
      </w:r>
      <w:r w:rsidR="00E730EB">
        <w:t xml:space="preserve"> </w:t>
      </w:r>
    </w:p>
    <w:p w14:paraId="57EC4C93" w14:textId="770650C6" w:rsidR="00903D66" w:rsidRDefault="00903D66" w:rsidP="00903D66">
      <w:r>
        <w:t>Thus, it is reasonable to suppose that</w:t>
      </w:r>
      <w:r w:rsidRPr="006D5CD7">
        <w:t xml:space="preserve"> the positive strengths and qualities that form part of a spectrum of apparent </w:t>
      </w:r>
      <w:r w:rsidR="001E50FD">
        <w:t xml:space="preserve">learning </w:t>
      </w:r>
      <w:r w:rsidRPr="006D5CD7">
        <w:t>differences c</w:t>
      </w:r>
      <w:r>
        <w:t xml:space="preserve">ould </w:t>
      </w:r>
      <w:r w:rsidRPr="006D5CD7">
        <w:t>be integrated into the development of the learner in ways that w</w:t>
      </w:r>
      <w:r w:rsidR="001E50FD">
        <w:t xml:space="preserve">ould </w:t>
      </w:r>
      <w:r w:rsidRPr="006D5CD7">
        <w:t>encourage a greater sense of academic agency to emerge through stronger academic confidence</w:t>
      </w:r>
      <w:r>
        <w:t xml:space="preserve">. Hence, </w:t>
      </w:r>
      <w:r w:rsidRPr="006D5CD7">
        <w:t xml:space="preserve">this may contribute positively towards better and more successful academic outcomes at university (Nicholson </w:t>
      </w:r>
      <w:r>
        <w:t>et al.</w:t>
      </w:r>
      <w:r w:rsidRPr="006D5CD7">
        <w:t xml:space="preserve">, 2013). </w:t>
      </w:r>
      <w:bookmarkStart w:id="26" w:name="resqs"/>
      <w:bookmarkEnd w:id="21"/>
      <w:bookmarkEnd w:id="26"/>
      <w:r>
        <w:t xml:space="preserve"> </w:t>
      </w:r>
      <w:r w:rsidRPr="006D5CD7">
        <w:t>Zimmerman spoke of academic confidence in the context of academi</w:t>
      </w:r>
      <w:r>
        <w:t xml:space="preserve">c agency </w:t>
      </w:r>
      <w:r w:rsidR="001E50FD">
        <w:t>(discussed in Section 2</w:t>
      </w:r>
      <w:r w:rsidR="00E730EB">
        <w:t>.2</w:t>
      </w:r>
      <w:r w:rsidR="006102C0">
        <w:t>(III)</w:t>
      </w:r>
      <w:r w:rsidR="001E50FD">
        <w:t xml:space="preserve">), </w:t>
      </w:r>
      <w:r>
        <w:t>which he described as “</w:t>
      </w:r>
      <w:r w:rsidRPr="006D5CD7">
        <w:t>a sense of [academic] purpose, this being a product of self-efficacy and academic confidence that is then the major influ</w:t>
      </w:r>
      <w:r>
        <w:t>ence on academic accomplishment”</w:t>
      </w:r>
      <w:r w:rsidRPr="006D5CD7">
        <w:t xml:space="preserve"> (</w:t>
      </w:r>
      <w:r w:rsidR="001E50FD">
        <w:t>1995</w:t>
      </w:r>
      <w:r w:rsidRPr="006D5CD7">
        <w:t xml:space="preserve">, p202). It is through </w:t>
      </w:r>
      <w:r>
        <w:t xml:space="preserve">the lens </w:t>
      </w:r>
      <w:r w:rsidRPr="006D5CD7">
        <w:t>of academic confidence</w:t>
      </w:r>
      <w:r>
        <w:t xml:space="preserve">, as a sub-construct of academic self-efficacy </w:t>
      </w:r>
      <w:r w:rsidRPr="006D5CD7">
        <w:t>(Sander &amp; Sanders, 2006</w:t>
      </w:r>
      <w:r>
        <w:t>a</w:t>
      </w:r>
      <w:r w:rsidRPr="006D5CD7">
        <w:t>)</w:t>
      </w:r>
      <w:r>
        <w:t>,</w:t>
      </w:r>
      <w:r w:rsidRPr="006D5CD7">
        <w:t xml:space="preserve"> that this research project has been tackled.</w:t>
      </w:r>
    </w:p>
    <w:p w14:paraId="6F0DAE6D" w14:textId="69B569BC" w:rsidR="00435835" w:rsidRDefault="004C24E0" w:rsidP="00903D66">
      <w:r w:rsidRPr="00467128">
        <w:lastRenderedPageBreak/>
        <w:t>Hence, the s</w:t>
      </w:r>
      <w:r w:rsidR="00435835" w:rsidRPr="00467128">
        <w:t xml:space="preserve">tance of the research </w:t>
      </w:r>
      <w:r w:rsidR="001E50FD">
        <w:t xml:space="preserve">particularly </w:t>
      </w:r>
      <w:r w:rsidR="00A26A87">
        <w:t>supports</w:t>
      </w:r>
      <w:r w:rsidR="00435835" w:rsidRPr="00467128">
        <w:t xml:space="preserve"> </w:t>
      </w:r>
      <w:r w:rsidR="001E50FD">
        <w:t xml:space="preserve">those </w:t>
      </w:r>
      <w:r w:rsidR="00435835" w:rsidRPr="00467128">
        <w:t>aspects of the inclusion agenda in education contexts which advocate rethink</w:t>
      </w:r>
      <w:r w:rsidR="00166F56">
        <w:t>ing</w:t>
      </w:r>
      <w:r w:rsidR="00435835" w:rsidRPr="00467128">
        <w:t xml:space="preserve"> the design and delivery of learning curricula</w:t>
      </w:r>
      <w:r w:rsidR="00166F56">
        <w:t>, not least</w:t>
      </w:r>
      <w:r w:rsidR="00435835" w:rsidRPr="00467128">
        <w:t xml:space="preserve"> to reduce the persistent reliance on literacy-based formats, claiming that this is inherently unjust. This is to argue for the re-framing of learning and teaching environments at university to accommodate learning diversity more equitably</w:t>
      </w:r>
      <w:r w:rsidR="00166F56">
        <w:t xml:space="preserve">, which </w:t>
      </w:r>
      <w:r w:rsidR="00435835" w:rsidRPr="00467128">
        <w:t xml:space="preserve">may then consign into redundancy the need for special conditions and reasonable adjustments for </w:t>
      </w:r>
      <w:r w:rsidR="001E50FD">
        <w:t xml:space="preserve">many </w:t>
      </w:r>
      <w:r w:rsidR="00435835" w:rsidRPr="00467128">
        <w:t>students with unseen differences or disabilities.</w:t>
      </w:r>
    </w:p>
    <w:p w14:paraId="0A0FFF17" w14:textId="765DEEDF" w:rsidR="008D0258" w:rsidRDefault="008D0258">
      <w:pPr>
        <w:spacing w:before="0" w:after="160" w:line="259" w:lineRule="auto"/>
        <w:rPr>
          <w:b/>
          <w:smallCaps/>
          <w:color w:val="4472C4" w:themeColor="accent1"/>
          <w:spacing w:val="5"/>
          <w:sz w:val="26"/>
          <w:szCs w:val="28"/>
        </w:rPr>
      </w:pPr>
      <w:bookmarkStart w:id="27" w:name="_Toc9795718"/>
    </w:p>
    <w:p w14:paraId="547DE8B0" w14:textId="2A139A20" w:rsidR="00903D66" w:rsidRPr="00D954B0" w:rsidRDefault="00903D66" w:rsidP="00903D66">
      <w:pPr>
        <w:pStyle w:val="Heading2"/>
      </w:pPr>
      <w:bookmarkStart w:id="28" w:name="_Toc57035884"/>
      <w:r w:rsidRPr="00D954B0">
        <w:t>1.2</w:t>
      </w:r>
      <w:r w:rsidR="00E2724C">
        <w:tab/>
      </w:r>
      <w:r w:rsidRPr="00D954B0">
        <w:t>Research Design and methodological overview</w:t>
      </w:r>
      <w:bookmarkEnd w:id="28"/>
    </w:p>
    <w:p w14:paraId="3D533F16" w14:textId="00A84570" w:rsidR="007A7C5A" w:rsidRDefault="008F4947" w:rsidP="008F4947">
      <w:pPr>
        <w:pStyle w:val="Heading3"/>
      </w:pPr>
      <w:bookmarkStart w:id="29" w:name="_Toc57035885"/>
      <w:r>
        <w:t>I</w:t>
      </w:r>
      <w:r w:rsidR="00E2724C">
        <w:tab/>
      </w:r>
      <w:r w:rsidR="00FF5F3B">
        <w:t>Background</w:t>
      </w:r>
      <w:r w:rsidR="007A7C5A">
        <w:t xml:space="preserve"> - the preceding small-scale enquiry</w:t>
      </w:r>
      <w:bookmarkEnd w:id="29"/>
      <w:r w:rsidR="00FF5F3B">
        <w:t xml:space="preserve"> </w:t>
      </w:r>
    </w:p>
    <w:p w14:paraId="7E58F295" w14:textId="77777777" w:rsidR="008D0258" w:rsidRDefault="007A7C5A" w:rsidP="008D0258">
      <w:r w:rsidRPr="00F9797D">
        <w:t>The legacy of outcomes from the researcher's preceding M</w:t>
      </w:r>
      <w:r w:rsidR="000D61DF">
        <w:t>Sc.</w:t>
      </w:r>
      <w:r w:rsidRPr="00F9797D">
        <w:t xml:space="preserve"> dissertation (Dykes, 2008) has had a significant impact on the development of this current proj</w:t>
      </w:r>
      <w:r>
        <w:t xml:space="preserve">ect. This was a </w:t>
      </w:r>
      <w:r w:rsidRPr="00F9797D">
        <w:t xml:space="preserve">small-scale enquiry </w:t>
      </w:r>
      <w:r>
        <w:t xml:space="preserve">conducted </w:t>
      </w:r>
      <w:r w:rsidRPr="00F9797D">
        <w:t>within the dyslexic stude</w:t>
      </w:r>
      <w:r>
        <w:t>nt community at a UK university. The aim was to try to understand</w:t>
      </w:r>
      <w:r w:rsidRPr="00F9797D">
        <w:t xml:space="preserve"> why some students with dyslexia</w:t>
      </w:r>
      <w:r>
        <w:t xml:space="preserve"> </w:t>
      </w:r>
      <w:r w:rsidRPr="00F9797D">
        <w:t>strong</w:t>
      </w:r>
      <w:r>
        <w:t>ly</w:t>
      </w:r>
      <w:r w:rsidRPr="00F9797D">
        <w:t xml:space="preserve"> advocate</w:t>
      </w:r>
      <w:r>
        <w:t>d</w:t>
      </w:r>
      <w:r w:rsidRPr="00F9797D">
        <w:t xml:space="preserve"> the learning</w:t>
      </w:r>
      <w:r>
        <w:t xml:space="preserve"> </w:t>
      </w:r>
      <w:r w:rsidRPr="00F9797D">
        <w:t xml:space="preserve">support value </w:t>
      </w:r>
      <w:r>
        <w:t xml:space="preserve">of </w:t>
      </w:r>
      <w:r w:rsidRPr="00F9797D">
        <w:t>a dedicated learning technology suite</w:t>
      </w:r>
      <w:r>
        <w:t xml:space="preserve"> </w:t>
      </w:r>
      <w:r w:rsidRPr="00F9797D">
        <w:t>staffed by dyslexia and disability</w:t>
      </w:r>
      <w:r>
        <w:t xml:space="preserve"> specialists; whilst</w:t>
      </w:r>
      <w:r w:rsidRPr="00F9797D">
        <w:t xml:space="preserve"> others with apparently similar dyslexic profiles appeared </w:t>
      </w:r>
      <w:r>
        <w:t>ambivalent</w:t>
      </w:r>
      <w:r w:rsidR="00BA43A6">
        <w:t xml:space="preserve"> towards these services</w:t>
      </w:r>
      <w:r>
        <w:t xml:space="preserve">. This was evidenced through the former </w:t>
      </w:r>
      <w:r w:rsidRPr="00F9797D">
        <w:t>making frequent use of the suite and servi</w:t>
      </w:r>
      <w:r>
        <w:t>ces</w:t>
      </w:r>
      <w:r w:rsidRPr="00F9797D">
        <w:t xml:space="preserve"> </w:t>
      </w:r>
      <w:r>
        <w:t>whereas the others</w:t>
      </w:r>
      <w:r w:rsidRPr="00F9797D">
        <w:t xml:space="preserve"> </w:t>
      </w:r>
      <w:r>
        <w:t xml:space="preserve">were only infrequent visitors </w:t>
      </w:r>
      <w:r w:rsidRPr="00F9797D">
        <w:t xml:space="preserve">despite initially registering for access. It was </w:t>
      </w:r>
      <w:r>
        <w:t>hypothesized</w:t>
      </w:r>
      <w:r w:rsidRPr="00F9797D">
        <w:t xml:space="preserve"> that this disparity might, in part at least, be due to differences in the attitudes and feelings of students with dyslexia to their own dyslexia</w:t>
      </w:r>
      <w:r>
        <w:t>,</w:t>
      </w:r>
      <w:r w:rsidRPr="00F9797D">
        <w:t xml:space="preserve"> but particularly </w:t>
      </w:r>
      <w:r>
        <w:t xml:space="preserve">to </w:t>
      </w:r>
      <w:r w:rsidRPr="00F9797D">
        <w:t>their perceptions about how it impacted on their access to, and their engagement with their learning at university.</w:t>
      </w:r>
    </w:p>
    <w:p w14:paraId="32219301" w14:textId="20947830" w:rsidR="008D0258" w:rsidRPr="00535D19" w:rsidRDefault="007A7C5A" w:rsidP="00535D19">
      <w:r>
        <w:t>The analysis outcomes were mixed, making it difficult to establish clear conclusions</w:t>
      </w:r>
      <w:r w:rsidR="00A26A87">
        <w:t xml:space="preserve"> and </w:t>
      </w:r>
      <w:r>
        <w:t>revealing that the issue was far from straightforward</w:t>
      </w:r>
      <w:r w:rsidR="00A26A87">
        <w:t xml:space="preserve">; but also </w:t>
      </w:r>
      <w:r>
        <w:t>could have been attributable to the small sample sizes of the research groups a</w:t>
      </w:r>
      <w:r w:rsidR="00A26A87">
        <w:t>nd</w:t>
      </w:r>
      <w:r>
        <w:t xml:space="preserve"> to a research design which, with hindsight, could have been better developed. </w:t>
      </w:r>
      <w:r w:rsidR="00B668BD" w:rsidRPr="00B668BD">
        <w:t>However, three influential aspects emerged from this study: firstly, lessons were learned about constructing online survey questionnaires and in particular how to design and incorporate Likert-style scale items into questionnaire design; secondly, considerable value was ascribed to the development of profiling charts to visualize quite complex interrelationships between variables</w:t>
      </w:r>
      <w:r w:rsidR="00CA43AD">
        <w:t xml:space="preserve"> (see Section 3.3/III</w:t>
      </w:r>
      <w:r w:rsidR="00D47216">
        <w:t>.</w:t>
      </w:r>
      <w:r w:rsidR="00CA43AD">
        <w:t>2)</w:t>
      </w:r>
      <w:r w:rsidR="00A26A87">
        <w:t>.</w:t>
      </w:r>
      <w:r w:rsidR="00B668BD" w:rsidRPr="00B668BD">
        <w:t xml:space="preserve"> An important aspect of these were the opportunities they afforded to spot patterns, similarities and contrasts, not so much between the profiles of individual respondents, but how respondents could be grouped into subsets. Thirdly, it became clear that the opportunity provided in the questionnaire for students to reflect and report on how they felt their dyslexia impacted on their studies, and how the </w:t>
      </w:r>
      <w:r w:rsidR="00B668BD" w:rsidRPr="00B668BD">
        <w:lastRenderedPageBreak/>
        <w:t>university responded to their learning needs</w:t>
      </w:r>
      <w:r w:rsidR="00983C2F">
        <w:t>,</w:t>
      </w:r>
      <w:r w:rsidR="00B668BD" w:rsidRPr="00B668BD">
        <w:t> was widely welcomed. This qualitative data was optionally provided</w:t>
      </w:r>
      <w:r w:rsidR="00983C2F">
        <w:t>,</w:t>
      </w:r>
      <w:r w:rsidR="00B668BD" w:rsidRPr="00B668BD">
        <w:t xml:space="preserve"> although a significant majority of participants contributed to this section of the </w:t>
      </w:r>
      <w:r w:rsidR="00983C2F">
        <w:t>questionnaire</w:t>
      </w:r>
      <w:r w:rsidR="00A26A87">
        <w:t>.</w:t>
      </w:r>
    </w:p>
    <w:p w14:paraId="653CE337" w14:textId="11627D5D" w:rsidR="008F4947" w:rsidRDefault="007A7C5A" w:rsidP="008F4947">
      <w:pPr>
        <w:pStyle w:val="Heading3"/>
      </w:pPr>
      <w:bookmarkStart w:id="30" w:name="_Toc57035886"/>
      <w:r>
        <w:t>II</w:t>
      </w:r>
      <w:r w:rsidR="00E2724C">
        <w:tab/>
      </w:r>
      <w:r w:rsidR="000146BF">
        <w:t>S</w:t>
      </w:r>
      <w:r w:rsidR="008F4947">
        <w:t>tructure and process</w:t>
      </w:r>
      <w:bookmarkEnd w:id="30"/>
    </w:p>
    <w:p w14:paraId="3A067E3F" w14:textId="166AAC1A" w:rsidR="0036109D" w:rsidRDefault="00C87D4F" w:rsidP="0036109D">
      <w:pPr>
        <w:pStyle w:val="Heading5"/>
      </w:pPr>
      <w:r>
        <w:t xml:space="preserve">1. </w:t>
      </w:r>
      <w:r w:rsidR="0036109D">
        <w:t>Epistemological position</w:t>
      </w:r>
    </w:p>
    <w:p w14:paraId="498C5262" w14:textId="3F928524" w:rsidR="0036109D" w:rsidRPr="008D0258" w:rsidRDefault="00A53EAA" w:rsidP="005F4E9E">
      <w:pPr>
        <w:rPr>
          <w:rFonts w:eastAsia="Times New Roman"/>
          <w:lang w:eastAsia="en-GB"/>
        </w:rPr>
      </w:pPr>
      <w:r w:rsidRPr="00FD1AF5">
        <w:rPr>
          <w:rFonts w:eastAsia="Times New Roman"/>
          <w:lang w:eastAsia="en-GB"/>
        </w:rPr>
        <w:t>This was a primary research project grounded in a methodologically pluralistic approach</w:t>
      </w:r>
      <w:r w:rsidR="00114FC6">
        <w:rPr>
          <w:rFonts w:eastAsia="Times New Roman"/>
          <w:lang w:eastAsia="en-GB"/>
        </w:rPr>
        <w:t xml:space="preserve"> (Johnson &amp; Onwuegbuzie, 2004</w:t>
      </w:r>
      <w:r w:rsidR="007249C5">
        <w:rPr>
          <w:rFonts w:eastAsia="Times New Roman"/>
          <w:lang w:eastAsia="en-GB"/>
        </w:rPr>
        <w:t>; Johnson et.al.,</w:t>
      </w:r>
      <w:r w:rsidR="005B70E3">
        <w:rPr>
          <w:rFonts w:eastAsia="Times New Roman"/>
          <w:lang w:eastAsia="en-GB"/>
        </w:rPr>
        <w:t xml:space="preserve"> </w:t>
      </w:r>
      <w:r w:rsidR="007249C5">
        <w:rPr>
          <w:rFonts w:eastAsia="Times New Roman"/>
          <w:lang w:eastAsia="en-GB"/>
        </w:rPr>
        <w:t>2007</w:t>
      </w:r>
      <w:r w:rsidR="00114FC6">
        <w:rPr>
          <w:rFonts w:eastAsia="Times New Roman"/>
          <w:lang w:eastAsia="en-GB"/>
        </w:rPr>
        <w:t>)</w:t>
      </w:r>
      <w:r w:rsidRPr="00FD1AF5">
        <w:rPr>
          <w:rFonts w:eastAsia="Times New Roman"/>
          <w:lang w:eastAsia="en-GB"/>
        </w:rPr>
        <w:t>. Thus, a blend of both quantitative and qualitative methods and analysis was used, an approach widely practised across domains of educational research (Seigel, 2006). The epistemological position draws from four components of sources of knowledge: intuitive: concerning belief, faith, feelings; authoritarian: from taught, defined or existing facts; logical: as deduced from reasoning; and empirical: being demonstrated from experimentally derived evidence. However, a greater reliance is placed on the logical and objective interpretation of facts established from observed data. Hence this is to adopt</w:t>
      </w:r>
      <w:r w:rsidR="005F78BC">
        <w:rPr>
          <w:rFonts w:eastAsia="Times New Roman"/>
          <w:lang w:eastAsia="en-GB"/>
        </w:rPr>
        <w:t xml:space="preserve"> </w:t>
      </w:r>
      <w:r w:rsidRPr="00FD1AF5">
        <w:rPr>
          <w:rFonts w:eastAsia="Times New Roman"/>
          <w:lang w:eastAsia="en-GB"/>
        </w:rPr>
        <w:t>a Deweyist</w:t>
      </w:r>
      <w:r w:rsidR="00DA6330">
        <w:rPr>
          <w:rFonts w:eastAsia="Times New Roman"/>
          <w:lang w:eastAsia="en-GB"/>
        </w:rPr>
        <w:t xml:space="preserve"> </w:t>
      </w:r>
      <w:r w:rsidRPr="00FD1AF5">
        <w:rPr>
          <w:rFonts w:eastAsia="Times New Roman"/>
          <w:lang w:eastAsia="en-GB"/>
        </w:rPr>
        <w:t>pragmatic philosophical position grounded in pluralistic empricism in relation to the design and action of the research process and for understanding the outcomes (e.g.: Shook, 2002). Espousing the positivist paradigm generally attributed to Comte (Acton, 1951; Cohen, et.al., 2007), the purpose of the research was to accept or reject hypotheses through due scientific process. In this way, statistical analysis of data leading to generalizable findings based on comparisons between a control and an experimental (or test) group were the basis.</w:t>
      </w:r>
    </w:p>
    <w:p w14:paraId="7643C242" w14:textId="3C8D2A85" w:rsidR="0036109D" w:rsidRPr="0036109D" w:rsidRDefault="00C87D4F" w:rsidP="0036109D">
      <w:pPr>
        <w:pStyle w:val="Heading5"/>
      </w:pPr>
      <w:r>
        <w:t xml:space="preserve">2. </w:t>
      </w:r>
      <w:r w:rsidR="0036109D">
        <w:t>Process</w:t>
      </w:r>
    </w:p>
    <w:p w14:paraId="7EDCCDD9" w14:textId="4798A89B" w:rsidR="001C3273" w:rsidRPr="001C3273" w:rsidRDefault="00903D66" w:rsidP="001C3273">
      <w:pPr>
        <w:rPr>
          <w:rFonts w:ascii="Times New Roman" w:eastAsia="Times New Roman" w:hAnsi="Times New Roman" w:cs="Times New Roman"/>
          <w:sz w:val="24"/>
          <w:szCs w:val="24"/>
          <w:lang w:eastAsia="en-GB"/>
        </w:rPr>
      </w:pPr>
      <w:r w:rsidRPr="00D954B0">
        <w:t>Th</w:t>
      </w:r>
      <w:r w:rsidR="007A7C5A">
        <w:t>is</w:t>
      </w:r>
      <w:r w:rsidRPr="00D954B0">
        <w:t xml:space="preserve"> study has been underpinned firstly by a</w:t>
      </w:r>
      <w:r>
        <w:t xml:space="preserve"> </w:t>
      </w:r>
      <w:r w:rsidRPr="00D954B0">
        <w:t xml:space="preserve">review of a </w:t>
      </w:r>
      <w:r>
        <w:t xml:space="preserve">range </w:t>
      </w:r>
      <w:r w:rsidRPr="00D954B0">
        <w:t xml:space="preserve">of literature </w:t>
      </w:r>
      <w:r w:rsidR="001C3273">
        <w:t>(in Section 2</w:t>
      </w:r>
      <w:r w:rsidR="00DF543A">
        <w:t>.1</w:t>
      </w:r>
      <w:r w:rsidR="001C3273">
        <w:t xml:space="preserve">) </w:t>
      </w:r>
      <w:r w:rsidRPr="00D954B0">
        <w:t xml:space="preserve">on the nature, aetiology, identification and assessment of dyslexia, </w:t>
      </w:r>
      <w:r>
        <w:t xml:space="preserve">with </w:t>
      </w:r>
      <w:r w:rsidRPr="00D954B0">
        <w:t>dyslexia amongst university students</w:t>
      </w:r>
      <w:r>
        <w:t xml:space="preserve"> framing the selection strategy</w:t>
      </w:r>
      <w:r w:rsidRPr="00D954B0">
        <w:t>.</w:t>
      </w:r>
      <w:r w:rsidRPr="00D60648">
        <w:t xml:space="preserve"> </w:t>
      </w:r>
      <w:r w:rsidR="00D60648" w:rsidRPr="00D60648">
        <w:t>This informed the establishment of a fresh descriptor, dyslexia-ness, as one element of the research design. Being a measure of the intensity that the attributes and characteristics of dyslexia have on study behaviours at university, dyslexia-ness is built on the understanding that dyslexia is best considered as a continuum construct rather than a categorical one. Stemming from the broad, BDA definition of dyslexia, this led to the idea of The Dyslexia-ness Continuum (see sub-section 3.3.III</w:t>
      </w:r>
      <w:r w:rsidR="00266998">
        <w:t>/</w:t>
      </w:r>
      <w:r w:rsidR="00D60648" w:rsidRPr="00D60648">
        <w:t>2</w:t>
      </w:r>
      <w:r w:rsidR="00266998">
        <w:t>(</w:t>
      </w:r>
      <w:r w:rsidR="00D60648" w:rsidRPr="00D60648">
        <w:t>2</w:t>
      </w:r>
      <w:r w:rsidR="00266998">
        <w:t>.2</w:t>
      </w:r>
      <w:r w:rsidR="00D60648" w:rsidRPr="00D60648">
        <w:t>)</w:t>
      </w:r>
      <w:r w:rsidR="00266998">
        <w:t>)</w:t>
      </w:r>
      <w:r w:rsidR="00D60648" w:rsidRPr="00D60648">
        <w:t xml:space="preserve"> where dyslexia-ness has been operationalized through the development of a profiler and a new metric, Dyslexia Index (Dx), which aimed to be valid across the wider student community rather than be focused specifically at students with identified dyslexia</w:t>
      </w:r>
      <w:r w:rsidR="00D60648">
        <w:rPr>
          <w:rFonts w:ascii="Times New Roman" w:eastAsia="Times New Roman" w:hAnsi="Times New Roman" w:cs="Times New Roman"/>
          <w:sz w:val="24"/>
          <w:szCs w:val="24"/>
          <w:lang w:eastAsia="en-GB"/>
        </w:rPr>
        <w:t xml:space="preserve">. </w:t>
      </w:r>
      <w:r w:rsidR="001C3273" w:rsidRPr="001C3273">
        <w:rPr>
          <w:lang w:eastAsia="en-GB"/>
        </w:rPr>
        <w:t xml:space="preserve">This </w:t>
      </w:r>
      <w:r w:rsidR="000F4678">
        <w:rPr>
          <w:lang w:eastAsia="en-GB"/>
        </w:rPr>
        <w:t xml:space="preserve">served as an essential component </w:t>
      </w:r>
      <w:r w:rsidR="001C3273" w:rsidRPr="001C3273">
        <w:rPr>
          <w:lang w:eastAsia="en-GB"/>
        </w:rPr>
        <w:t>to the study</w:t>
      </w:r>
      <w:r w:rsidR="000F4678">
        <w:rPr>
          <w:lang w:eastAsia="en-GB"/>
        </w:rPr>
        <w:t xml:space="preserve">, enabling </w:t>
      </w:r>
      <w:r w:rsidR="001C3273" w:rsidRPr="001C3273">
        <w:rPr>
          <w:lang w:eastAsia="en-GB"/>
        </w:rPr>
        <w:t>a test sub-group of quasi-dyslexic students to be established in a way that was ethically non-controversial</w:t>
      </w:r>
      <w:r w:rsidR="000F4678">
        <w:rPr>
          <w:lang w:eastAsia="en-GB"/>
        </w:rPr>
        <w:t xml:space="preserve">. These were students </w:t>
      </w:r>
      <w:r w:rsidR="001C3273" w:rsidRPr="001C3273">
        <w:rPr>
          <w:lang w:eastAsia="en-GB"/>
        </w:rPr>
        <w:t xml:space="preserve">who </w:t>
      </w:r>
      <w:r w:rsidR="001C3273" w:rsidRPr="001C3273">
        <w:rPr>
          <w:lang w:eastAsia="en-GB"/>
        </w:rPr>
        <w:lastRenderedPageBreak/>
        <w:t xml:space="preserve">appeared to be presenting many characteristics and attributes typically associated with dyslexia but who were not identified as dyslexic. Thus, comparisons could be made with both a control subgroup of students with </w:t>
      </w:r>
      <w:r w:rsidR="000F4678">
        <w:rPr>
          <w:lang w:eastAsia="en-GB"/>
        </w:rPr>
        <w:t xml:space="preserve">a </w:t>
      </w:r>
      <w:r w:rsidR="001C3273" w:rsidRPr="001C3273">
        <w:rPr>
          <w:lang w:eastAsia="en-GB"/>
        </w:rPr>
        <w:t>formal identification of dyslexia, and a base subgroup of non-dyslexic students, as determined by their low levels of dyslexia-ness in the profiler.</w:t>
      </w:r>
    </w:p>
    <w:p w14:paraId="2D5FA856" w14:textId="3543D00A" w:rsidR="00903D66" w:rsidRPr="00D954B0" w:rsidRDefault="00903D66" w:rsidP="00903D66">
      <w:r w:rsidRPr="00D954B0">
        <w:t xml:space="preserve">Secondly, a comprehensive review of the theory and previous research relating to academic confidence, principally operationalized through academic </w:t>
      </w:r>
      <w:r w:rsidRPr="00D954B0">
        <w:rPr>
          <w:i/>
        </w:rPr>
        <w:t>behavioural</w:t>
      </w:r>
      <w:r w:rsidRPr="00D954B0">
        <w:t xml:space="preserve"> confidence</w:t>
      </w:r>
      <w:r>
        <w:t>,</w:t>
      </w:r>
      <w:r w:rsidRPr="00D954B0">
        <w:t xml:space="preserve"> has been presented</w:t>
      </w:r>
      <w:r w:rsidR="00DC4E9A">
        <w:t xml:space="preserve"> (in Section 2</w:t>
      </w:r>
      <w:r w:rsidR="00DF543A">
        <w:t>.2</w:t>
      </w:r>
      <w:r w:rsidR="00DC4E9A">
        <w:t>)</w:t>
      </w:r>
      <w:r w:rsidRPr="00D954B0">
        <w:t xml:space="preserve">. </w:t>
      </w:r>
      <w:r w:rsidR="00DC4E9A">
        <w:t xml:space="preserve">Academic confidence </w:t>
      </w:r>
      <w:r w:rsidRPr="00D954B0">
        <w:t>is located within the framework of the parent construct of academic self-efficacy, itself identified as an element of Social Cognitive Theory</w:t>
      </w:r>
      <w:r>
        <w:t xml:space="preserve"> (SCT)</w:t>
      </w:r>
      <w:r w:rsidRPr="00D954B0">
        <w:t xml:space="preserve"> in extensive earlier research by Bandura (</w:t>
      </w:r>
      <w:r>
        <w:t>e.g.: 1997b, 2000, 2001</w:t>
      </w:r>
      <w:r w:rsidRPr="00D954B0">
        <w:t>)</w:t>
      </w:r>
      <w:r>
        <w:t xml:space="preserve">. SCT </w:t>
      </w:r>
      <w:r w:rsidR="00110336">
        <w:t xml:space="preserve">about explaining human behaviour in the context of systems of self-regulation, and Bandura's thesis is that these systems are the principal activators of all individuals' actions and behaviours. The theory </w:t>
      </w:r>
      <w:r>
        <w:t xml:space="preserve">is outlined and </w:t>
      </w:r>
      <w:r w:rsidRPr="00D954B0">
        <w:t>selectively reviewed</w:t>
      </w:r>
      <w:r w:rsidR="000F4678">
        <w:t>,</w:t>
      </w:r>
      <w:r>
        <w:t xml:space="preserve"> </w:t>
      </w:r>
      <w:r w:rsidR="00DC4E9A">
        <w:t xml:space="preserve">particularly </w:t>
      </w:r>
      <w:r>
        <w:t>in relation to education and learning</w:t>
      </w:r>
      <w:r w:rsidR="00310D86">
        <w:t xml:space="preserve"> in Section 2</w:t>
      </w:r>
      <w:r w:rsidRPr="00D954B0">
        <w:t xml:space="preserve">. Hence, </w:t>
      </w:r>
      <w:r>
        <w:t xml:space="preserve">the use of </w:t>
      </w:r>
      <w:r w:rsidRPr="00D954B0">
        <w:t xml:space="preserve">academic confidence </w:t>
      </w:r>
      <w:r>
        <w:t>as a construct is discussed from the theoretical perspective, with data collected</w:t>
      </w:r>
      <w:r w:rsidRPr="00D954B0">
        <w:t xml:space="preserve"> using the existing, A</w:t>
      </w:r>
      <w:r>
        <w:t>c</w:t>
      </w:r>
      <w:r w:rsidRPr="00D954B0">
        <w:t xml:space="preserve">ademic Behavioural Confidence </w:t>
      </w:r>
      <w:r>
        <w:t xml:space="preserve">(ABC) </w:t>
      </w:r>
      <w:r w:rsidRPr="00D954B0">
        <w:t>Scale</w:t>
      </w:r>
      <w:r>
        <w:t>, which s</w:t>
      </w:r>
      <w:r w:rsidRPr="00D954B0">
        <w:t>ets out to gauge students</w:t>
      </w:r>
      <w:r>
        <w:t>’</w:t>
      </w:r>
      <w:r w:rsidRPr="00D954B0">
        <w:t xml:space="preserve"> actions and behaviours in academic study</w:t>
      </w:r>
      <w:r>
        <w:t xml:space="preserve"> </w:t>
      </w:r>
      <w:r w:rsidRPr="00D954B0">
        <w:t>(Sander &amp; Sanders, 2006a).</w:t>
      </w:r>
    </w:p>
    <w:p w14:paraId="21F0B1D5" w14:textId="233A0831" w:rsidR="005909C2" w:rsidRDefault="00903D66" w:rsidP="00EC3931">
      <w:r w:rsidRPr="00D954B0">
        <w:t xml:space="preserve">Data collected from a sample of university students through an online, self-report questionnaire was largely quantitative, although additional qualitative </w:t>
      </w:r>
      <w:r w:rsidR="000C28C5">
        <w:t>responses</w:t>
      </w:r>
      <w:r w:rsidRPr="00D954B0">
        <w:t xml:space="preserve"> w</w:t>
      </w:r>
      <w:r>
        <w:t>ere invited</w:t>
      </w:r>
      <w:r w:rsidRPr="00D954B0">
        <w:t xml:space="preserve">. Statistical analysis set out to explore research questions </w:t>
      </w:r>
      <w:r>
        <w:t xml:space="preserve">about </w:t>
      </w:r>
      <w:r w:rsidRPr="00D954B0">
        <w:t>the extent to which dyslexia</w:t>
      </w:r>
      <w:r>
        <w:t>-ness</w:t>
      </w:r>
      <w:r w:rsidRPr="00D954B0">
        <w:t xml:space="preserve"> impacted on academic confidence</w:t>
      </w:r>
      <w:r w:rsidR="00DC4E9A">
        <w:t xml:space="preserve"> (see </w:t>
      </w:r>
      <w:r w:rsidR="007A7C5A">
        <w:t xml:space="preserve">1.4, </w:t>
      </w:r>
      <w:r w:rsidR="00DC4E9A">
        <w:t>belo</w:t>
      </w:r>
      <w:r w:rsidR="007A7C5A">
        <w:t>w</w:t>
      </w:r>
      <w:r w:rsidR="00DC4E9A">
        <w:t>)</w:t>
      </w:r>
      <w:r w:rsidRPr="00D954B0">
        <w:t xml:space="preserve">. Null hypotheses are stated, and evidence to address these </w:t>
      </w:r>
      <w:r w:rsidR="00DC4E9A">
        <w:t>wa</w:t>
      </w:r>
      <w:r w:rsidRPr="00D954B0">
        <w:t xml:space="preserve">s based on effect size differences between research group and subgroup sample means, supported by conventional independent sample means’ </w:t>
      </w:r>
      <w:r w:rsidRPr="00D954B0">
        <w:rPr>
          <w:i/>
        </w:rPr>
        <w:t>p</w:t>
      </w:r>
      <w:r w:rsidRPr="00D954B0">
        <w:t xml:space="preserve">-value outcomes. </w:t>
      </w:r>
      <w:r w:rsidR="00DF543A">
        <w:t>Although the analysis was able to respond adequately to the research hypotheses</w:t>
      </w:r>
      <w:r w:rsidR="005909C2">
        <w:t xml:space="preserve">, it was considered that exploring dimension reduction techniques using principal component analysis might add depth to the results. </w:t>
      </w:r>
      <w:r w:rsidR="000C28C5">
        <w:t>The outcomes were mixed, perhaps indicating that this approach may need a larger and/or more diverse sample for more convincing outputs to be generated. A</w:t>
      </w:r>
      <w:r w:rsidR="00420F43">
        <w:t xml:space="preserve"> </w:t>
      </w:r>
      <w:r w:rsidRPr="00D954B0">
        <w:t xml:space="preserve">regression analysis </w:t>
      </w:r>
      <w:r w:rsidR="000C28C5">
        <w:t xml:space="preserve">was </w:t>
      </w:r>
      <w:r w:rsidR="00420F43">
        <w:t xml:space="preserve">also </w:t>
      </w:r>
      <w:r w:rsidR="000C28C5">
        <w:t>tentatively explored to determine whether the output might add substance to the analysis outcomes</w:t>
      </w:r>
      <w:r w:rsidR="00420F43">
        <w:t xml:space="preserve"> (</w:t>
      </w:r>
      <w:r w:rsidR="000123D2">
        <w:t xml:space="preserve">see </w:t>
      </w:r>
      <w:r w:rsidR="00420F43">
        <w:t>Section 4)</w:t>
      </w:r>
      <w:r w:rsidR="000C28C5">
        <w:t>.</w:t>
      </w:r>
      <w:r w:rsidRPr="00D954B0">
        <w:t xml:space="preserve"> </w:t>
      </w:r>
      <w:r w:rsidR="00420F43">
        <w:t xml:space="preserve">These additional analyses are reported and discussed, although </w:t>
      </w:r>
      <w:r w:rsidR="009C10D3">
        <w:t xml:space="preserve">the </w:t>
      </w:r>
      <w:r w:rsidR="00420F43">
        <w:t xml:space="preserve">results are </w:t>
      </w:r>
      <w:r w:rsidR="009C10D3">
        <w:t xml:space="preserve">used </w:t>
      </w:r>
      <w:r w:rsidR="00420F43">
        <w:t>mainly</w:t>
      </w:r>
      <w:r w:rsidR="009C10D3">
        <w:t xml:space="preserve"> </w:t>
      </w:r>
      <w:r w:rsidR="00420F43">
        <w:t>to suggest possible directions for future research (see Section 6).</w:t>
      </w:r>
    </w:p>
    <w:p w14:paraId="770BF493" w14:textId="77777777" w:rsidR="007F47C2" w:rsidRPr="007F47C2" w:rsidRDefault="007F47C2" w:rsidP="007F47C2">
      <w:pPr>
        <w:rPr>
          <w:rFonts w:eastAsia="Times New Roman"/>
          <w:lang w:eastAsia="en-GB"/>
        </w:rPr>
      </w:pPr>
      <w:r w:rsidRPr="007F47C2">
        <w:rPr>
          <w:rFonts w:eastAsia="Times New Roman"/>
          <w:lang w:eastAsia="en-GB"/>
        </w:rPr>
        <w:t xml:space="preserve">Qualitative data was also collected, although providing it was optional, with none being received from students in the non-dyslexic group. Hence, although conducting an Interpretative Phenomenological Analysis may have been a possible approach for analysing these data for the dyslexic group alone, as no comparison was available with </w:t>
      </w:r>
      <w:r w:rsidRPr="007F47C2">
        <w:rPr>
          <w:rFonts w:eastAsia="Times New Roman"/>
          <w:lang w:eastAsia="en-GB"/>
        </w:rPr>
        <w:lastRenderedPageBreak/>
        <w:t>other participants, it was considered more appropriate to use these data to contextualize some of the statistical conclusions in the discussion element of the thesis instead, and where apposite (see Section 5). However, these data have been reserved for a focused analysis later which may be included in a subsequent study.</w:t>
      </w:r>
    </w:p>
    <w:p w14:paraId="00DFE398" w14:textId="06DE202A" w:rsidR="008F4947" w:rsidRDefault="00FF5F3B" w:rsidP="008F4947">
      <w:pPr>
        <w:pStyle w:val="Heading3"/>
      </w:pPr>
      <w:bookmarkStart w:id="31" w:name="_Toc57035887"/>
      <w:r>
        <w:t>II</w:t>
      </w:r>
      <w:r w:rsidR="00882E9A">
        <w:t>I</w:t>
      </w:r>
      <w:r w:rsidR="00E2724C">
        <w:tab/>
      </w:r>
      <w:r w:rsidR="008F4947">
        <w:t>Register</w:t>
      </w:r>
      <w:bookmarkEnd w:id="31"/>
    </w:p>
    <w:p w14:paraId="5C12A7B5" w14:textId="447AFB78" w:rsidR="008F4947" w:rsidRDefault="008E74F3" w:rsidP="00EC3931">
      <w:r>
        <w:t>T</w:t>
      </w:r>
      <w:r w:rsidR="008F4947" w:rsidRPr="004C7B26">
        <w:t>he majority of this thesis is written objectively and in th</w:t>
      </w:r>
      <w:r w:rsidR="008F4947">
        <w:t>e third</w:t>
      </w:r>
      <w:r w:rsidR="008D0258">
        <w:t xml:space="preserve"> </w:t>
      </w:r>
      <w:r w:rsidR="008F4947">
        <w:t>person. However,</w:t>
      </w:r>
      <w:r w:rsidR="008F4947" w:rsidRPr="004C7B26">
        <w:t xml:space="preserve"> some sections relate more of the personal and reflective elements of the</w:t>
      </w:r>
      <w:r w:rsidR="008F4947">
        <w:t xml:space="preserve"> learning journey of </w:t>
      </w:r>
      <w:r w:rsidR="008F4947" w:rsidRPr="004C7B26">
        <w:t>th</w:t>
      </w:r>
      <w:r w:rsidR="008F4947">
        <w:t>e researcher,</w:t>
      </w:r>
      <w:r w:rsidR="008F4947" w:rsidRPr="004C7B26">
        <w:t xml:space="preserve"> and hence are narrated in the first person. This also serves to distinguish between the reporting of the evidence-</w:t>
      </w:r>
      <w:r w:rsidR="008F4947">
        <w:t>base</w:t>
      </w:r>
      <w:r w:rsidR="008F4947" w:rsidRPr="004C7B26">
        <w:t>d outcomes of the project and my stance as a practitioner-researcher in the field of education and learning development at university.</w:t>
      </w:r>
      <w:r w:rsidR="008F4947">
        <w:t xml:space="preserve"> Where direct quotations have been taken from other literature, these are shown in double quotation marks; single inverted commas are used as marks of emphasis (e.g.: ‘reasonable adjustments’); direct quotations from participants in this, and other studies are italicized when presented in the narrative, or shown in a reduced font-size when part of a bulleted list.</w:t>
      </w:r>
    </w:p>
    <w:p w14:paraId="3D0DFB5E" w14:textId="77777777" w:rsidR="005F78BC" w:rsidRDefault="005F78BC" w:rsidP="00EC3931"/>
    <w:p w14:paraId="2B5FC906" w14:textId="03631423" w:rsidR="00903D66" w:rsidRPr="00EC1BC2" w:rsidRDefault="00903D66" w:rsidP="00903D66">
      <w:pPr>
        <w:pStyle w:val="Heading2"/>
      </w:pPr>
      <w:bookmarkStart w:id="32" w:name="_Toc57035888"/>
      <w:r>
        <w:t>1.3</w:t>
      </w:r>
      <w:r w:rsidR="00E2724C">
        <w:tab/>
      </w:r>
      <w:r>
        <w:t>Research Importance</w:t>
      </w:r>
      <w:bookmarkEnd w:id="27"/>
      <w:bookmarkEnd w:id="32"/>
    </w:p>
    <w:p w14:paraId="0418C5A7" w14:textId="25E87011" w:rsidR="00903D66" w:rsidRDefault="006F3FE3" w:rsidP="008D0258">
      <w:r>
        <w:t>N</w:t>
      </w:r>
      <w:r w:rsidRPr="00327BF0">
        <w:t xml:space="preserve">o peer-reviewed studies </w:t>
      </w:r>
      <w:r>
        <w:t xml:space="preserve">were found </w:t>
      </w:r>
      <w:r w:rsidRPr="00327BF0">
        <w:t xml:space="preserve">that specifically explore </w:t>
      </w:r>
      <w:r w:rsidR="00903D66" w:rsidRPr="00327BF0">
        <w:t xml:space="preserve">how the academic confidence of dyslexic students at university may be affected by their dyslexia when compared to their </w:t>
      </w:r>
      <w:r w:rsidR="00903D66" w:rsidRPr="00BA26C0">
        <w:rPr>
          <w:i/>
        </w:rPr>
        <w:t>quasi</w:t>
      </w:r>
      <w:r w:rsidR="00903D66" w:rsidRPr="00C2422F">
        <w:t>-dyslexic</w:t>
      </w:r>
      <w:r w:rsidR="00903D66" w:rsidRPr="00327BF0">
        <w:t xml:space="preserve"> and non-dyslexic peers. </w:t>
      </w:r>
      <w:r w:rsidR="00903D66">
        <w:t>Searching across journals databases revealed only an unpublished dissertation (Asquith, 2008) which explored</w:t>
      </w:r>
      <w:r w:rsidR="00903D66" w:rsidRPr="00327BF0">
        <w:t xml:space="preserve"> how dyslexia was related to academic confidence</w:t>
      </w:r>
      <w:r w:rsidR="008E74F3">
        <w:t xml:space="preserve"> and to self-esteem</w:t>
      </w:r>
      <w:r w:rsidR="00903D66">
        <w:t xml:space="preserve">. This study </w:t>
      </w:r>
      <w:r w:rsidR="00903D66" w:rsidRPr="00327BF0">
        <w:t>hypothesiz</w:t>
      </w:r>
      <w:r w:rsidR="00903D66">
        <w:t>ed</w:t>
      </w:r>
      <w:r w:rsidR="00903D66" w:rsidRPr="00327BF0">
        <w:t xml:space="preserve"> that dyslexic students who were receiving support would present higher levels </w:t>
      </w:r>
      <w:r w:rsidR="00903D66">
        <w:t>of</w:t>
      </w:r>
      <w:r w:rsidR="00903D66" w:rsidRPr="00327BF0">
        <w:t xml:space="preserve"> each of these constructs in comparison to dyslexic students who were not. A significant feature of </w:t>
      </w:r>
      <w:r w:rsidR="00903D66">
        <w:t xml:space="preserve">the </w:t>
      </w:r>
      <w:r w:rsidR="00903D66" w:rsidRPr="00327BF0">
        <w:t>study was an assumption that a proportion of the apparently non-dyslexic students recruited into the study may present characteristics of dyslexia, a</w:t>
      </w:r>
      <w:r w:rsidR="00903D66">
        <w:t xml:space="preserve">s determined by use of </w:t>
      </w:r>
      <w:r w:rsidR="00903D66" w:rsidRPr="00327BF0">
        <w:t xml:space="preserve">the Vinegrad </w:t>
      </w:r>
      <w:r w:rsidR="00903D66">
        <w:t xml:space="preserve">Adult Dyslexia </w:t>
      </w:r>
      <w:r w:rsidR="00903D66" w:rsidRPr="00327BF0">
        <w:t>Checklist</w:t>
      </w:r>
      <w:r w:rsidR="00903D66">
        <w:t xml:space="preserve"> (Vinegrad, 1994)</w:t>
      </w:r>
      <w:r w:rsidR="00903D66" w:rsidRPr="00327BF0">
        <w:t>. Hence</w:t>
      </w:r>
      <w:r w:rsidR="00903D66">
        <w:t>,</w:t>
      </w:r>
      <w:r w:rsidR="00903D66" w:rsidRPr="00327BF0">
        <w:t xml:space="preserve"> three research subgroups were established: dyslexic students, non-dyslexic students and </w:t>
      </w:r>
      <w:r w:rsidR="00903D66" w:rsidRPr="00C2422F">
        <w:t>quasi-dyslexic</w:t>
      </w:r>
      <w:r w:rsidR="00903D66" w:rsidRPr="00327BF0">
        <w:t xml:space="preserve"> students</w:t>
      </w:r>
      <w:r w:rsidR="00903D66">
        <w:t xml:space="preserve"> although this term was not used</w:t>
      </w:r>
      <w:r w:rsidR="00903D66" w:rsidRPr="00327BF0">
        <w:t xml:space="preserve">. </w:t>
      </w:r>
      <w:r w:rsidR="008E74F3">
        <w:t>Although not considered as a precedent, similarities between that study and this current research were apparent. D</w:t>
      </w:r>
      <w:r w:rsidR="006B34A0">
        <w:t>iscussed more fully later (Section 2</w:t>
      </w:r>
      <w:r w:rsidR="008E74F3">
        <w:t>.2</w:t>
      </w:r>
      <w:r w:rsidR="006B34A0">
        <w:t xml:space="preserve">), briefly, </w:t>
      </w:r>
      <w:r w:rsidR="00903D66" w:rsidRPr="00327BF0">
        <w:t>Asquith identif</w:t>
      </w:r>
      <w:r w:rsidR="00903D66">
        <w:t>ied</w:t>
      </w:r>
      <w:r w:rsidR="00903D66" w:rsidRPr="00327BF0">
        <w:t xml:space="preserve"> significant differences </w:t>
      </w:r>
      <w:r w:rsidR="006B34A0">
        <w:t xml:space="preserve">in </w:t>
      </w:r>
      <w:r w:rsidR="00903D66">
        <w:t>mean values of</w:t>
      </w:r>
      <w:r w:rsidR="00903D66" w:rsidRPr="00327BF0">
        <w:t xml:space="preserve"> academic confidence, </w:t>
      </w:r>
      <w:r w:rsidR="006B34A0">
        <w:t>(</w:t>
      </w:r>
      <w:r w:rsidR="00903D66" w:rsidRPr="00327BF0">
        <w:t>evaluated using the A</w:t>
      </w:r>
      <w:r w:rsidR="00903D66">
        <w:t xml:space="preserve">BC </w:t>
      </w:r>
      <w:r w:rsidR="00903D66" w:rsidRPr="00327BF0">
        <w:t>Scale</w:t>
      </w:r>
      <w:r w:rsidR="006B34A0">
        <w:t xml:space="preserve">), </w:t>
      </w:r>
      <w:r w:rsidR="00903D66" w:rsidRPr="00327BF0">
        <w:t>between dyslexic and non-d</w:t>
      </w:r>
      <w:r w:rsidR="00903D66">
        <w:t>yslexic students. Investigating</w:t>
      </w:r>
      <w:r w:rsidR="00903D66" w:rsidRPr="00327BF0">
        <w:t xml:space="preserve"> differences between </w:t>
      </w:r>
      <w:r w:rsidR="00903D66">
        <w:t xml:space="preserve">dyslexic and </w:t>
      </w:r>
      <w:r w:rsidR="00903D66" w:rsidRPr="00C2422F">
        <w:t>quasi-dyslexic</w:t>
      </w:r>
      <w:r w:rsidR="00903D66">
        <w:t>, or non-dyslexic v</w:t>
      </w:r>
      <w:r w:rsidR="006B34A0">
        <w:t>ersu</w:t>
      </w:r>
      <w:r w:rsidR="00903D66">
        <w:t>s</w:t>
      </w:r>
      <w:r w:rsidR="00903D66" w:rsidRPr="00327BF0">
        <w:t xml:space="preserve"> </w:t>
      </w:r>
      <w:r w:rsidR="00903D66" w:rsidRPr="00C2422F">
        <w:t>quasi-dyslexic</w:t>
      </w:r>
      <w:r w:rsidR="00903D66">
        <w:t xml:space="preserve"> students did not appear to have been attempted. Nothing was said about how ethical tensions were resolved in relation to apparently identifying dyslexic students </w:t>
      </w:r>
      <w:r w:rsidR="00903D66">
        <w:lastRenderedPageBreak/>
        <w:t xml:space="preserve">previously considered to be non-dyslexic, and how this may have been disclosed and followed up. </w:t>
      </w:r>
      <w:r w:rsidR="008639A0">
        <w:t xml:space="preserve">However, </w:t>
      </w:r>
      <w:r w:rsidR="009851DA">
        <w:t>although limited in its scope, research design, and</w:t>
      </w:r>
      <w:r w:rsidR="008F4947">
        <w:t xml:space="preserve"> </w:t>
      </w:r>
      <w:r w:rsidR="009851DA">
        <w:t xml:space="preserve">verifiable outcomes, </w:t>
      </w:r>
      <w:r w:rsidR="00903D66">
        <w:t xml:space="preserve">Asquith’s study has been a useful example of one of the earliest uses of the ABC Scale, </w:t>
      </w:r>
      <w:r w:rsidR="008639A0">
        <w:t>notably</w:t>
      </w:r>
      <w:r w:rsidR="00903D66">
        <w:t xml:space="preserve"> with dyslexic students. </w:t>
      </w:r>
      <w:r w:rsidR="008639A0">
        <w:t>T</w:t>
      </w:r>
      <w:r w:rsidR="00903D66">
        <w:t>his current study takes a more robust approach to developing clearly focused research questions</w:t>
      </w:r>
      <w:r w:rsidR="008639A0">
        <w:t xml:space="preserve"> (see 1.</w:t>
      </w:r>
      <w:r w:rsidR="007A7C5A">
        <w:t>4</w:t>
      </w:r>
      <w:r w:rsidR="008639A0">
        <w:t>,</w:t>
      </w:r>
      <w:r w:rsidR="007E4F5A">
        <w:t xml:space="preserve"> </w:t>
      </w:r>
      <w:r w:rsidR="008639A0">
        <w:t>below),</w:t>
      </w:r>
      <w:r w:rsidR="00903D66">
        <w:t xml:space="preserve"> addressed by a research design </w:t>
      </w:r>
      <w:r w:rsidR="008639A0">
        <w:t>(Section 3) ground</w:t>
      </w:r>
      <w:r w:rsidR="00903D66">
        <w:t>ed in an extensive review of the pertinent literature</w:t>
      </w:r>
      <w:r w:rsidR="008639A0">
        <w:t xml:space="preserve"> (Section 2)</w:t>
      </w:r>
      <w:r w:rsidR="00903D66">
        <w:t xml:space="preserve">, together with a more </w:t>
      </w:r>
      <w:r w:rsidR="008639A0">
        <w:t>elaborate</w:t>
      </w:r>
      <w:r w:rsidR="00903D66">
        <w:t xml:space="preserve"> analysis of data collected</w:t>
      </w:r>
      <w:r w:rsidR="008639A0">
        <w:t xml:space="preserve"> (Section 4).</w:t>
      </w:r>
      <w:r>
        <w:t xml:space="preserve"> Hence t</w:t>
      </w:r>
      <w:r w:rsidRPr="00327BF0">
        <w:t xml:space="preserve">his study </w:t>
      </w:r>
      <w:r>
        <w:t xml:space="preserve">fills </w:t>
      </w:r>
      <w:r w:rsidRPr="00327BF0">
        <w:t xml:space="preserve">a gap in </w:t>
      </w:r>
      <w:r>
        <w:t xml:space="preserve">the existing </w:t>
      </w:r>
      <w:r w:rsidRPr="00327BF0">
        <w:t>research</w:t>
      </w:r>
      <w:r>
        <w:t>.</w:t>
      </w:r>
    </w:p>
    <w:p w14:paraId="61200441" w14:textId="77777777" w:rsidR="005F78BC" w:rsidRDefault="005F78BC" w:rsidP="008D0258"/>
    <w:p w14:paraId="04D69700" w14:textId="57780BED" w:rsidR="00903D66" w:rsidRDefault="00903D66" w:rsidP="00903D66">
      <w:pPr>
        <w:pStyle w:val="Heading2"/>
      </w:pPr>
      <w:bookmarkStart w:id="33" w:name="_Toc9795742"/>
      <w:bookmarkStart w:id="34" w:name="_Toc57035889"/>
      <w:r>
        <w:t>1.</w:t>
      </w:r>
      <w:r w:rsidR="007A7C5A">
        <w:t>4</w:t>
      </w:r>
      <w:r w:rsidR="00E2724C">
        <w:tab/>
      </w:r>
      <w:r>
        <w:t>Research q</w:t>
      </w:r>
      <w:r w:rsidRPr="0007351F">
        <w:t>uestions</w:t>
      </w:r>
      <w:r>
        <w:t xml:space="preserve"> and hypotheses</w:t>
      </w:r>
      <w:bookmarkEnd w:id="33"/>
      <w:bookmarkEnd w:id="34"/>
    </w:p>
    <w:p w14:paraId="376B808A" w14:textId="77777777" w:rsidR="00903D66" w:rsidRDefault="00903D66" w:rsidP="00903D66">
      <w:r>
        <w:t xml:space="preserve">Research questions were formulated thus: </w:t>
      </w:r>
    </w:p>
    <w:p w14:paraId="322F080C" w14:textId="77777777" w:rsidR="00903D66" w:rsidRDefault="00903D66" w:rsidP="00903D66">
      <w:r>
        <w:t xml:space="preserve">Firstly, do students who know about their dyslexia present different levels of academic confidence to that of their non-dyslexic peers? If so, can </w:t>
      </w:r>
      <w:r w:rsidRPr="0007351F">
        <w:t>factors in their dyslexia be identified as those most likely to account for the</w:t>
      </w:r>
      <w:r>
        <w:t>se</w:t>
      </w:r>
      <w:r w:rsidRPr="0007351F">
        <w:t xml:space="preserve"> differe</w:t>
      </w:r>
      <w:r>
        <w:t xml:space="preserve">nces, </w:t>
      </w:r>
      <w:r w:rsidRPr="0007351F">
        <w:t>and are these factors absent or less-significantly impacting in non-dyslexic students?</w:t>
      </w:r>
    </w:p>
    <w:p w14:paraId="51548D00" w14:textId="77777777" w:rsidR="00903D66" w:rsidRPr="00822147" w:rsidRDefault="00903D66" w:rsidP="00903D66">
      <w:r>
        <w:t xml:space="preserve">Secondly, do students with no formally identified dyslexia, but who show evidence of a dyslexia-like learning and study profile, that is, present </w:t>
      </w:r>
      <w:r w:rsidRPr="00C2422F">
        <w:t>quasi-dyslexia</w:t>
      </w:r>
      <w:r>
        <w:t xml:space="preserve">, present different levels of academic confidence to that of their dyslexia-identified peers? If so, </w:t>
      </w:r>
      <w:r>
        <w:rPr>
          <w:bCs/>
        </w:rPr>
        <w:t xml:space="preserve">are the </w:t>
      </w:r>
      <w:r w:rsidRPr="0089768F">
        <w:rPr>
          <w:bCs/>
        </w:rPr>
        <w:t>outcomes sufficient to suggest that identifying dyslexia in student learners is detriment</w:t>
      </w:r>
      <w:r>
        <w:rPr>
          <w:bCs/>
        </w:rPr>
        <w:t>al to their academic confidence?</w:t>
      </w:r>
    </w:p>
    <w:p w14:paraId="33B20E45" w14:textId="77777777" w:rsidR="00903D66" w:rsidRPr="00457259" w:rsidRDefault="00903D66" w:rsidP="00903D66">
      <w:r>
        <w:t>Hence these research questions enabled two, corresponding hypotheses to be formulated:</w:t>
      </w:r>
    </w:p>
    <w:p w14:paraId="50DA3BAA" w14:textId="77777777" w:rsidR="00903D66" w:rsidRPr="00537A60" w:rsidRDefault="00903D66" w:rsidP="00667FB7">
      <w:pPr>
        <w:pStyle w:val="ListParagraph"/>
        <w:numPr>
          <w:ilvl w:val="0"/>
          <w:numId w:val="7"/>
        </w:numPr>
      </w:pPr>
      <w:r w:rsidRPr="00537A60">
        <w:t>H</w:t>
      </w:r>
      <w:r w:rsidRPr="000330B1">
        <w:rPr>
          <w:vertAlign w:val="subscript"/>
        </w:rPr>
        <w:t>o</w:t>
      </w:r>
      <w:r w:rsidRPr="00537A60">
        <w:t>(1) = There is no difference between dyslexic and non-dyslexic students' levels of academic confidence;</w:t>
      </w:r>
    </w:p>
    <w:p w14:paraId="5F2FD75A" w14:textId="77777777" w:rsidR="00903D66" w:rsidRDefault="00903D66" w:rsidP="00667FB7">
      <w:pPr>
        <w:pStyle w:val="ListParagraph"/>
        <w:numPr>
          <w:ilvl w:val="0"/>
          <w:numId w:val="7"/>
        </w:numPr>
      </w:pPr>
      <w:r w:rsidRPr="00537A60">
        <w:t>AH(1) = Non-dyslexic students present a higher level of academic confidence than their dyslexic peers.</w:t>
      </w:r>
    </w:p>
    <w:p w14:paraId="4965756E" w14:textId="77777777" w:rsidR="00903D66" w:rsidRPr="00537A60" w:rsidRDefault="00903D66" w:rsidP="00903D66">
      <w:pPr>
        <w:pStyle w:val="ListParagraph"/>
      </w:pPr>
    </w:p>
    <w:p w14:paraId="5456DFB7" w14:textId="77777777" w:rsidR="00903D66" w:rsidRPr="00537A60" w:rsidRDefault="00903D66" w:rsidP="00667FB7">
      <w:pPr>
        <w:pStyle w:val="ListParagraph"/>
        <w:numPr>
          <w:ilvl w:val="0"/>
          <w:numId w:val="8"/>
        </w:numPr>
      </w:pPr>
      <w:r w:rsidRPr="00537A60">
        <w:t>H</w:t>
      </w:r>
      <w:r w:rsidRPr="000330B1">
        <w:rPr>
          <w:vertAlign w:val="subscript"/>
        </w:rPr>
        <w:t>o</w:t>
      </w:r>
      <w:r w:rsidRPr="00537A60">
        <w:t>(2) = There is no difference between dyslexic and </w:t>
      </w:r>
      <w:r w:rsidRPr="00C2422F">
        <w:rPr>
          <w:iCs/>
        </w:rPr>
        <w:t>quasi-dyslexic</w:t>
      </w:r>
      <w:r w:rsidRPr="00537A60">
        <w:t> students' levels of academic confidence;</w:t>
      </w:r>
    </w:p>
    <w:p w14:paraId="23D158C2" w14:textId="77777777" w:rsidR="00903D66" w:rsidRDefault="00903D66" w:rsidP="00667FB7">
      <w:pPr>
        <w:pStyle w:val="ListParagraph"/>
        <w:numPr>
          <w:ilvl w:val="0"/>
          <w:numId w:val="8"/>
        </w:numPr>
      </w:pPr>
      <w:r w:rsidRPr="00537A60">
        <w:t>AH(2) = </w:t>
      </w:r>
      <w:r w:rsidRPr="00C2422F">
        <w:rPr>
          <w:iCs/>
        </w:rPr>
        <w:t>quasi-dyslexic</w:t>
      </w:r>
      <w:r w:rsidRPr="00537A60">
        <w:t> students present a higher level of academic confidence than their dyslexic peers.</w:t>
      </w:r>
    </w:p>
    <w:p w14:paraId="3146C5D2" w14:textId="255AA2C2" w:rsidR="00903D66" w:rsidRDefault="00903D66" w:rsidP="00903D66">
      <w:r>
        <w:t xml:space="preserve">Furthermore, amongst students with identified dyslexia, does the manner in which these students have learned of their dyslexia impact on their levels of academic confidence? Is </w:t>
      </w:r>
      <w:r>
        <w:lastRenderedPageBreak/>
        <w:t xml:space="preserve">there evidence more specifically, that students whose dyslexia has been </w:t>
      </w:r>
      <w:r>
        <w:rPr>
          <w:i/>
        </w:rPr>
        <w:t>diagnosed</w:t>
      </w:r>
      <w:r>
        <w:t xml:space="preserve"> to them as a </w:t>
      </w:r>
      <w:r>
        <w:rPr>
          <w:i/>
        </w:rPr>
        <w:t>disability</w:t>
      </w:r>
      <w:r>
        <w:t xml:space="preserve"> present lower levels of academic confidence than those whose dyslexia has been reported to them in other ways, for example, </w:t>
      </w:r>
      <w:r>
        <w:rPr>
          <w:i/>
        </w:rPr>
        <w:t>identified</w:t>
      </w:r>
      <w:r>
        <w:t xml:space="preserve"> as a </w:t>
      </w:r>
      <w:r>
        <w:rPr>
          <w:i/>
        </w:rPr>
        <w:t>diff</w:t>
      </w:r>
      <w:r w:rsidR="00E571AF">
        <w:rPr>
          <w:i/>
        </w:rPr>
        <w:t>erence</w:t>
      </w:r>
      <w:r>
        <w:rPr>
          <w:i/>
        </w:rPr>
        <w:t>.</w:t>
      </w:r>
      <w:r>
        <w:t xml:space="preserve"> </w:t>
      </w:r>
      <w:r w:rsidR="00F268E8" w:rsidRPr="00F268E8">
        <w:t xml:space="preserve">'Diagnosis' is principally a medical construct used to determine the existence of an illness, including mental illness, or a physiological or health abnormality, and affective responses to being 'diagnosed' are widely reported in a variety of fields. In the context of dyslexia, </w:t>
      </w:r>
      <w:r w:rsidR="00F268E8">
        <w:t xml:space="preserve">if lower levels of academic confidence are found to be associated with a diagnosis of dyslexia as a disability, this </w:t>
      </w:r>
      <w:r w:rsidR="00F268E8" w:rsidRPr="00F268E8">
        <w:t xml:space="preserve">may suggest that the importance of </w:t>
      </w:r>
      <w:r w:rsidR="00F268E8" w:rsidRPr="00F268E8">
        <w:rPr>
          <w:i/>
          <w:iCs/>
        </w:rPr>
        <w:t>not</w:t>
      </w:r>
      <w:r w:rsidR="00F268E8" w:rsidRPr="00F268E8">
        <w:t xml:space="preserve"> presenting dyslexia as a clinical or medical condition, implied by diagnosing it, could be more widely understood. Given the aspiration of higher education to be inclusive and non-judgmental, not least through the widespread adoption of the social model of disability, it might be argued that diagnosing dyslexia as a disability is evidence of an albeit tacit, but </w:t>
      </w:r>
      <w:r w:rsidR="00F268E8">
        <w:t xml:space="preserve">nevertheless </w:t>
      </w:r>
      <w:r w:rsidR="00F268E8" w:rsidRPr="00F268E8">
        <w:t>embedded legacy of the out-dated, medical model of disability.</w:t>
      </w:r>
    </w:p>
    <w:p w14:paraId="031FDDBD" w14:textId="77777777" w:rsidR="00903D66" w:rsidRDefault="00903D66" w:rsidP="00903D66">
      <w:r>
        <w:t>Hence these subsidiary questions prompted a further hypothesis:</w:t>
      </w:r>
    </w:p>
    <w:p w14:paraId="788A43F8" w14:textId="77777777" w:rsidR="00903D66" w:rsidRDefault="00903D66" w:rsidP="00667FB7">
      <w:pPr>
        <w:pStyle w:val="ListParagraph"/>
        <w:numPr>
          <w:ilvl w:val="0"/>
          <w:numId w:val="7"/>
        </w:numPr>
      </w:pPr>
      <w:r w:rsidRPr="00537A60">
        <w:t>H</w:t>
      </w:r>
      <w:r w:rsidRPr="000330B1">
        <w:rPr>
          <w:vertAlign w:val="subscript"/>
        </w:rPr>
        <w:t>o</w:t>
      </w:r>
      <w:r w:rsidRPr="00537A60">
        <w:t>(</w:t>
      </w:r>
      <w:r>
        <w:t>3</w:t>
      </w:r>
      <w:r w:rsidRPr="00537A60">
        <w:t xml:space="preserve">) = </w:t>
      </w:r>
      <w:r>
        <w:t>Amongst students with dyslexia, t</w:t>
      </w:r>
      <w:r w:rsidRPr="00537A60">
        <w:t xml:space="preserve">here is no difference </w:t>
      </w:r>
      <w:r>
        <w:t>in academic confidence between students whose dyslexia was formally diagnosed to them as a disability, and those who formally learned of their dyslexia in other ways</w:t>
      </w:r>
      <w:r w:rsidRPr="00537A60">
        <w:t>;</w:t>
      </w:r>
    </w:p>
    <w:p w14:paraId="6B5E76A8" w14:textId="77777777" w:rsidR="00903D66" w:rsidRDefault="00903D66" w:rsidP="00667FB7">
      <w:pPr>
        <w:pStyle w:val="ListParagraph"/>
        <w:numPr>
          <w:ilvl w:val="0"/>
          <w:numId w:val="7"/>
        </w:numPr>
      </w:pPr>
      <w:r w:rsidRPr="00537A60">
        <w:t>AH(</w:t>
      </w:r>
      <w:r>
        <w:t>3</w:t>
      </w:r>
      <w:r w:rsidRPr="00537A60">
        <w:t xml:space="preserve">) = </w:t>
      </w:r>
      <w:r>
        <w:t>Students who were formally diagnosed with dyslexia as a disability present lower levels of academic confidence than their dyslexic peers who formally learned of their dyslexia in other ways.</w:t>
      </w:r>
    </w:p>
    <w:p w14:paraId="7749A9EB" w14:textId="77777777" w:rsidR="007707AB" w:rsidRDefault="007707AB" w:rsidP="007707AB">
      <w:pPr>
        <w:pStyle w:val="Heading1"/>
      </w:pPr>
    </w:p>
    <w:p w14:paraId="3212C1EE" w14:textId="77777777" w:rsidR="005F78BC" w:rsidRDefault="005F78BC">
      <w:pPr>
        <w:spacing w:before="0" w:after="160" w:line="259" w:lineRule="auto"/>
        <w:rPr>
          <w:b/>
          <w:smallCaps/>
          <w:color w:val="4472C4" w:themeColor="accent1"/>
          <w:spacing w:val="5"/>
          <w:sz w:val="32"/>
          <w:szCs w:val="32"/>
        </w:rPr>
      </w:pPr>
      <w:bookmarkStart w:id="35" w:name="_Toc9795726"/>
      <w:r>
        <w:br w:type="page"/>
      </w:r>
    </w:p>
    <w:p w14:paraId="53FA8183" w14:textId="77777777" w:rsidR="005F78BC" w:rsidRDefault="005F78BC" w:rsidP="007707AB">
      <w:pPr>
        <w:pStyle w:val="Heading1"/>
      </w:pPr>
    </w:p>
    <w:p w14:paraId="34821909" w14:textId="6A49754C" w:rsidR="00474F0B" w:rsidRDefault="007707AB" w:rsidP="00474F0B">
      <w:pPr>
        <w:pStyle w:val="Heading1"/>
      </w:pPr>
      <w:bookmarkStart w:id="36" w:name="_Toc57035890"/>
      <w:r w:rsidRPr="00AB320D">
        <w:t>2</w:t>
      </w:r>
      <w:r w:rsidR="00E2724C">
        <w:tab/>
      </w:r>
      <w:r w:rsidRPr="00AB320D">
        <w:t>Theoretical Perspectives</w:t>
      </w:r>
      <w:bookmarkEnd w:id="36"/>
      <w:r w:rsidR="00AB320D">
        <w:t xml:space="preserve"> </w:t>
      </w:r>
    </w:p>
    <w:p w14:paraId="4E8B27F5" w14:textId="2428819A" w:rsidR="005F78BC" w:rsidRPr="00E2724C" w:rsidRDefault="00E2724C" w:rsidP="00E2724C">
      <w:pPr>
        <w:rPr>
          <w:rFonts w:ascii="Gill Sans MT" w:hAnsi="Gill Sans MT" w:cs="Times New Roman (Body CS)"/>
          <w:smallCaps/>
          <w:color w:val="4472C4" w:themeColor="accent1"/>
          <w:sz w:val="28"/>
          <w:szCs w:val="28"/>
        </w:rPr>
      </w:pPr>
      <w:r>
        <w:rPr>
          <w:rFonts w:ascii="Gill Sans MT" w:hAnsi="Gill Sans MT" w:cs="Times New Roman (Body CS)"/>
          <w:smallCaps/>
          <w:color w:val="4472C4" w:themeColor="accent1"/>
          <w:sz w:val="28"/>
          <w:szCs w:val="28"/>
        </w:rPr>
        <w:tab/>
      </w:r>
      <w:r w:rsidRPr="00E2724C">
        <w:rPr>
          <w:rFonts w:ascii="Gill Sans MT" w:hAnsi="Gill Sans MT" w:cs="Times New Roman (Body CS)"/>
          <w:smallCaps/>
          <w:color w:val="4472C4" w:themeColor="accent1"/>
          <w:sz w:val="28"/>
          <w:szCs w:val="28"/>
        </w:rPr>
        <w:t>A</w:t>
      </w:r>
      <w:r w:rsidR="00AB320D" w:rsidRPr="00E2724C">
        <w:rPr>
          <w:rFonts w:ascii="Gill Sans MT" w:hAnsi="Gill Sans MT" w:cs="Times New Roman (Body CS)"/>
          <w:smallCaps/>
          <w:color w:val="4472C4" w:themeColor="accent1"/>
          <w:sz w:val="28"/>
          <w:szCs w:val="28"/>
        </w:rPr>
        <w:t xml:space="preserve"> review of selected literature</w:t>
      </w:r>
    </w:p>
    <w:p w14:paraId="0126E048" w14:textId="77777777" w:rsidR="00C16949" w:rsidRDefault="00C16949" w:rsidP="00AB320D">
      <w:pPr>
        <w:pStyle w:val="Heading5"/>
        <w:spacing w:before="0"/>
        <w:ind w:left="720"/>
      </w:pPr>
      <w:r>
        <w:t>Introduction</w:t>
      </w:r>
    </w:p>
    <w:p w14:paraId="2A037E76" w14:textId="77777777" w:rsidR="00AF5877" w:rsidRDefault="00AF5877" w:rsidP="00AB320D">
      <w:pPr>
        <w:pStyle w:val="Heading5"/>
        <w:spacing w:before="0"/>
        <w:ind w:left="720"/>
      </w:pPr>
      <w:r>
        <w:t>2.1</w:t>
      </w:r>
      <w:r>
        <w:tab/>
        <w:t>Dyslexia</w:t>
      </w:r>
    </w:p>
    <w:p w14:paraId="704C9CEB" w14:textId="77777777" w:rsidR="00AF5877" w:rsidRDefault="00AF5877" w:rsidP="00AB320D">
      <w:pPr>
        <w:pStyle w:val="Heading5"/>
        <w:spacing w:before="0"/>
        <w:ind w:left="1440"/>
      </w:pPr>
      <w:r>
        <w:t>I</w:t>
      </w:r>
      <w:r>
        <w:tab/>
        <w:t>Dyslexia, whatever it is, is complicated</w:t>
      </w:r>
    </w:p>
    <w:p w14:paraId="4424AB5B" w14:textId="7F59DA03" w:rsidR="00AF5877" w:rsidRDefault="00AF5877" w:rsidP="00AB320D">
      <w:pPr>
        <w:pStyle w:val="Heading5"/>
        <w:spacing w:before="0"/>
        <w:ind w:left="1440"/>
      </w:pPr>
      <w:r>
        <w:t>II</w:t>
      </w:r>
      <w:r>
        <w:tab/>
        <w:t>Theoretical standpoints of dyslexia</w:t>
      </w:r>
    </w:p>
    <w:p w14:paraId="350D9808" w14:textId="7E5360E3" w:rsidR="00AF5877" w:rsidRDefault="00AF5877" w:rsidP="00AB320D">
      <w:pPr>
        <w:pStyle w:val="Heading5"/>
        <w:spacing w:before="0"/>
        <w:ind w:left="2160"/>
      </w:pPr>
      <w:r>
        <w:t xml:space="preserve">1. </w:t>
      </w:r>
      <w:r w:rsidR="00204AB1">
        <w:t xml:space="preserve"> </w:t>
      </w:r>
      <w:r>
        <w:t>Dyslexia is a phonological processing disturbance</w:t>
      </w:r>
    </w:p>
    <w:p w14:paraId="52AB0493" w14:textId="3E920C9D" w:rsidR="00AF5877" w:rsidRDefault="00AF5877" w:rsidP="00AB320D">
      <w:pPr>
        <w:pStyle w:val="Heading5"/>
        <w:spacing w:before="0"/>
        <w:ind w:left="2160"/>
      </w:pPr>
      <w:r>
        <w:t xml:space="preserve">2.  Dyslexia is attributable to visual disturbances </w:t>
      </w:r>
    </w:p>
    <w:p w14:paraId="3630C85C" w14:textId="2D28CBD0" w:rsidR="00AF5877" w:rsidRDefault="00AF5877" w:rsidP="00AB320D">
      <w:pPr>
        <w:pStyle w:val="Heading5"/>
        <w:spacing w:before="0"/>
        <w:ind w:left="2160"/>
      </w:pPr>
      <w:r>
        <w:t>3.  Dyslexia is a rapid auditory processing disturbance</w:t>
      </w:r>
    </w:p>
    <w:p w14:paraId="10563942" w14:textId="6EEB7714" w:rsidR="00AF5877" w:rsidRDefault="00AF5877" w:rsidP="00AB320D">
      <w:pPr>
        <w:pStyle w:val="Heading5"/>
        <w:spacing w:before="0"/>
        <w:ind w:left="2160"/>
      </w:pPr>
      <w:r>
        <w:t>4.  Dyslexia results from a mildly dysfunctional cerebellum</w:t>
      </w:r>
    </w:p>
    <w:p w14:paraId="73CCE1F9" w14:textId="7992E10D" w:rsidR="00AF5877" w:rsidRDefault="00AF5877" w:rsidP="00AB320D">
      <w:pPr>
        <w:pStyle w:val="Heading5"/>
        <w:spacing w:before="0"/>
        <w:ind w:left="2160"/>
      </w:pPr>
      <w:r>
        <w:t>5.  Dyslexia is a manifestation of natural human neuro-diversity</w:t>
      </w:r>
    </w:p>
    <w:p w14:paraId="093C0023" w14:textId="7BDD02CE" w:rsidR="00AF5877" w:rsidRPr="00AF5877" w:rsidRDefault="00AF5877" w:rsidP="00AB320D">
      <w:pPr>
        <w:pStyle w:val="Heading5"/>
        <w:spacing w:before="0"/>
        <w:ind w:left="2160"/>
      </w:pPr>
      <w:r>
        <w:t>6.  Dyslexia is a multi-factorial information processing difference</w:t>
      </w:r>
    </w:p>
    <w:p w14:paraId="37FB40C4" w14:textId="77777777" w:rsidR="00AF5877" w:rsidRDefault="00AF5877" w:rsidP="00AB320D">
      <w:pPr>
        <w:pStyle w:val="Heading5"/>
        <w:spacing w:before="0"/>
        <w:ind w:left="1440"/>
      </w:pPr>
      <w:r>
        <w:t>III</w:t>
      </w:r>
      <w:r>
        <w:tab/>
        <w:t>Equitability in learning systems</w:t>
      </w:r>
    </w:p>
    <w:p w14:paraId="328F1C20" w14:textId="77777777" w:rsidR="00AF5877" w:rsidRDefault="00AF5877" w:rsidP="00AB320D">
      <w:pPr>
        <w:pStyle w:val="Heading5"/>
        <w:spacing w:before="0"/>
        <w:ind w:left="1440"/>
      </w:pPr>
      <w:r>
        <w:t>IV</w:t>
      </w:r>
      <w:r>
        <w:tab/>
        <w:t>Labels, categories, dilemmas of difference</w:t>
      </w:r>
    </w:p>
    <w:p w14:paraId="0CBACC4B" w14:textId="77777777" w:rsidR="00AF5877" w:rsidRDefault="00AF5877" w:rsidP="00AB320D">
      <w:pPr>
        <w:pStyle w:val="Heading5"/>
        <w:spacing w:before="0"/>
        <w:ind w:left="1440"/>
      </w:pPr>
      <w:r>
        <w:t>V</w:t>
      </w:r>
      <w:r>
        <w:tab/>
        <w:t>Impact of Identification</w:t>
      </w:r>
    </w:p>
    <w:p w14:paraId="7A475641" w14:textId="77777777" w:rsidR="00AF5877" w:rsidRDefault="00AF5877" w:rsidP="00AB320D">
      <w:pPr>
        <w:pStyle w:val="Heading5"/>
        <w:spacing w:before="0"/>
        <w:ind w:left="1440"/>
      </w:pPr>
      <w:r>
        <w:t>VI</w:t>
      </w:r>
      <w:r>
        <w:tab/>
        <w:t>To Identify, or not to identify?</w:t>
      </w:r>
    </w:p>
    <w:p w14:paraId="68F92E3C" w14:textId="77777777" w:rsidR="00AF5877" w:rsidRDefault="00AF5877" w:rsidP="00AB320D">
      <w:pPr>
        <w:pStyle w:val="Heading5"/>
        <w:spacing w:before="0"/>
        <w:ind w:left="1440"/>
      </w:pPr>
      <w:r>
        <w:t>VII</w:t>
      </w:r>
      <w:r>
        <w:tab/>
        <w:t>Measuring dyslexia</w:t>
      </w:r>
    </w:p>
    <w:p w14:paraId="65978C46" w14:textId="77777777" w:rsidR="00AF5877" w:rsidRDefault="00AF5877" w:rsidP="00AB320D">
      <w:pPr>
        <w:pStyle w:val="Heading5"/>
        <w:spacing w:before="0"/>
        <w:ind w:left="1440"/>
      </w:pPr>
      <w:r>
        <w:t>VIII</w:t>
      </w:r>
      <w:r>
        <w:tab/>
        <w:t>Summary</w:t>
      </w:r>
    </w:p>
    <w:p w14:paraId="185DF292" w14:textId="77777777" w:rsidR="00AF5877" w:rsidRDefault="00AF5877" w:rsidP="00AB320D">
      <w:pPr>
        <w:pStyle w:val="Heading5"/>
        <w:spacing w:before="0"/>
        <w:ind w:left="720"/>
      </w:pPr>
      <w:r>
        <w:t>2.2</w:t>
      </w:r>
      <w:r>
        <w:tab/>
        <w:t>Academic Confidence</w:t>
      </w:r>
    </w:p>
    <w:p w14:paraId="7EFAC9D6" w14:textId="77777777" w:rsidR="00AB320D" w:rsidRDefault="00AB320D" w:rsidP="00AB320D">
      <w:pPr>
        <w:pStyle w:val="Heading5"/>
        <w:spacing w:before="0"/>
        <w:ind w:left="720"/>
      </w:pPr>
      <w:r>
        <w:tab/>
        <w:t>I</w:t>
      </w:r>
      <w:r>
        <w:tab/>
        <w:t>overview</w:t>
      </w:r>
    </w:p>
    <w:p w14:paraId="40465D7F" w14:textId="77777777" w:rsidR="00AB320D" w:rsidRDefault="00AB320D" w:rsidP="00AB320D">
      <w:pPr>
        <w:pStyle w:val="Heading5"/>
        <w:spacing w:before="0"/>
        <w:ind w:left="720"/>
      </w:pPr>
      <w:r>
        <w:tab/>
        <w:t>II</w:t>
      </w:r>
      <w:r>
        <w:tab/>
        <w:t>Underpinning research perspectives</w:t>
      </w:r>
    </w:p>
    <w:p w14:paraId="2B935CF2" w14:textId="77777777" w:rsidR="00AB320D" w:rsidRDefault="00AB320D" w:rsidP="00AB320D">
      <w:pPr>
        <w:pStyle w:val="Heading5"/>
        <w:spacing w:before="0"/>
        <w:ind w:left="720"/>
      </w:pPr>
      <w:r>
        <w:tab/>
      </w:r>
      <w:r>
        <w:tab/>
        <w:t>1.  An overview of Social Cognitive Theory</w:t>
      </w:r>
    </w:p>
    <w:p w14:paraId="374F9907" w14:textId="77777777" w:rsidR="00AB320D" w:rsidRDefault="00AB320D" w:rsidP="00AB320D">
      <w:pPr>
        <w:pStyle w:val="Heading5"/>
        <w:spacing w:before="0"/>
        <w:ind w:left="720"/>
      </w:pPr>
      <w:r>
        <w:tab/>
      </w:r>
      <w:r>
        <w:tab/>
        <w:t>2.  Self-efficacy in social cognitive theory and in learning</w:t>
      </w:r>
    </w:p>
    <w:p w14:paraId="62DA8D0C" w14:textId="77777777" w:rsidR="00AB320D" w:rsidRDefault="00AB320D" w:rsidP="00AB320D">
      <w:pPr>
        <w:pStyle w:val="Heading5"/>
        <w:spacing w:before="0"/>
        <w:ind w:left="720"/>
      </w:pPr>
      <w:r>
        <w:tab/>
      </w:r>
      <w:r>
        <w:tab/>
        <w:t>3.  Dimensions of self-efficacy</w:t>
      </w:r>
    </w:p>
    <w:p w14:paraId="2B6E1DA6" w14:textId="77777777" w:rsidR="00AB320D" w:rsidRDefault="00AB320D" w:rsidP="00AB320D">
      <w:pPr>
        <w:pStyle w:val="Heading5"/>
        <w:spacing w:before="0"/>
        <w:ind w:left="720"/>
      </w:pPr>
      <w:r>
        <w:tab/>
      </w:r>
      <w:r>
        <w:tab/>
        <w:t>4.  Task/Domain specificity</w:t>
      </w:r>
    </w:p>
    <w:p w14:paraId="69E349C5" w14:textId="77777777" w:rsidR="00AB320D" w:rsidRDefault="00AB320D" w:rsidP="00AB320D">
      <w:pPr>
        <w:pStyle w:val="Heading5"/>
        <w:spacing w:before="0"/>
        <w:ind w:left="720"/>
      </w:pPr>
      <w:r>
        <w:tab/>
      </w:r>
      <w:r>
        <w:tab/>
        <w:t>5.  Mediating processes in learning (academic) self-efficacy</w:t>
      </w:r>
    </w:p>
    <w:p w14:paraId="31B5A0F1" w14:textId="77777777" w:rsidR="00AB320D" w:rsidRDefault="00AB320D" w:rsidP="00AB320D">
      <w:pPr>
        <w:pStyle w:val="Heading5"/>
        <w:spacing w:before="0"/>
        <w:ind w:left="720"/>
      </w:pPr>
      <w:r>
        <w:tab/>
      </w:r>
      <w:r>
        <w:tab/>
        <w:t>6.  Agency</w:t>
      </w:r>
    </w:p>
    <w:p w14:paraId="4996C1CF" w14:textId="77777777" w:rsidR="00AB320D" w:rsidRDefault="00AB320D" w:rsidP="00AB320D">
      <w:pPr>
        <w:pStyle w:val="Heading5"/>
        <w:spacing w:before="0"/>
        <w:ind w:left="720"/>
      </w:pPr>
      <w:r>
        <w:tab/>
        <w:t>III</w:t>
      </w:r>
      <w:r>
        <w:tab/>
        <w:t>Social Cognitive Theory in Education and Learning</w:t>
      </w:r>
    </w:p>
    <w:p w14:paraId="4AC690C6" w14:textId="51081A4C" w:rsidR="00AB320D" w:rsidRDefault="00AB320D" w:rsidP="00AB320D">
      <w:pPr>
        <w:pStyle w:val="Heading5"/>
        <w:spacing w:before="0"/>
        <w:ind w:left="720"/>
      </w:pPr>
      <w:r>
        <w:tab/>
        <w:t>IV</w:t>
      </w:r>
      <w:r>
        <w:tab/>
        <w:t>Academic Behavioural Confidence (ABC)</w:t>
      </w:r>
    </w:p>
    <w:p w14:paraId="16ECC119" w14:textId="3EE5BCA3" w:rsidR="00AB320D" w:rsidRDefault="00AB320D" w:rsidP="00CB0AB7">
      <w:pPr>
        <w:pStyle w:val="Heading5"/>
        <w:spacing w:before="0"/>
      </w:pPr>
      <w:r>
        <w:tab/>
      </w:r>
      <w:r>
        <w:tab/>
      </w:r>
      <w:r>
        <w:tab/>
        <w:t>1. Historical Development of ABC</w:t>
      </w:r>
    </w:p>
    <w:p w14:paraId="0E8289B1" w14:textId="46890DC3" w:rsidR="00AB320D" w:rsidRDefault="00AB320D" w:rsidP="00CB0AB7">
      <w:pPr>
        <w:pStyle w:val="Heading5"/>
        <w:spacing w:before="0"/>
      </w:pPr>
      <w:r>
        <w:tab/>
      </w:r>
      <w:r>
        <w:tab/>
      </w:r>
      <w:r>
        <w:tab/>
        <w:t>2.  Recent research using the ABC Scale</w:t>
      </w:r>
    </w:p>
    <w:p w14:paraId="12E1C84F" w14:textId="7F8CA217" w:rsidR="00266998" w:rsidRPr="00266998" w:rsidRDefault="00266998" w:rsidP="00CB0AB7">
      <w:pPr>
        <w:pStyle w:val="Heading5"/>
        <w:spacing w:before="0"/>
      </w:pPr>
      <w:r>
        <w:tab/>
      </w:r>
      <w:r>
        <w:tab/>
        <w:t>V</w:t>
      </w:r>
      <w:r>
        <w:tab/>
        <w:t>Summary</w:t>
      </w:r>
    </w:p>
    <w:p w14:paraId="01A9E7D2" w14:textId="7071A792" w:rsidR="00C16949" w:rsidRDefault="00C16949" w:rsidP="00AB320D">
      <w:pPr>
        <w:pStyle w:val="Heading5"/>
        <w:spacing w:before="0"/>
        <w:ind w:left="720"/>
        <w:rPr>
          <w:color w:val="4472C4" w:themeColor="accent1"/>
          <w:spacing w:val="5"/>
          <w:sz w:val="26"/>
          <w:szCs w:val="28"/>
        </w:rPr>
      </w:pPr>
      <w:r>
        <w:br w:type="page"/>
      </w:r>
    </w:p>
    <w:p w14:paraId="3447F78B" w14:textId="7D1829E0" w:rsidR="007707AB" w:rsidRDefault="007707AB" w:rsidP="007707AB">
      <w:pPr>
        <w:pStyle w:val="Heading2"/>
      </w:pPr>
      <w:bookmarkStart w:id="37" w:name="_Toc9795727"/>
      <w:bookmarkStart w:id="38" w:name="_Toc57035891"/>
      <w:bookmarkEnd w:id="35"/>
      <w:r>
        <w:lastRenderedPageBreak/>
        <w:t>Introduction</w:t>
      </w:r>
      <w:bookmarkEnd w:id="37"/>
      <w:bookmarkEnd w:id="38"/>
    </w:p>
    <w:p w14:paraId="47F04FEF" w14:textId="77777777" w:rsidR="007707AB" w:rsidRDefault="007707AB" w:rsidP="007707AB">
      <w:r w:rsidRPr="00F210BA">
        <w:t xml:space="preserve">This thesis is exploring how </w:t>
      </w:r>
      <w:r>
        <w:t xml:space="preserve">dyslexia affects </w:t>
      </w:r>
      <w:r w:rsidRPr="00F210BA">
        <w:t>academic confidence in university studen</w:t>
      </w:r>
      <w:r>
        <w:t>ts</w:t>
      </w:r>
      <w:r w:rsidRPr="00F210BA">
        <w:t>. Academic self-efficacy and academic confidence stem from the same components of self-efficacy (</w:t>
      </w:r>
      <w:r>
        <w:t>Sander &amp; Sanders, 2006</w:t>
      </w:r>
      <w:r w:rsidRPr="00F210BA">
        <w:t>) proposed by Bandura as core to Social Cognitive Theory (SCT)</w:t>
      </w:r>
      <w:r>
        <w:t>,</w:t>
      </w:r>
      <w:r w:rsidRPr="00F210BA">
        <w:t xml:space="preserve"> (Bandura, 1977. 1986, 1997a) which is di</w:t>
      </w:r>
      <w:r>
        <w:t>scussed in some detail. Applying this underpinning theory to university contexts, Sander and</w:t>
      </w:r>
      <w:r w:rsidRPr="00F210BA">
        <w:t xml:space="preserve"> Sanders (2003) suggest that academic confidence is thus likely to be a mediating variable that acts between a student's inherent academic capabilities, their learning-style preferences and the opportunities for gaining creditable academic achievements that exist at university as experiences impact on expectations. To gauge academic confidence, the Academic Behavioural Confidence (ABC) Scale was developed as a means to assess students' levels o</w:t>
      </w:r>
      <w:r>
        <w:t>f</w:t>
      </w:r>
      <w:r w:rsidRPr="00F210BA">
        <w:t xml:space="preserve"> confidence in their behaviours, actions and plans in tackling their academic study (Sander &amp; Sanders, 2007)</w:t>
      </w:r>
      <w:r>
        <w:t>. Th</w:t>
      </w:r>
      <w:r w:rsidRPr="00F210BA">
        <w:t xml:space="preserve">e ABC Scale is the metric </w:t>
      </w:r>
      <w:r>
        <w:t>u</w:t>
      </w:r>
      <w:r w:rsidRPr="00F210BA">
        <w:t>sed in this study</w:t>
      </w:r>
      <w:r>
        <w:t xml:space="preserve"> with the aim</w:t>
      </w:r>
      <w:r w:rsidRPr="00F210BA">
        <w:t xml:space="preserve"> </w:t>
      </w:r>
      <w:r>
        <w:t>of</w:t>
      </w:r>
      <w:r w:rsidRPr="00F210BA">
        <w:t xml:space="preserve"> look</w:t>
      </w:r>
      <w:r>
        <w:t>ing</w:t>
      </w:r>
      <w:r w:rsidRPr="00F210BA">
        <w:t xml:space="preserve"> for significant differences in ABC between dyslexic and non-dyslexic students.</w:t>
      </w:r>
    </w:p>
    <w:p w14:paraId="40F72F7A" w14:textId="77777777" w:rsidR="00535D19" w:rsidRDefault="007707AB" w:rsidP="00535D19">
      <w:r w:rsidRPr="003043EF">
        <w:t>However</w:t>
      </w:r>
      <w:r>
        <w:t>,</w:t>
      </w:r>
      <w:r w:rsidRPr="003043EF">
        <w:t xml:space="preserve"> this section of the thesis opens by reviewing a selection of literature that is germane to the nature of dyslexia. The review is not an exhaustive discussion about how dyslexia has come to be understood through </w:t>
      </w:r>
      <w:r>
        <w:t xml:space="preserve">more than </w:t>
      </w:r>
      <w:r w:rsidRPr="003043EF">
        <w:t>a century of research and theorizing</w:t>
      </w:r>
      <w:r>
        <w:t>,</w:t>
      </w:r>
      <w:r w:rsidRPr="003043EF">
        <w:t xml:space="preserve"> as this is too large a task for this thesis. Instead, </w:t>
      </w:r>
      <w:r>
        <w:t>it</w:t>
      </w:r>
      <w:r w:rsidRPr="003043EF">
        <w:t xml:space="preserve"> will try to navigate a path through competing theories to highlight some of the tensions, conflicts and contradictions between aetiologies that continue to make research about dyslexia challenging. It will focus on aspects of these which especially impinge on this project and will align the discussion in support of the view that early, definitional paradoxes can now be set aside, in university contexts at least, not least because the most significant of more recent constructions of dyslexia may be challenging whether it makes any sense to be diagnosed as 'dyslexic' at all. These firstly </w:t>
      </w:r>
      <w:r>
        <w:t xml:space="preserve">advocate </w:t>
      </w:r>
      <w:r w:rsidRPr="003043EF">
        <w:t>that dyslexia should be best considered as a multifactorial set of characteristics or dimensions</w:t>
      </w:r>
      <w:r>
        <w:t>,</w:t>
      </w:r>
      <w:r w:rsidRPr="003043EF">
        <w:t xml:space="preserve"> which</w:t>
      </w:r>
      <w:r>
        <w:t>, although drawing</w:t>
      </w:r>
      <w:r w:rsidRPr="003043EF">
        <w:t xml:space="preserve"> on earlier constructions of dyslexia (e.g.: Castles &amp; </w:t>
      </w:r>
      <w:r>
        <w:t>Coltheart</w:t>
      </w:r>
      <w:r w:rsidRPr="003043EF">
        <w:t>, 1993)</w:t>
      </w:r>
      <w:r>
        <w:t>,</w:t>
      </w:r>
      <w:r w:rsidRPr="003043EF">
        <w:t xml:space="preserve"> has now attracted significant research interest in the </w:t>
      </w:r>
      <w:r>
        <w:t>HE</w:t>
      </w:r>
      <w:r w:rsidRPr="003043EF">
        <w:t xml:space="preserve"> sector (e.g.: Tamboer </w:t>
      </w:r>
      <w:r>
        <w:t>et al.</w:t>
      </w:r>
      <w:r w:rsidRPr="003043EF">
        <w:t xml:space="preserve">, 2016, Tamboer </w:t>
      </w:r>
      <w:r>
        <w:t>et al.</w:t>
      </w:r>
      <w:r w:rsidRPr="003043EF">
        <w:t xml:space="preserve">, 2017). This approach to understanding dyslexia is to consider its impact on a student's academic progress in a variety of both positive and less helpful ways: for example, it is suggested that innovative and creative thinking may be heightened in students with dyslexia (e.g.: Everatt </w:t>
      </w:r>
      <w:r>
        <w:t>et al.,</w:t>
      </w:r>
      <w:r w:rsidRPr="003043EF">
        <w:t xml:space="preserve"> 1999</w:t>
      </w:r>
      <w:r>
        <w:t>;</w:t>
      </w:r>
      <w:r w:rsidRPr="003043EF">
        <w:t xml:space="preserve"> Chakravarty, 2009) which might be thought advantageous in some disciplines such as in the Arts, architecture or engineering. In contrast, the frequent use of highly specific and precise terminology in mathematics for example, has been shown to cause difficulties to dyslexic students where similar sounding words </w:t>
      </w:r>
      <w:r>
        <w:t xml:space="preserve">– such as ‘integer’ and ‘integral’ - </w:t>
      </w:r>
      <w:r w:rsidRPr="003043EF">
        <w:t>have very different meanings (</w:t>
      </w:r>
      <w:r>
        <w:t>Perkin &amp; Croft, 2007). Secondly, it has been suggested</w:t>
      </w:r>
      <w:r w:rsidRPr="003043EF">
        <w:t xml:space="preserve"> that more recent thinking about the nature of dyslexia might direct </w:t>
      </w:r>
      <w:r w:rsidRPr="003043EF">
        <w:lastRenderedPageBreak/>
        <w:t xml:space="preserve">educationalists and especially teaching practitioners towards accepting dyslexia as a wide-ranging set of learning attributes that are positioned along a spectrum of entirely natural, human neurodiversity (Cooper, 2006) but which also acknowledges the atypical nature of this blend of attributes. Although tackling the nature of dyslexia from a different perspective, the neurodiversity approach does allude to multifactorialism </w:t>
      </w:r>
      <w:r>
        <w:t xml:space="preserve">as a process for </w:t>
      </w:r>
      <w:r w:rsidRPr="003043EF">
        <w:t xml:space="preserve">understanding more about what </w:t>
      </w:r>
      <w:r>
        <w:t xml:space="preserve">it means to be dyslexic.  Hence it can be argued that </w:t>
      </w:r>
      <w:r w:rsidRPr="003043EF">
        <w:t>in order to accommodate both the wider neurodiversity agenda and specifically the multifactorial construction of dyslexia, the focus in learning and teaching environments now needs to shift towards adjusting them in ways that are properly inclusive, accessible and flexible rather than continue to put the dyslexic individual at the centre of the 'reasonable adjust</w:t>
      </w:r>
      <w:r>
        <w:t>ments' agenda because that</w:t>
      </w:r>
      <w:r w:rsidRPr="003043EF">
        <w:t xml:space="preserve"> may reinforce the internalizing of dyslexia as a disabling condition</w:t>
      </w:r>
      <w:r>
        <w:t xml:space="preserve">. Hence </w:t>
      </w:r>
      <w:r w:rsidRPr="003043EF">
        <w:t>it is reasonable to assume that a greater accommodation of learning-and-teaching diversity should ameliorate much of the stigma associated with feelings of being different or disabled in learning contexts (Dykes, 200</w:t>
      </w:r>
      <w:r>
        <w:t>8; Shaw &amp; Anderson, 2018). L</w:t>
      </w:r>
      <w:r w:rsidRPr="003043EF">
        <w:t>astly</w:t>
      </w:r>
      <w:r>
        <w:t xml:space="preserve">, much of the recent literature </w:t>
      </w:r>
      <w:r w:rsidRPr="003043EF">
        <w:t>support</w:t>
      </w:r>
      <w:r>
        <w:t>s</w:t>
      </w:r>
      <w:r w:rsidRPr="003043EF">
        <w:t xml:space="preserve"> the suggestion that a more useful framework for understanding dyslexia might now exist by</w:t>
      </w:r>
      <w:r>
        <w:t xml:space="preserve"> </w:t>
      </w:r>
      <w:r w:rsidRPr="003043EF">
        <w:t xml:space="preserve">considering it as alternative form of information processing (Tamboer </w:t>
      </w:r>
      <w:r>
        <w:t>et al.</w:t>
      </w:r>
      <w:r w:rsidRPr="003043EF">
        <w:t xml:space="preserve">, 2014) which disassociates dyslexia from disability and difference almost completely. The closing narrative of the first sub-section briefly discusses how dyslexia is assessed or identified in </w:t>
      </w:r>
      <w:r>
        <w:t>HE</w:t>
      </w:r>
      <w:r w:rsidRPr="003043EF">
        <w:t xml:space="preserve"> contexts and prequels the major part of the study's research design where a new process for gauging dyslexia in university students has been developed as the independent variable in this study which aims to locate the dyslexic individual's learning attributes on a continuum of study and learning dimensions that are observable in any student, either identified as dys</w:t>
      </w:r>
      <w:r w:rsidR="00535D19">
        <w:t>l</w:t>
      </w:r>
      <w:r w:rsidRPr="003043EF">
        <w:t>exic or not.</w:t>
      </w:r>
      <w:bookmarkStart w:id="39" w:name="_Toc9795728"/>
    </w:p>
    <w:p w14:paraId="12482CF6" w14:textId="77777777" w:rsidR="00535D19" w:rsidRDefault="00535D19">
      <w:pPr>
        <w:spacing w:before="0" w:after="160" w:line="259" w:lineRule="auto"/>
        <w:rPr>
          <w:b/>
          <w:smallCaps/>
          <w:color w:val="4472C4" w:themeColor="accent1"/>
          <w:spacing w:val="5"/>
          <w:sz w:val="26"/>
          <w:szCs w:val="28"/>
        </w:rPr>
      </w:pPr>
      <w:r>
        <w:br w:type="page"/>
      </w:r>
    </w:p>
    <w:p w14:paraId="0BFE458C" w14:textId="199F6090" w:rsidR="007707AB" w:rsidRDefault="007707AB" w:rsidP="00535D19">
      <w:pPr>
        <w:pStyle w:val="Heading2"/>
      </w:pPr>
      <w:bookmarkStart w:id="40" w:name="_Toc57035892"/>
      <w:r>
        <w:lastRenderedPageBreak/>
        <w:t>2.1</w:t>
      </w:r>
      <w:r w:rsidR="00E2724C">
        <w:tab/>
      </w:r>
      <w:r>
        <w:t>Dyslexia</w:t>
      </w:r>
      <w:bookmarkEnd w:id="39"/>
      <w:bookmarkEnd w:id="40"/>
    </w:p>
    <w:p w14:paraId="34BEB5D2" w14:textId="30526062" w:rsidR="007707AB" w:rsidRDefault="007707AB" w:rsidP="007707AB">
      <w:pPr>
        <w:pStyle w:val="Heading3"/>
      </w:pPr>
      <w:bookmarkStart w:id="41" w:name="_Toc9795729"/>
      <w:bookmarkStart w:id="42" w:name="_Toc57035893"/>
      <w:r>
        <w:t>I</w:t>
      </w:r>
      <w:r w:rsidR="00E2724C">
        <w:tab/>
      </w:r>
      <w:r>
        <w:t>Dyslexia, whatever it is, is complicated.</w:t>
      </w:r>
      <w:bookmarkEnd w:id="41"/>
      <w:bookmarkEnd w:id="42"/>
    </w:p>
    <w:p w14:paraId="13520857" w14:textId="77777777" w:rsidR="007707AB" w:rsidRDefault="007707AB" w:rsidP="007707AB">
      <w:pPr>
        <w:rPr>
          <w:bCs/>
        </w:rPr>
      </w:pPr>
      <w:r w:rsidRPr="001C65C2">
        <w:rPr>
          <w:bCs/>
        </w:rPr>
        <w:t xml:space="preserve">The contemporary view of dyslexia as it occurs in university students is </w:t>
      </w:r>
      <w:r>
        <w:rPr>
          <w:bCs/>
        </w:rPr>
        <w:t xml:space="preserve">to consider it </w:t>
      </w:r>
      <w:r w:rsidRPr="001C65C2">
        <w:rPr>
          <w:bCs/>
        </w:rPr>
        <w:t xml:space="preserve">as a learning difference rather than a learning disability, </w:t>
      </w:r>
      <w:r>
        <w:rPr>
          <w:bCs/>
        </w:rPr>
        <w:t>although</w:t>
      </w:r>
      <w:r w:rsidRPr="001C65C2">
        <w:rPr>
          <w:bCs/>
        </w:rPr>
        <w:t xml:space="preserve"> the syndrome remains widely debated (Elliott &amp; Grigorenko, 2014). Attempts to theorize developmental dyslexia and its aetiology differ quite widely (Peterson &amp; Pennington, 2015)</w:t>
      </w:r>
      <w:r>
        <w:rPr>
          <w:bCs/>
        </w:rPr>
        <w:t>,</w:t>
      </w:r>
      <w:r w:rsidRPr="001C65C2">
        <w:rPr>
          <w:bCs/>
        </w:rPr>
        <w:t xml:space="preserve"> not least when attempting to interpret the variety of characteristics that can be presented (Ramus, 2004, Proctor </w:t>
      </w:r>
      <w:r>
        <w:rPr>
          <w:bCs/>
        </w:rPr>
        <w:t>et al.</w:t>
      </w:r>
      <w:r w:rsidRPr="001C65C2">
        <w:rPr>
          <w:bCs/>
        </w:rPr>
        <w:t xml:space="preserve">, 2017). This is especially so in relation to how cognitive differences, more usually regarded as deficits, are classified as dysfunctions (Buttner &amp; Hasselhorn, 2011) and whether these differences are causal, consequential or even covariates of dyslexia as a learning disability (Vellutino </w:t>
      </w:r>
      <w:r>
        <w:rPr>
          <w:bCs/>
        </w:rPr>
        <w:t>et al.</w:t>
      </w:r>
      <w:r w:rsidRPr="001C65C2">
        <w:rPr>
          <w:bCs/>
        </w:rPr>
        <w:t>, 2004). The impacts of dyslexia and dyslexia-like profiles on learning are readily apparent in literacy-</w:t>
      </w:r>
      <w:r>
        <w:rPr>
          <w:bCs/>
        </w:rPr>
        <w:t>base</w:t>
      </w:r>
      <w:r w:rsidRPr="001C65C2">
        <w:rPr>
          <w:bCs/>
        </w:rPr>
        <w:t>d education systems</w:t>
      </w:r>
      <w:r>
        <w:rPr>
          <w:bCs/>
        </w:rPr>
        <w:t>,</w:t>
      </w:r>
      <w:r w:rsidRPr="001C65C2">
        <w:rPr>
          <w:bCs/>
        </w:rPr>
        <w:t xml:space="preserve"> ranging from initial identification in early-age learners who experience challenges in the acquisition of reading skills, to university students who attribute many of their struggles to adapt to the independent and self-managed learning processes that are core competencies in </w:t>
      </w:r>
      <w:r>
        <w:rPr>
          <w:bCs/>
        </w:rPr>
        <w:t>HE</w:t>
      </w:r>
      <w:r w:rsidRPr="001C65C2">
        <w:rPr>
          <w:bCs/>
        </w:rPr>
        <w:t xml:space="preserve"> learning to a dyslexia or dyslexia-like learning profile (MacCullagh </w:t>
      </w:r>
      <w:r>
        <w:rPr>
          <w:bCs/>
        </w:rPr>
        <w:t>et al.</w:t>
      </w:r>
      <w:r w:rsidRPr="001C65C2">
        <w:rPr>
          <w:bCs/>
        </w:rPr>
        <w:t xml:space="preserve">, 2016). </w:t>
      </w:r>
    </w:p>
    <w:p w14:paraId="4D16BD48" w14:textId="77777777" w:rsidR="007707AB" w:rsidRDefault="007707AB" w:rsidP="007707AB">
      <w:pPr>
        <w:spacing w:after="120"/>
        <w:rPr>
          <w:bCs/>
        </w:rPr>
      </w:pPr>
      <w:r w:rsidRPr="001C65C2">
        <w:rPr>
          <w:bCs/>
        </w:rPr>
        <w:t xml:space="preserve">In the last half-century, attempts to define dyslexia to account for this range of traits have moved away from earlier definitions which focused on dyslexia as a reading impairment in children, </w:t>
      </w:r>
      <w:r>
        <w:rPr>
          <w:bCs/>
        </w:rPr>
        <w:t xml:space="preserve">more </w:t>
      </w:r>
      <w:r w:rsidRPr="001C65C2">
        <w:rPr>
          <w:bCs/>
        </w:rPr>
        <w:t>specifically a difficulty in single-word reading fluency and spelling. For example Critchley (1970) provided a brief summary of the historical origins of identifying and attempting to define dyslexia</w:t>
      </w:r>
      <w:r>
        <w:rPr>
          <w:bCs/>
        </w:rPr>
        <w:t>,</w:t>
      </w:r>
      <w:r w:rsidRPr="001C65C2">
        <w:rPr>
          <w:bCs/>
        </w:rPr>
        <w:t xml:space="preserve"> pointing out that the challenges in arriving at a convincing definition of dyslexia had led some authorities to abandon attempts to do so</w:t>
      </w:r>
      <w:r>
        <w:rPr>
          <w:bCs/>
        </w:rPr>
        <w:t>.</w:t>
      </w:r>
      <w:r w:rsidRPr="001C65C2">
        <w:rPr>
          <w:bCs/>
        </w:rPr>
        <w:t xml:space="preserve"> </w:t>
      </w:r>
      <w:r>
        <w:rPr>
          <w:bCs/>
        </w:rPr>
        <w:t>A</w:t>
      </w:r>
      <w:r w:rsidRPr="001C65C2">
        <w:rPr>
          <w:bCs/>
        </w:rPr>
        <w:t>lthough it is not known which authorities were being referred to</w:t>
      </w:r>
      <w:r>
        <w:rPr>
          <w:bCs/>
        </w:rPr>
        <w:t xml:space="preserve">, it is reasonable to consider </w:t>
      </w:r>
      <w:r w:rsidRPr="001C65C2">
        <w:rPr>
          <w:bCs/>
        </w:rPr>
        <w:t xml:space="preserve">that the reason for this casting-aside </w:t>
      </w:r>
      <w:r>
        <w:rPr>
          <w:bCs/>
        </w:rPr>
        <w:t>could have been</w:t>
      </w:r>
      <w:r w:rsidRPr="001C65C2">
        <w:rPr>
          <w:bCs/>
        </w:rPr>
        <w:t xml:space="preserve"> due to the plethora of competing definitions of dyslexia that were available to choose between. Drawing on the most recent definition at that time from the World Federation of Neurology (WFN), Critchley supported his point by quoting two, parallel definitions which were recommended for acceptance by neurologists, paediatricians, psychologists and those practicing in the pedagogic domains who p</w:t>
      </w:r>
      <w:r>
        <w:rPr>
          <w:bCs/>
        </w:rPr>
        <w:t xml:space="preserve">erhaps </w:t>
      </w:r>
      <w:r w:rsidRPr="001C65C2">
        <w:rPr>
          <w:bCs/>
        </w:rPr>
        <w:t xml:space="preserve">chose the definition that most suited their </w:t>
      </w:r>
      <w:r>
        <w:rPr>
          <w:bCs/>
        </w:rPr>
        <w:t>purposes at the time</w:t>
      </w:r>
      <w:r w:rsidRPr="001C65C2">
        <w:rPr>
          <w:bCs/>
        </w:rPr>
        <w:t xml:space="preserve">: </w:t>
      </w:r>
    </w:p>
    <w:p w14:paraId="7C685E86" w14:textId="77777777" w:rsidR="007707AB" w:rsidRDefault="007707AB" w:rsidP="007707AB">
      <w:pPr>
        <w:pStyle w:val="ListParagraph"/>
        <w:numPr>
          <w:ilvl w:val="0"/>
          <w:numId w:val="27"/>
        </w:numPr>
        <w:spacing w:before="0" w:after="200" w:line="276" w:lineRule="auto"/>
        <w:rPr>
          <w:bCs/>
        </w:rPr>
      </w:pPr>
      <w:r w:rsidRPr="001C65C2">
        <w:rPr>
          <w:bCs/>
        </w:rPr>
        <w:t xml:space="preserve">Specific developmental dyslexia: </w:t>
      </w:r>
    </w:p>
    <w:p w14:paraId="4AFF460C" w14:textId="77777777" w:rsidR="007707AB" w:rsidRPr="001C65C2" w:rsidRDefault="007707AB" w:rsidP="007707AB">
      <w:pPr>
        <w:pStyle w:val="ListParagraph"/>
        <w:numPr>
          <w:ilvl w:val="1"/>
          <w:numId w:val="27"/>
        </w:numPr>
        <w:spacing w:before="0" w:after="200" w:line="276" w:lineRule="auto"/>
        <w:rPr>
          <w:bCs/>
        </w:rPr>
      </w:pPr>
      <w:r w:rsidRPr="001C65C2">
        <w:rPr>
          <w:bCs/>
        </w:rPr>
        <w:t>"A disorder manifested by difficulty in learning to read despite conventional instruction, adequate intelligence, and socio-cultural opportunity. It is dependent upon fundamental cognitive disabilities which are frequently of constitutional origin"</w:t>
      </w:r>
    </w:p>
    <w:p w14:paraId="3E2F0E81" w14:textId="77777777" w:rsidR="007707AB" w:rsidRDefault="007707AB" w:rsidP="007707AB">
      <w:pPr>
        <w:pStyle w:val="ListParagraph"/>
        <w:numPr>
          <w:ilvl w:val="0"/>
          <w:numId w:val="27"/>
        </w:numPr>
        <w:spacing w:before="0" w:after="200" w:line="276" w:lineRule="auto"/>
        <w:rPr>
          <w:bCs/>
        </w:rPr>
      </w:pPr>
      <w:r w:rsidRPr="001C65C2">
        <w:rPr>
          <w:bCs/>
        </w:rPr>
        <w:t xml:space="preserve">Dyslexia </w:t>
      </w:r>
    </w:p>
    <w:p w14:paraId="2E4C4408" w14:textId="77777777" w:rsidR="007707AB" w:rsidRDefault="007707AB" w:rsidP="007707AB">
      <w:pPr>
        <w:pStyle w:val="ListParagraph"/>
        <w:numPr>
          <w:ilvl w:val="1"/>
          <w:numId w:val="27"/>
        </w:numPr>
        <w:spacing w:before="0" w:after="200" w:line="276" w:lineRule="auto"/>
        <w:rPr>
          <w:bCs/>
        </w:rPr>
      </w:pPr>
      <w:r w:rsidRPr="001C65C2">
        <w:rPr>
          <w:bCs/>
        </w:rPr>
        <w:lastRenderedPageBreak/>
        <w:t>"A disorder in children who, despite conventional classroom experience, fail to attain the language skills of reading, writing and spelling commensurate with their intellectual abilities"</w:t>
      </w:r>
      <w:r>
        <w:rPr>
          <w:bCs/>
        </w:rPr>
        <w:t xml:space="preserve"> (ibid, p11).</w:t>
      </w:r>
    </w:p>
    <w:p w14:paraId="3EDAA03A" w14:textId="77777777" w:rsidR="007707AB" w:rsidRDefault="007707AB" w:rsidP="007707AB">
      <w:pPr>
        <w:rPr>
          <w:bCs/>
        </w:rPr>
      </w:pPr>
      <w:r>
        <w:rPr>
          <w:bCs/>
        </w:rPr>
        <w:t xml:space="preserve">It was later suggested that </w:t>
      </w:r>
      <w:r w:rsidRPr="00C746A6">
        <w:rPr>
          <w:bCs/>
        </w:rPr>
        <w:t>the WFN definitions</w:t>
      </w:r>
      <w:r>
        <w:rPr>
          <w:bCs/>
        </w:rPr>
        <w:t xml:space="preserve"> were inadequate</w:t>
      </w:r>
      <w:r w:rsidRPr="00C746A6">
        <w:rPr>
          <w:bCs/>
        </w:rPr>
        <w:t xml:space="preserve"> without further defining some of the cons</w:t>
      </w:r>
      <w:r>
        <w:rPr>
          <w:bCs/>
        </w:rPr>
        <w:t>tituent terms</w:t>
      </w:r>
      <w:r w:rsidRPr="00C746A6">
        <w:rPr>
          <w:bCs/>
        </w:rPr>
        <w:t>, such as explaining what should be understood as 'conventional instruction' or 'intellectual abilities' for example</w:t>
      </w:r>
      <w:r>
        <w:rPr>
          <w:bCs/>
        </w:rPr>
        <w:t xml:space="preserve"> (</w:t>
      </w:r>
      <w:r w:rsidRPr="00C746A6">
        <w:rPr>
          <w:bCs/>
        </w:rPr>
        <w:t>Snowling 2002)</w:t>
      </w:r>
      <w:r>
        <w:rPr>
          <w:bCs/>
        </w:rPr>
        <w:t>. It was further argued that</w:t>
      </w:r>
      <w:r w:rsidRPr="00C746A6">
        <w:rPr>
          <w:bCs/>
        </w:rPr>
        <w:t xml:space="preserve"> definitions were weak to the extent that practitioners attempting to use them to determine whether a child was presenting dyslexia or not</w:t>
      </w:r>
      <w:r>
        <w:rPr>
          <w:bCs/>
        </w:rPr>
        <w:t>,</w:t>
      </w:r>
      <w:r w:rsidRPr="00C746A6">
        <w:rPr>
          <w:bCs/>
        </w:rPr>
        <w:t xml:space="preserve"> were likely to find this a challeng</w:t>
      </w:r>
      <w:r>
        <w:rPr>
          <w:bCs/>
        </w:rPr>
        <w:t>e (ibid)</w:t>
      </w:r>
      <w:r w:rsidRPr="00C746A6">
        <w:rPr>
          <w:bCs/>
        </w:rPr>
        <w:t>. Snowling</w:t>
      </w:r>
      <w:r>
        <w:rPr>
          <w:bCs/>
        </w:rPr>
        <w:t>’s</w:t>
      </w:r>
      <w:r w:rsidRPr="00C746A6">
        <w:rPr>
          <w:bCs/>
        </w:rPr>
        <w:t xml:space="preserve"> </w:t>
      </w:r>
      <w:r>
        <w:rPr>
          <w:bCs/>
        </w:rPr>
        <w:t>reasoning</w:t>
      </w:r>
      <w:r w:rsidRPr="00C746A6">
        <w:rPr>
          <w:bCs/>
        </w:rPr>
        <w:t xml:space="preserve"> about phonemic</w:t>
      </w:r>
      <w:r>
        <w:rPr>
          <w:bCs/>
        </w:rPr>
        <w:t xml:space="preserve">s being </w:t>
      </w:r>
      <w:r w:rsidRPr="00C746A6">
        <w:rPr>
          <w:bCs/>
        </w:rPr>
        <w:t>now better comprehended, were thought to be instrumental in understanding dyslexia in children</w:t>
      </w:r>
      <w:r>
        <w:rPr>
          <w:bCs/>
        </w:rPr>
        <w:t xml:space="preserve"> more comprehensively</w:t>
      </w:r>
      <w:r w:rsidRPr="00C746A6">
        <w:rPr>
          <w:bCs/>
        </w:rPr>
        <w:t xml:space="preserve">. </w:t>
      </w:r>
      <w:r>
        <w:rPr>
          <w:bCs/>
        </w:rPr>
        <w:t xml:space="preserve">Phonemics is taken as </w:t>
      </w:r>
      <w:r w:rsidRPr="00C746A6">
        <w:rPr>
          <w:bCs/>
        </w:rPr>
        <w:t>the study of the sound system of a language and the classification of its phonemes (sound parts)</w:t>
      </w:r>
      <w:r>
        <w:rPr>
          <w:bCs/>
        </w:rPr>
        <w:t xml:space="preserve">. </w:t>
      </w:r>
      <w:r w:rsidRPr="00C746A6">
        <w:rPr>
          <w:bCs/>
        </w:rPr>
        <w:t xml:space="preserve">Significant amongst studies drawn upon was a project conducted to explore and explain differences between children who, as poor readers, responded to interventions and remediation, and others of similar intellectual abilities who did not (Vellutino </w:t>
      </w:r>
      <w:r>
        <w:rPr>
          <w:bCs/>
        </w:rPr>
        <w:t>et al.</w:t>
      </w:r>
      <w:r w:rsidRPr="00C746A6">
        <w:rPr>
          <w:bCs/>
        </w:rPr>
        <w:t>, 1996). Amongst the research outcomes of this study were the identification of other apparent deficits which appeared to result from phonological skills differences between 'regular' poor readers and dyslexic children. These were reported as poorer short-term memory performance and rapid-naming deficits, but especially, depressed phonological awareness</w:t>
      </w:r>
      <w:r>
        <w:rPr>
          <w:bCs/>
        </w:rPr>
        <w:t xml:space="preserve">. This </w:t>
      </w:r>
      <w:r w:rsidRPr="00C746A6">
        <w:rPr>
          <w:bCs/>
        </w:rPr>
        <w:t>is the ability to recognize how words are comprised of connected sound structures, the ability to distinguish the syllables of a word and particularly to tune in to the individual sounds, or phonemes, of a word. This will be discu</w:t>
      </w:r>
      <w:r>
        <w:rPr>
          <w:bCs/>
        </w:rPr>
        <w:t>ssed a little more in sub-section 2.1(II) below. B</w:t>
      </w:r>
      <w:r w:rsidRPr="00C746A6">
        <w:rPr>
          <w:bCs/>
        </w:rPr>
        <w:t>eyond emphasizing the importance of acknowledging phonological processing difficulties as significant in understanding what dyslexia is, Snowling's (2002) discussion propose</w:t>
      </w:r>
      <w:r>
        <w:rPr>
          <w:bCs/>
        </w:rPr>
        <w:t>d</w:t>
      </w:r>
      <w:r w:rsidRPr="00C746A6">
        <w:rPr>
          <w:bCs/>
        </w:rPr>
        <w:t xml:space="preserve"> that dyslexia should be thought of as more than an issue with literacy. This is demonstrated not least by stating that </w:t>
      </w:r>
      <w:r>
        <w:rPr>
          <w:bCs/>
        </w:rPr>
        <w:t>“</w:t>
      </w:r>
      <w:r w:rsidRPr="00C746A6">
        <w:rPr>
          <w:bCs/>
        </w:rPr>
        <w:t>dyslexia is [likely to be] characterized by a particular cognitive profile that places a child at risk of reading failure</w:t>
      </w:r>
      <w:r>
        <w:rPr>
          <w:bCs/>
        </w:rPr>
        <w:t>”</w:t>
      </w:r>
      <w:r w:rsidRPr="00C746A6">
        <w:rPr>
          <w:bCs/>
        </w:rPr>
        <w:t xml:space="preserve"> (ibid, p20)</w:t>
      </w:r>
      <w:r>
        <w:rPr>
          <w:bCs/>
        </w:rPr>
        <w:t>,</w:t>
      </w:r>
      <w:r w:rsidRPr="00C746A6">
        <w:rPr>
          <w:bCs/>
        </w:rPr>
        <w:t xml:space="preserve"> which </w:t>
      </w:r>
      <w:r>
        <w:rPr>
          <w:bCs/>
        </w:rPr>
        <w:t xml:space="preserve">additionally alludes to the </w:t>
      </w:r>
      <w:r w:rsidRPr="00C746A6">
        <w:rPr>
          <w:bCs/>
        </w:rPr>
        <w:t xml:space="preserve">usefulness of </w:t>
      </w:r>
      <w:r w:rsidRPr="00205D8D">
        <w:rPr>
          <w:bCs/>
        </w:rPr>
        <w:t>profiling</w:t>
      </w:r>
      <w:r w:rsidRPr="00C746A6">
        <w:rPr>
          <w:bCs/>
        </w:rPr>
        <w:t xml:space="preserve"> in comprehending more about a range of deficits, differences or dimensions which are likely to exist on a continuum as opposed to being discrete categories</w:t>
      </w:r>
      <w:r>
        <w:rPr>
          <w:bCs/>
        </w:rPr>
        <w:t xml:space="preserve">, a likely development of </w:t>
      </w:r>
      <w:r w:rsidRPr="00C746A6">
        <w:rPr>
          <w:bCs/>
        </w:rPr>
        <w:t xml:space="preserve">a </w:t>
      </w:r>
      <w:r>
        <w:rPr>
          <w:bCs/>
        </w:rPr>
        <w:t xml:space="preserve">similar </w:t>
      </w:r>
      <w:r w:rsidRPr="00C746A6">
        <w:rPr>
          <w:bCs/>
        </w:rPr>
        <w:t>suggestion proposed some time earlier (e.g.: Ellis, 198</w:t>
      </w:r>
      <w:r>
        <w:rPr>
          <w:bCs/>
        </w:rPr>
        <w:t>5</w:t>
      </w:r>
      <w:r w:rsidRPr="00C746A6">
        <w:rPr>
          <w:bCs/>
        </w:rPr>
        <w:t xml:space="preserve">). Much later work by Callens </w:t>
      </w:r>
      <w:r>
        <w:rPr>
          <w:bCs/>
        </w:rPr>
        <w:t>et al.</w:t>
      </w:r>
      <w:r w:rsidRPr="00C746A6">
        <w:rPr>
          <w:bCs/>
        </w:rPr>
        <w:t xml:space="preserve"> (2012) took cognitive profiling into </w:t>
      </w:r>
      <w:r>
        <w:rPr>
          <w:bCs/>
        </w:rPr>
        <w:t>HE</w:t>
      </w:r>
      <w:r w:rsidRPr="00C746A6">
        <w:rPr>
          <w:bCs/>
        </w:rPr>
        <w:t xml:space="preserve"> contexts and also into a language other than English</w:t>
      </w:r>
      <w:r>
        <w:rPr>
          <w:bCs/>
        </w:rPr>
        <w:t xml:space="preserve"> through a study of Dutch students, </w:t>
      </w:r>
      <w:r w:rsidRPr="00C746A6">
        <w:rPr>
          <w:bCs/>
        </w:rPr>
        <w:t xml:space="preserve">discussed in more detail </w:t>
      </w:r>
      <w:r>
        <w:rPr>
          <w:bCs/>
        </w:rPr>
        <w:t>below</w:t>
      </w:r>
      <w:r w:rsidRPr="00C746A6">
        <w:rPr>
          <w:bCs/>
        </w:rPr>
        <w:t xml:space="preserve"> (</w:t>
      </w:r>
      <w:r>
        <w:rPr>
          <w:bCs/>
        </w:rPr>
        <w:t>sub-section 2.1(II)</w:t>
      </w:r>
      <w:r w:rsidRPr="00C746A6">
        <w:rPr>
          <w:bCs/>
        </w:rPr>
        <w:t xml:space="preserve">). </w:t>
      </w:r>
      <w:r>
        <w:rPr>
          <w:bCs/>
        </w:rPr>
        <w:t>In the Research Design section (3), embracing the</w:t>
      </w:r>
      <w:r w:rsidRPr="007D075B">
        <w:rPr>
          <w:bCs/>
        </w:rPr>
        <w:t xml:space="preserve"> dimensional</w:t>
      </w:r>
      <w:r>
        <w:rPr>
          <w:bCs/>
        </w:rPr>
        <w:t>ity</w:t>
      </w:r>
      <w:r w:rsidRPr="007D075B">
        <w:rPr>
          <w:bCs/>
        </w:rPr>
        <w:t xml:space="preserve"> aspect</w:t>
      </w:r>
      <w:r>
        <w:rPr>
          <w:bCs/>
        </w:rPr>
        <w:t xml:space="preserve"> </w:t>
      </w:r>
      <w:r w:rsidRPr="007D075B">
        <w:rPr>
          <w:bCs/>
        </w:rPr>
        <w:t xml:space="preserve">of dyslexia will be demonstrated in the justifications for designing the Dx Profiler </w:t>
      </w:r>
      <w:r>
        <w:rPr>
          <w:bCs/>
        </w:rPr>
        <w:t xml:space="preserve">as a tool </w:t>
      </w:r>
      <w:r w:rsidRPr="007D075B">
        <w:rPr>
          <w:bCs/>
        </w:rPr>
        <w:t xml:space="preserve">determining levels of </w:t>
      </w:r>
      <w:r>
        <w:rPr>
          <w:bCs/>
        </w:rPr>
        <w:t>‘</w:t>
      </w:r>
      <w:r w:rsidRPr="00205D8D">
        <w:rPr>
          <w:bCs/>
        </w:rPr>
        <w:t>dyslexia-ness</w:t>
      </w:r>
      <w:r>
        <w:rPr>
          <w:bCs/>
        </w:rPr>
        <w:t>’</w:t>
      </w:r>
      <w:r w:rsidRPr="007D075B">
        <w:rPr>
          <w:bCs/>
        </w:rPr>
        <w:t>.</w:t>
      </w:r>
    </w:p>
    <w:p w14:paraId="6441A92F" w14:textId="579B4064" w:rsidR="007707AB" w:rsidRPr="004F1A80" w:rsidRDefault="007707AB" w:rsidP="007707AB">
      <w:pPr>
        <w:spacing w:before="0" w:after="200"/>
        <w:rPr>
          <w:bCs/>
        </w:rPr>
      </w:pPr>
      <w:r>
        <w:rPr>
          <w:bCs/>
        </w:rPr>
        <w:t xml:space="preserve">It was considered important to bring </w:t>
      </w:r>
      <w:r w:rsidRPr="004F1A80">
        <w:rPr>
          <w:bCs/>
        </w:rPr>
        <w:t>the definition discussion into the contemporary context of dyslexia amongst university students</w:t>
      </w:r>
      <w:r>
        <w:rPr>
          <w:bCs/>
        </w:rPr>
        <w:t xml:space="preserve">, and to this end, </w:t>
      </w:r>
      <w:r w:rsidRPr="004F1A80">
        <w:rPr>
          <w:bCs/>
        </w:rPr>
        <w:t xml:space="preserve">a straw poll enquiry </w:t>
      </w:r>
      <w:r>
        <w:rPr>
          <w:bCs/>
        </w:rPr>
        <w:t xml:space="preserve">was </w:t>
      </w:r>
      <w:r w:rsidRPr="004F1A80">
        <w:rPr>
          <w:bCs/>
        </w:rPr>
        <w:t>conducted as part of the foundation</w:t>
      </w:r>
      <w:r>
        <w:rPr>
          <w:bCs/>
        </w:rPr>
        <w:t xml:space="preserve">s of this current study (see sub-section 3.I(IV) and </w:t>
      </w:r>
      <w:r>
        <w:rPr>
          <w:bCs/>
        </w:rPr>
        <w:lastRenderedPageBreak/>
        <w:t>Appendix 8.1(I)</w:t>
      </w:r>
      <w:r w:rsidRPr="004F1A80">
        <w:rPr>
          <w:bCs/>
        </w:rPr>
        <w:t>)</w:t>
      </w:r>
      <w:r>
        <w:rPr>
          <w:bCs/>
        </w:rPr>
        <w:t>. The outcomes</w:t>
      </w:r>
      <w:r w:rsidRPr="004F1A80">
        <w:rPr>
          <w:bCs/>
        </w:rPr>
        <w:t xml:space="preserve"> established not unsurprisingly that the definition of dyslexia proposed as workable and understandable by the British Dyslexia Association (</w:t>
      </w:r>
      <w:r>
        <w:rPr>
          <w:bCs/>
        </w:rPr>
        <w:t>BDA</w:t>
      </w:r>
      <w:r w:rsidRPr="004F1A80">
        <w:rPr>
          <w:bCs/>
        </w:rPr>
        <w:t xml:space="preserve">) has tended to be the one that has been broadly adopted in </w:t>
      </w:r>
      <w:r>
        <w:rPr>
          <w:bCs/>
        </w:rPr>
        <w:t>HE</w:t>
      </w:r>
      <w:r w:rsidRPr="004F1A80">
        <w:rPr>
          <w:bCs/>
        </w:rPr>
        <w:t xml:space="preserve"> institutions in the UK over the last decade. This is a definition which acknowledges much of the preceding research evidence</w:t>
      </w:r>
      <w:r w:rsidR="008D0258">
        <w:rPr>
          <w:bCs/>
        </w:rPr>
        <w:t>,</w:t>
      </w:r>
      <w:r w:rsidRPr="004F1A80">
        <w:rPr>
          <w:bCs/>
        </w:rPr>
        <w:t xml:space="preserve"> but which also takes a more inclusive approach by making no specific mention of deficits</w:t>
      </w:r>
      <w:r>
        <w:rPr>
          <w:bCs/>
        </w:rPr>
        <w:t>,</w:t>
      </w:r>
      <w:r w:rsidRPr="004F1A80">
        <w:rPr>
          <w:bCs/>
        </w:rPr>
        <w:t xml:space="preserve"> and affirms that some of the traits of dyslexia should be recognized as abilities rather than as disabling:</w:t>
      </w:r>
    </w:p>
    <w:p w14:paraId="4604614A" w14:textId="77777777" w:rsidR="007707AB" w:rsidRDefault="007707AB" w:rsidP="007707AB">
      <w:pPr>
        <w:pStyle w:val="ListParagraph"/>
        <w:numPr>
          <w:ilvl w:val="0"/>
          <w:numId w:val="28"/>
        </w:numPr>
        <w:spacing w:before="0" w:after="200" w:line="276" w:lineRule="auto"/>
        <w:rPr>
          <w:bCs/>
        </w:rPr>
      </w:pPr>
      <w:r w:rsidRPr="001C65C2">
        <w:rPr>
          <w:bCs/>
        </w:rPr>
        <w:t>"Dyslexia is a combination of abilities and difficulties that affect the learning process in one or more of reading, spelling or writing and may have accompanying weaknesses in processing speed, short-term memory, organization and sequencing" (</w:t>
      </w:r>
      <w:r>
        <w:rPr>
          <w:bCs/>
        </w:rPr>
        <w:t>BDA, 2007</w:t>
      </w:r>
      <w:r w:rsidRPr="001C65C2">
        <w:rPr>
          <w:bCs/>
        </w:rPr>
        <w:t>)</w:t>
      </w:r>
      <w:r>
        <w:rPr>
          <w:bCs/>
        </w:rPr>
        <w:t>.</w:t>
      </w:r>
    </w:p>
    <w:p w14:paraId="31153F55" w14:textId="77777777" w:rsidR="007707AB" w:rsidRPr="008F515C" w:rsidRDefault="007707AB" w:rsidP="007707AB">
      <w:pPr>
        <w:rPr>
          <w:bCs/>
        </w:rPr>
      </w:pPr>
      <w:r w:rsidRPr="008F515C">
        <w:rPr>
          <w:bCs/>
        </w:rPr>
        <w:t>This definition has since been updated</w:t>
      </w:r>
      <w:r>
        <w:rPr>
          <w:bCs/>
        </w:rPr>
        <w:t>,</w:t>
      </w:r>
      <w:r w:rsidRPr="008F515C">
        <w:rPr>
          <w:bCs/>
        </w:rPr>
        <w:t xml:space="preserve"> with the most recent version (BDA, 2018) enshrining the findings of a report commissioned by the UK Government's Department for Children, Schools and Families about identifying and teaching people with dyslexia (Rose, 2009). It is evident that the most substantial changes are in widening the range of characteristics of dyslexia still further</w:t>
      </w:r>
      <w:r>
        <w:rPr>
          <w:bCs/>
        </w:rPr>
        <w:t xml:space="preserve">, </w:t>
      </w:r>
      <w:r w:rsidRPr="008F515C">
        <w:rPr>
          <w:bCs/>
        </w:rPr>
        <w:t>distil</w:t>
      </w:r>
      <w:r>
        <w:rPr>
          <w:bCs/>
        </w:rPr>
        <w:t>ling</w:t>
      </w:r>
      <w:r w:rsidRPr="008F515C">
        <w:rPr>
          <w:bCs/>
        </w:rPr>
        <w:t xml:space="preserve"> </w:t>
      </w:r>
      <w:r>
        <w:rPr>
          <w:bCs/>
        </w:rPr>
        <w:t xml:space="preserve">its </w:t>
      </w:r>
      <w:r w:rsidRPr="008F515C">
        <w:rPr>
          <w:bCs/>
        </w:rPr>
        <w:t xml:space="preserve">primary features into a comprehensive, working definition: </w:t>
      </w:r>
    </w:p>
    <w:p w14:paraId="172B657D" w14:textId="77777777" w:rsidR="007707AB" w:rsidRPr="00226717" w:rsidRDefault="007707AB" w:rsidP="007707AB">
      <w:pPr>
        <w:pStyle w:val="ListParagraph"/>
        <w:numPr>
          <w:ilvl w:val="0"/>
          <w:numId w:val="28"/>
        </w:numPr>
        <w:spacing w:line="276" w:lineRule="auto"/>
        <w:rPr>
          <w:bCs/>
        </w:rPr>
      </w:pPr>
      <w:r w:rsidRPr="00226717">
        <w:rPr>
          <w:bCs/>
        </w:rPr>
        <w:t>"Dyslexia is a learning difficulty that primarily affects the skills involved in accurate and fluent word reading and spelling;</w:t>
      </w:r>
    </w:p>
    <w:p w14:paraId="76E13C6E" w14:textId="77777777" w:rsidR="007707AB" w:rsidRPr="001C65C2" w:rsidRDefault="007707AB" w:rsidP="007707AB">
      <w:pPr>
        <w:pStyle w:val="ListParagraph"/>
        <w:numPr>
          <w:ilvl w:val="0"/>
          <w:numId w:val="28"/>
        </w:numPr>
        <w:spacing w:before="0" w:after="200" w:line="276" w:lineRule="auto"/>
        <w:rPr>
          <w:bCs/>
        </w:rPr>
      </w:pPr>
      <w:r w:rsidRPr="001C65C2">
        <w:rPr>
          <w:bCs/>
        </w:rPr>
        <w:t>Characteristic features of dyslexia are difficulties in phonological awareness, verbal memory and verbal processing speed;</w:t>
      </w:r>
    </w:p>
    <w:p w14:paraId="39D847DD" w14:textId="77777777" w:rsidR="007707AB" w:rsidRPr="001C65C2" w:rsidRDefault="007707AB" w:rsidP="007707AB">
      <w:pPr>
        <w:pStyle w:val="ListParagraph"/>
        <w:numPr>
          <w:ilvl w:val="0"/>
          <w:numId w:val="28"/>
        </w:numPr>
        <w:spacing w:before="0" w:after="200" w:line="276" w:lineRule="auto"/>
        <w:rPr>
          <w:bCs/>
        </w:rPr>
      </w:pPr>
      <w:r w:rsidRPr="001C65C2">
        <w:rPr>
          <w:bCs/>
        </w:rPr>
        <w:t>Dyslexia occurs across the range of intellectual abilities;</w:t>
      </w:r>
    </w:p>
    <w:p w14:paraId="3949C586" w14:textId="77777777" w:rsidR="007707AB" w:rsidRPr="001C65C2" w:rsidRDefault="007707AB" w:rsidP="007707AB">
      <w:pPr>
        <w:pStyle w:val="ListParagraph"/>
        <w:numPr>
          <w:ilvl w:val="0"/>
          <w:numId w:val="28"/>
        </w:numPr>
        <w:spacing w:before="0" w:after="200" w:line="276" w:lineRule="auto"/>
        <w:rPr>
          <w:bCs/>
        </w:rPr>
      </w:pPr>
      <w:r w:rsidRPr="001C65C2">
        <w:rPr>
          <w:bCs/>
        </w:rPr>
        <w:t>[Dyslexia] is best thought of as a continuum, not a distinct category, and there are no clear cut-off points;</w:t>
      </w:r>
    </w:p>
    <w:p w14:paraId="5E2B7028" w14:textId="77777777" w:rsidR="007707AB" w:rsidRPr="001C65C2" w:rsidRDefault="007707AB" w:rsidP="007707AB">
      <w:pPr>
        <w:pStyle w:val="ListParagraph"/>
        <w:numPr>
          <w:ilvl w:val="0"/>
          <w:numId w:val="28"/>
        </w:numPr>
        <w:spacing w:before="0" w:after="200" w:line="276" w:lineRule="auto"/>
        <w:rPr>
          <w:bCs/>
        </w:rPr>
      </w:pPr>
      <w:r w:rsidRPr="001C65C2">
        <w:rPr>
          <w:bCs/>
        </w:rPr>
        <w:t>Co-occur</w:t>
      </w:r>
      <w:r>
        <w:rPr>
          <w:bCs/>
        </w:rPr>
        <w:t>r</w:t>
      </w:r>
      <w:r w:rsidRPr="001C65C2">
        <w:rPr>
          <w:bCs/>
        </w:rPr>
        <w:t>ing difficulties may be seen in aspects of language, motor co-ordination, mental calculation, concentration and personal organization, but these are not, by themselves, markers of dyslexia;</w:t>
      </w:r>
    </w:p>
    <w:p w14:paraId="437A9D80" w14:textId="77777777" w:rsidR="007707AB" w:rsidRDefault="007707AB" w:rsidP="007707AB">
      <w:pPr>
        <w:pStyle w:val="ListParagraph"/>
        <w:numPr>
          <w:ilvl w:val="0"/>
          <w:numId w:val="28"/>
        </w:numPr>
        <w:spacing w:before="0" w:after="200" w:line="276" w:lineRule="auto"/>
        <w:rPr>
          <w:bCs/>
        </w:rPr>
      </w:pPr>
      <w:r w:rsidRPr="001C65C2">
        <w:rPr>
          <w:bCs/>
        </w:rPr>
        <w:t>A good indication of the severity and persistence of dyslexic difficulties can be gained by examining how the individual responds or has responded to well-founded intervention." (BDA, 2018)</w:t>
      </w:r>
    </w:p>
    <w:p w14:paraId="51F911B7" w14:textId="77777777" w:rsidR="007707AB" w:rsidRDefault="007707AB" w:rsidP="007707AB">
      <w:r w:rsidRPr="00C43013">
        <w:t>For the purposes of necessarily grounding a research study in definitions of the principal ideas being explored, it is this B</w:t>
      </w:r>
      <w:r>
        <w:t>DA</w:t>
      </w:r>
      <w:r w:rsidRPr="00C43013">
        <w:t xml:space="preserve"> (2018) definition of dyslexia that has been chosen as the most appropriate. This is partly because this working definition is quite broa</w:t>
      </w:r>
      <w:r>
        <w:t>d,</w:t>
      </w:r>
      <w:r w:rsidRPr="00C43013">
        <w:t xml:space="preserve"> but also because </w:t>
      </w:r>
      <w:r>
        <w:t xml:space="preserve">it includes </w:t>
      </w:r>
      <w:r w:rsidRPr="00C43013">
        <w:t>two important features of the definition that are significant to this project: firstl</w:t>
      </w:r>
      <w:r>
        <w:t>y</w:t>
      </w:r>
      <w:r w:rsidRPr="00C43013">
        <w:t>, referring to dyslexia as a continuum supports the formulation of the Dx Profiler which has been designed and developed for this project to gauge levels of dyslexia-ness along a continuous scale; and secondly</w:t>
      </w:r>
      <w:r>
        <w:t>,</w:t>
      </w:r>
      <w:r w:rsidRPr="00C43013">
        <w:t xml:space="preserve"> </w:t>
      </w:r>
      <w:r>
        <w:t xml:space="preserve">it highlights </w:t>
      </w:r>
      <w:r w:rsidRPr="00C43013">
        <w:t xml:space="preserve">co-occurring difficulties that are manifested by students with dyslexia at university, </w:t>
      </w:r>
      <w:r>
        <w:t xml:space="preserve">and which have </w:t>
      </w:r>
      <w:r w:rsidRPr="00C43013">
        <w:t>been incorporated into the D</w:t>
      </w:r>
      <w:r>
        <w:t>x Profiler. T</w:t>
      </w:r>
      <w:r w:rsidRPr="00C43013">
        <w:t>hese co-</w:t>
      </w:r>
      <w:r>
        <w:t>occurring</w:t>
      </w:r>
      <w:r w:rsidRPr="00C43013">
        <w:t xml:space="preserve"> issues a</w:t>
      </w:r>
      <w:r>
        <w:t>re discussed in sub-sections 2.1(VII) and 3.1(IV)</w:t>
      </w:r>
      <w:r w:rsidRPr="00C43013">
        <w:t>.</w:t>
      </w:r>
    </w:p>
    <w:p w14:paraId="5B2967A1" w14:textId="77777777" w:rsidR="007707AB" w:rsidRDefault="007707AB" w:rsidP="007707AB">
      <w:pPr>
        <w:rPr>
          <w:bCs/>
        </w:rPr>
      </w:pPr>
      <w:r w:rsidRPr="001C65C2">
        <w:rPr>
          <w:bCs/>
        </w:rPr>
        <w:lastRenderedPageBreak/>
        <w:t>Significant in both the original and the current BDA definitions is an absence of any reference to dyslexia as a disabili</w:t>
      </w:r>
      <w:r>
        <w:rPr>
          <w:bCs/>
        </w:rPr>
        <w:t xml:space="preserve">ty, learning, or otherwise. However, </w:t>
      </w:r>
      <w:r w:rsidRPr="001C65C2">
        <w:rPr>
          <w:bCs/>
        </w:rPr>
        <w:t>dyslexia is categorized as a disability by the Terms and Definitions of the Equality Act 2010</w:t>
      </w:r>
      <w:r>
        <w:rPr>
          <w:bCs/>
        </w:rPr>
        <w:t>,</w:t>
      </w:r>
      <w:r w:rsidRPr="001C65C2">
        <w:rPr>
          <w:bCs/>
        </w:rPr>
        <w:t xml:space="preserve"> because the Act considers dyslexia to be a condition recognizable as </w:t>
      </w:r>
      <w:r>
        <w:rPr>
          <w:bCs/>
        </w:rPr>
        <w:t>“</w:t>
      </w:r>
      <w:r w:rsidRPr="001C65C2">
        <w:rPr>
          <w:bCs/>
        </w:rPr>
        <w:t>a mental impairment that has a substantial and long-term adverse effect on an individual's ability to conduct normal day-to-day activities</w:t>
      </w:r>
      <w:r>
        <w:rPr>
          <w:bCs/>
        </w:rPr>
        <w:t>”</w:t>
      </w:r>
      <w:r w:rsidRPr="001C65C2">
        <w:rPr>
          <w:bCs/>
        </w:rPr>
        <w:t xml:space="preserve"> (Office for Disability Issues, 2011, p7). Dyslexia is referred to twice in the Guidance Notes (ibid)</w:t>
      </w:r>
      <w:r>
        <w:rPr>
          <w:bCs/>
        </w:rPr>
        <w:t>,</w:t>
      </w:r>
      <w:r w:rsidRPr="001C65C2">
        <w:rPr>
          <w:bCs/>
        </w:rPr>
        <w:t xml:space="preserve"> firstly as an example of a disability which can arise from impairments (Section A5, p9)</w:t>
      </w:r>
      <w:r>
        <w:rPr>
          <w:bCs/>
        </w:rPr>
        <w:t>,</w:t>
      </w:r>
      <w:r w:rsidRPr="001C65C2">
        <w:rPr>
          <w:bCs/>
        </w:rPr>
        <w:t xml:space="preserve"> and later as a condition which may cause an individual to develop coping or avoidance strategies which can fail in some circumstances (Section B10, p19). Translated into the environment of learning and study at university, this means that</w:t>
      </w:r>
      <w:r>
        <w:rPr>
          <w:bCs/>
        </w:rPr>
        <w:t xml:space="preserve"> the premise of the Act supposes that</w:t>
      </w:r>
      <w:r w:rsidRPr="001C65C2">
        <w:rPr>
          <w:bCs/>
        </w:rPr>
        <w:t xml:space="preserve"> a student with dyslexia - a hidden and not immediately obvious disability which is substantial and long-t</w:t>
      </w:r>
      <w:r>
        <w:rPr>
          <w:bCs/>
        </w:rPr>
        <w:t>erm - is assumed likely to be a</w:t>
      </w:r>
      <w:r w:rsidRPr="001C65C2">
        <w:rPr>
          <w:bCs/>
        </w:rPr>
        <w:t xml:space="preserve"> learner who will find the conventional academic processes of university particularly challenging. Setting aside for the moment how dyslexic students may feel about being labelled as disabled</w:t>
      </w:r>
      <w:r>
        <w:rPr>
          <w:bCs/>
        </w:rPr>
        <w:t>, and more especially as ‘mentally impaired’</w:t>
      </w:r>
      <w:r w:rsidRPr="001C65C2">
        <w:rPr>
          <w:bCs/>
        </w:rPr>
        <w:t xml:space="preserve"> - which is di</w:t>
      </w:r>
      <w:r>
        <w:rPr>
          <w:bCs/>
        </w:rPr>
        <w:t>scussed below in sub-section 2.1(IV)</w:t>
      </w:r>
      <w:r w:rsidRPr="001C65C2">
        <w:rPr>
          <w:bCs/>
        </w:rPr>
        <w:t xml:space="preserve"> - the first immediate outcome is that such students will be eligible to apply for support through the </w:t>
      </w:r>
      <w:r>
        <w:rPr>
          <w:bCs/>
        </w:rPr>
        <w:t>Disabled Students' Allowance (</w:t>
      </w:r>
      <w:r w:rsidRPr="001C65C2">
        <w:rPr>
          <w:bCs/>
        </w:rPr>
        <w:t>DSA</w:t>
      </w:r>
      <w:r>
        <w:rPr>
          <w:bCs/>
        </w:rPr>
        <w:t>)</w:t>
      </w:r>
      <w:r w:rsidRPr="001C65C2">
        <w:rPr>
          <w:bCs/>
        </w:rPr>
        <w:t xml:space="preserve"> in the UK. This a funding stream reserved for disabled students</w:t>
      </w:r>
      <w:r>
        <w:rPr>
          <w:bCs/>
        </w:rPr>
        <w:t>, which</w:t>
      </w:r>
      <w:r w:rsidRPr="001C65C2">
        <w:rPr>
          <w:bCs/>
        </w:rPr>
        <w:t xml:space="preserve"> provide</w:t>
      </w:r>
      <w:r>
        <w:rPr>
          <w:bCs/>
        </w:rPr>
        <w:t>s</w:t>
      </w:r>
      <w:r w:rsidRPr="001C65C2">
        <w:rPr>
          <w:bCs/>
        </w:rPr>
        <w:t xml:space="preserve"> financial assistance to cover the purchase of equipment, resources and personal support with the aim of ensuring that study at university becomes as fair and equitable as possible in comparison to students with no disabilities. In 2015</w:t>
      </w:r>
      <w:r>
        <w:rPr>
          <w:bCs/>
        </w:rPr>
        <w:t>,</w:t>
      </w:r>
      <w:r w:rsidRPr="001C65C2">
        <w:rPr>
          <w:bCs/>
        </w:rPr>
        <w:t xml:space="preserve"> the UK Government announced an intention to remove dyslexia as a qualifying condition</w:t>
      </w:r>
      <w:r>
        <w:rPr>
          <w:bCs/>
        </w:rPr>
        <w:t xml:space="preserve"> </w:t>
      </w:r>
      <w:r w:rsidRPr="001C65C2">
        <w:rPr>
          <w:bCs/>
        </w:rPr>
        <w:t xml:space="preserve">eligible for consideration under the DSA, presumably because it was considered no longer </w:t>
      </w:r>
      <w:r>
        <w:rPr>
          <w:bCs/>
        </w:rPr>
        <w:t>appropriate to do so given the most contemporary views of dyslexia</w:t>
      </w:r>
      <w:r w:rsidRPr="001C65C2">
        <w:rPr>
          <w:bCs/>
        </w:rPr>
        <w:t xml:space="preserve">, </w:t>
      </w:r>
      <w:r>
        <w:rPr>
          <w:bCs/>
        </w:rPr>
        <w:t xml:space="preserve">despite it being </w:t>
      </w:r>
      <w:r w:rsidRPr="001C65C2">
        <w:rPr>
          <w:bCs/>
        </w:rPr>
        <w:t>indisputable that dyslexia is long term and persists into adulthood (e.g.: Bruck, 1992</w:t>
      </w:r>
      <w:r>
        <w:rPr>
          <w:bCs/>
        </w:rPr>
        <w:t>;</w:t>
      </w:r>
      <w:r w:rsidRPr="001C65C2">
        <w:rPr>
          <w:bCs/>
        </w:rPr>
        <w:t xml:space="preserve"> Carawan </w:t>
      </w:r>
      <w:r>
        <w:rPr>
          <w:bCs/>
        </w:rPr>
        <w:t>et al., 2016). A</w:t>
      </w:r>
      <w:r w:rsidRPr="001C65C2">
        <w:rPr>
          <w:bCs/>
        </w:rPr>
        <w:t xml:space="preserve">s a </w:t>
      </w:r>
      <w:r>
        <w:rPr>
          <w:bCs/>
        </w:rPr>
        <w:t xml:space="preserve">consequence </w:t>
      </w:r>
      <w:r w:rsidRPr="001C65C2">
        <w:rPr>
          <w:bCs/>
        </w:rPr>
        <w:t>of lobbying from parent groups, individuals and not least, professional associations such as the BDA and the Association of Dyslexia Specialists in Higher Education (ADSHE) the d</w:t>
      </w:r>
      <w:r>
        <w:rPr>
          <w:bCs/>
        </w:rPr>
        <w:t>ecision was deferred for the academic year 2016/17, and remains unresolved.</w:t>
      </w:r>
    </w:p>
    <w:p w14:paraId="5E7976A2" w14:textId="549B6303" w:rsidR="007707AB" w:rsidRDefault="007707AB" w:rsidP="007707AB">
      <w:pPr>
        <w:rPr>
          <w:bCs/>
        </w:rPr>
      </w:pPr>
      <w:r w:rsidRPr="001C65C2">
        <w:rPr>
          <w:bCs/>
        </w:rPr>
        <w:t>Thus</w:t>
      </w:r>
      <w:r w:rsidR="008D0258">
        <w:rPr>
          <w:bCs/>
        </w:rPr>
        <w:t>,</w:t>
      </w:r>
      <w:r w:rsidRPr="001C65C2">
        <w:rPr>
          <w:bCs/>
        </w:rPr>
        <w:t xml:space="preserve"> at this time, students with dyslexia that ha</w:t>
      </w:r>
      <w:r>
        <w:rPr>
          <w:bCs/>
        </w:rPr>
        <w:t>ve</w:t>
      </w:r>
      <w:r w:rsidRPr="001C65C2">
        <w:rPr>
          <w:bCs/>
        </w:rPr>
        <w:t xml:space="preserve"> be</w:t>
      </w:r>
      <w:r>
        <w:rPr>
          <w:bCs/>
        </w:rPr>
        <w:t>en identified and documented are able to</w:t>
      </w:r>
      <w:r w:rsidRPr="001C65C2">
        <w:rPr>
          <w:bCs/>
        </w:rPr>
        <w:t xml:space="preserve"> apply for help with their studies through the DSA. This means that following a formal Needs Assessment, usually conducted by a Disability Needs Assessor either at the student's university or at a specialist centre nearby, a list of recommended equipment and resources is drawn up. Typically this includes a laptop computer with specialist assistive technology software such as an advanced spell-checker or text-to-speech software</w:t>
      </w:r>
      <w:r>
        <w:rPr>
          <w:bCs/>
        </w:rPr>
        <w:t xml:space="preserve">, and </w:t>
      </w:r>
      <w:r w:rsidRPr="001C65C2">
        <w:rPr>
          <w:bCs/>
        </w:rPr>
        <w:t>a schedule of personal study assistance, most often study skills support tutorials designed to guide the student towards more easily managing the administrative, clerical and organizational tasks that are an essential part of study at university. However</w:t>
      </w:r>
      <w:r>
        <w:rPr>
          <w:bCs/>
        </w:rPr>
        <w:t>,</w:t>
      </w:r>
      <w:r w:rsidRPr="001C65C2">
        <w:rPr>
          <w:bCs/>
        </w:rPr>
        <w:t xml:space="preserve"> the Equality Act 2010 also requires universities to provide reasonable adjustments to their </w:t>
      </w:r>
      <w:r w:rsidRPr="001C65C2">
        <w:rPr>
          <w:bCs/>
        </w:rPr>
        <w:lastRenderedPageBreak/>
        <w:t xml:space="preserve">physical environment, their operational procedures, curriculum delivery and assessment, and associated academic-related and administrative processes. At a practical level for the student with dyslexia, this typically may mean providing study areas that are differentiated from those more widely available for other students by being located in quieter environments with fewer distractions; ensuring that some computer workstations are equipped with specialist assistive technology applications; that Virtual Learning Environments (VLEs) are formatted to be easy to navigate with content that is easy to access; that additional time may be provided for students with dyslexia to complete formal examinations. Not least this recognizes that in the domain of adult learning at higher intellectually functional levels, </w:t>
      </w:r>
      <w:r>
        <w:rPr>
          <w:bCs/>
        </w:rPr>
        <w:t>(i.e.</w:t>
      </w:r>
      <w:r w:rsidRPr="001C65C2">
        <w:rPr>
          <w:bCs/>
        </w:rPr>
        <w:t xml:space="preserve"> in </w:t>
      </w:r>
      <w:r>
        <w:rPr>
          <w:bCs/>
        </w:rPr>
        <w:t>HE)</w:t>
      </w:r>
      <w:r w:rsidRPr="001C65C2">
        <w:rPr>
          <w:bCs/>
        </w:rPr>
        <w:t>, early-learning academic challenges that are functions of weaknesses in literacy skills have been shown to be often subsumed by later-learning organizational struggles that impact more substantially on learning confidence</w:t>
      </w:r>
      <w:r>
        <w:rPr>
          <w:bCs/>
        </w:rPr>
        <w:t>. This is</w:t>
      </w:r>
      <w:r w:rsidRPr="001C65C2">
        <w:rPr>
          <w:bCs/>
        </w:rPr>
        <w:t xml:space="preserve"> in comparison with earlier learning difficulties where processes are developed to circumvent earlier learning weaknesses</w:t>
      </w:r>
      <w:r>
        <w:rPr>
          <w:bCs/>
        </w:rPr>
        <w:t xml:space="preserve"> </w:t>
      </w:r>
      <w:r w:rsidRPr="001C65C2">
        <w:rPr>
          <w:bCs/>
        </w:rPr>
        <w:t xml:space="preserve">(Kirby </w:t>
      </w:r>
      <w:r>
        <w:rPr>
          <w:bCs/>
        </w:rPr>
        <w:t>et al.</w:t>
      </w:r>
      <w:r w:rsidRPr="001C65C2">
        <w:rPr>
          <w:bCs/>
        </w:rPr>
        <w:t>, 2008)</w:t>
      </w:r>
      <w:r>
        <w:rPr>
          <w:bCs/>
        </w:rPr>
        <w:t>,</w:t>
      </w:r>
      <w:r w:rsidRPr="001C65C2">
        <w:rPr>
          <w:bCs/>
        </w:rPr>
        <w:t xml:space="preserve"> often through widespread use of study aids and support agencies or technology (Olofsson </w:t>
      </w:r>
      <w:r>
        <w:rPr>
          <w:bCs/>
        </w:rPr>
        <w:t>et al.</w:t>
      </w:r>
      <w:r w:rsidRPr="001C65C2">
        <w:rPr>
          <w:bCs/>
        </w:rPr>
        <w:t>, 2012).</w:t>
      </w:r>
    </w:p>
    <w:p w14:paraId="74C91B4F" w14:textId="77777777" w:rsidR="007707AB" w:rsidRDefault="007707AB" w:rsidP="007707AB">
      <w:pPr>
        <w:rPr>
          <w:bCs/>
        </w:rPr>
      </w:pPr>
      <w:r w:rsidRPr="000D7C9A">
        <w:rPr>
          <w:bCs/>
        </w:rPr>
        <w:t>Thus, dyslexia remains a challenging condition to define</w:t>
      </w:r>
      <w:r>
        <w:rPr>
          <w:bCs/>
        </w:rPr>
        <w:t>,</w:t>
      </w:r>
      <w:r w:rsidRPr="000D7C9A">
        <w:rPr>
          <w:bCs/>
        </w:rPr>
        <w:t xml:space="preserve"> with a range of definitions that has emerged over a century of study</w:t>
      </w:r>
      <w:r>
        <w:rPr>
          <w:bCs/>
        </w:rPr>
        <w:t>,</w:t>
      </w:r>
      <w:r w:rsidRPr="000D7C9A">
        <w:rPr>
          <w:bCs/>
        </w:rPr>
        <w:t xml:space="preserve"> largely stemming from an interest in explaining why some children find learning to read particularly challenging in comparison to their peers (Lombardino &amp; Gauger, 2014). For some ch</w:t>
      </w:r>
      <w:r>
        <w:rPr>
          <w:bCs/>
        </w:rPr>
        <w:t xml:space="preserve">ildren this may be through disadvantaged </w:t>
      </w:r>
      <w:r w:rsidRPr="000D7C9A">
        <w:rPr>
          <w:bCs/>
        </w:rPr>
        <w:t>social backgrounds associated with low literacy levels (Snowling, 2012) or a low intellectual ability</w:t>
      </w:r>
      <w:r>
        <w:rPr>
          <w:bCs/>
        </w:rPr>
        <w:t>.</w:t>
      </w:r>
      <w:r w:rsidRPr="000D7C9A">
        <w:rPr>
          <w:bCs/>
        </w:rPr>
        <w:t xml:space="preserve"> </w:t>
      </w:r>
      <w:r>
        <w:rPr>
          <w:bCs/>
        </w:rPr>
        <w:t>B</w:t>
      </w:r>
      <w:r w:rsidRPr="000D7C9A">
        <w:rPr>
          <w:bCs/>
        </w:rPr>
        <w:t xml:space="preserve">ut for others who </w:t>
      </w:r>
      <w:r>
        <w:rPr>
          <w:bCs/>
        </w:rPr>
        <w:t xml:space="preserve">do not </w:t>
      </w:r>
      <w:r w:rsidRPr="000D7C9A">
        <w:rPr>
          <w:bCs/>
        </w:rPr>
        <w:t>appear to bring these challenges to their learning, the slow uptake in reading skills appears to be due to disturbances in elements of the cognitive processing of some sensory inputs (Stanovich, 2000). It is significant</w:t>
      </w:r>
      <w:r>
        <w:rPr>
          <w:bCs/>
        </w:rPr>
        <w:t>,</w:t>
      </w:r>
      <w:r w:rsidRPr="000D7C9A">
        <w:rPr>
          <w:bCs/>
        </w:rPr>
        <w:t xml:space="preserve"> therefore</w:t>
      </w:r>
      <w:r>
        <w:rPr>
          <w:bCs/>
        </w:rPr>
        <w:t>,</w:t>
      </w:r>
      <w:r w:rsidRPr="000D7C9A">
        <w:rPr>
          <w:bCs/>
        </w:rPr>
        <w:t xml:space="preserve"> that </w:t>
      </w:r>
      <w:r>
        <w:rPr>
          <w:bCs/>
        </w:rPr>
        <w:t xml:space="preserve">in </w:t>
      </w:r>
      <w:r w:rsidRPr="000D7C9A">
        <w:rPr>
          <w:bCs/>
        </w:rPr>
        <w:t>relatively recent</w:t>
      </w:r>
      <w:r>
        <w:rPr>
          <w:bCs/>
        </w:rPr>
        <w:t xml:space="preserve"> research, interest has refocused on gaining a better</w:t>
      </w:r>
      <w:r w:rsidRPr="000D7C9A">
        <w:rPr>
          <w:bCs/>
        </w:rPr>
        <w:t xml:space="preserve"> understand</w:t>
      </w:r>
      <w:r>
        <w:rPr>
          <w:bCs/>
        </w:rPr>
        <w:t>ing</w:t>
      </w:r>
      <w:r w:rsidRPr="000D7C9A">
        <w:rPr>
          <w:bCs/>
        </w:rPr>
        <w:t xml:space="preserve"> </w:t>
      </w:r>
      <w:r>
        <w:rPr>
          <w:bCs/>
        </w:rPr>
        <w:t xml:space="preserve">of </w:t>
      </w:r>
      <w:r w:rsidRPr="000D7C9A">
        <w:rPr>
          <w:bCs/>
        </w:rPr>
        <w:t xml:space="preserve">subtypes of dyslexia. One study which indicates some of the earlier theorizing about dyslexia from this perspective </w:t>
      </w:r>
      <w:r>
        <w:rPr>
          <w:bCs/>
        </w:rPr>
        <w:t>noted</w:t>
      </w:r>
      <w:r w:rsidRPr="000D7C9A">
        <w:rPr>
          <w:bCs/>
        </w:rPr>
        <w:t xml:space="preserve"> that there appeared to be evidence in developmental dyslexia of the subtypes more normally associated with acquired dyslexia - that is, through brain trauma (Castles &amp; </w:t>
      </w:r>
      <w:r>
        <w:rPr>
          <w:bCs/>
        </w:rPr>
        <w:t>Coltheart</w:t>
      </w:r>
      <w:r w:rsidRPr="000D7C9A">
        <w:rPr>
          <w:bCs/>
        </w:rPr>
        <w:t>, 1993). This suggests that there may be distinct dyslexia factors which may be more</w:t>
      </w:r>
      <w:r>
        <w:rPr>
          <w:bCs/>
        </w:rPr>
        <w:t>,</w:t>
      </w:r>
      <w:r w:rsidRPr="000D7C9A">
        <w:rPr>
          <w:bCs/>
        </w:rPr>
        <w:t xml:space="preserve"> or less prevalent in any single individual who presents dyslexia or a dyslexia-like profile. More recent work has taken dyslexia in adults as a focus and particularly, students in </w:t>
      </w:r>
      <w:r>
        <w:rPr>
          <w:bCs/>
        </w:rPr>
        <w:t>HE</w:t>
      </w:r>
      <w:r w:rsidRPr="000D7C9A">
        <w:rPr>
          <w:bCs/>
        </w:rPr>
        <w:t xml:space="preserve"> settings. Centred in The Netherlands, recent studies by Tamboer and colleagues </w:t>
      </w:r>
      <w:r>
        <w:rPr>
          <w:bCs/>
        </w:rPr>
        <w:t>(</w:t>
      </w:r>
      <w:r w:rsidRPr="000D7C9A">
        <w:rPr>
          <w:bCs/>
        </w:rPr>
        <w:t>in particu</w:t>
      </w:r>
      <w:r>
        <w:rPr>
          <w:bCs/>
        </w:rPr>
        <w:t xml:space="preserve">lar </w:t>
      </w:r>
      <w:r w:rsidRPr="000D7C9A">
        <w:rPr>
          <w:bCs/>
        </w:rPr>
        <w:t xml:space="preserve">Tamboer </w:t>
      </w:r>
      <w:r>
        <w:rPr>
          <w:bCs/>
        </w:rPr>
        <w:t>et al.</w:t>
      </w:r>
      <w:r w:rsidRPr="000D7C9A">
        <w:rPr>
          <w:bCs/>
        </w:rPr>
        <w:t xml:space="preserve">, </w:t>
      </w:r>
      <w:r>
        <w:rPr>
          <w:bCs/>
        </w:rPr>
        <w:t>(</w:t>
      </w:r>
      <w:r w:rsidRPr="000D7C9A">
        <w:rPr>
          <w:bCs/>
        </w:rPr>
        <w:t>2014)</w:t>
      </w:r>
      <w:r>
        <w:rPr>
          <w:bCs/>
        </w:rPr>
        <w:t>)</w:t>
      </w:r>
      <w:r w:rsidRPr="000D7C9A">
        <w:rPr>
          <w:bCs/>
        </w:rPr>
        <w:t xml:space="preserve"> are </w:t>
      </w:r>
      <w:r>
        <w:rPr>
          <w:bCs/>
        </w:rPr>
        <w:t xml:space="preserve">extending </w:t>
      </w:r>
      <w:r w:rsidRPr="000D7C9A">
        <w:rPr>
          <w:bCs/>
        </w:rPr>
        <w:t>the discussion by building on earlier research that focused on dyslexia as a multi-dimensional condition: Le J</w:t>
      </w:r>
      <w:r>
        <w:rPr>
          <w:bCs/>
        </w:rPr>
        <w:t>an et al. (2009) explored symptom</w:t>
      </w:r>
      <w:r w:rsidRPr="000D7C9A">
        <w:rPr>
          <w:bCs/>
        </w:rPr>
        <w:t xml:space="preserve">s of dyslexia in </w:t>
      </w:r>
      <w:r>
        <w:rPr>
          <w:bCs/>
        </w:rPr>
        <w:t xml:space="preserve">a </w:t>
      </w:r>
      <w:r w:rsidRPr="000D7C9A">
        <w:rPr>
          <w:bCs/>
        </w:rPr>
        <w:t>group of elementary school children (n=113) to build a diagnos</w:t>
      </w:r>
      <w:r>
        <w:rPr>
          <w:bCs/>
        </w:rPr>
        <w:t>t</w:t>
      </w:r>
      <w:r w:rsidRPr="000D7C9A">
        <w:rPr>
          <w:bCs/>
        </w:rPr>
        <w:t xml:space="preserve">ic tool </w:t>
      </w:r>
      <w:r>
        <w:rPr>
          <w:bCs/>
        </w:rPr>
        <w:t>base</w:t>
      </w:r>
      <w:r w:rsidRPr="000D7C9A">
        <w:rPr>
          <w:bCs/>
        </w:rPr>
        <w:t xml:space="preserve">d on </w:t>
      </w:r>
      <w:r>
        <w:rPr>
          <w:bCs/>
        </w:rPr>
        <w:t xml:space="preserve">an </w:t>
      </w:r>
      <w:r w:rsidRPr="000D7C9A">
        <w:rPr>
          <w:bCs/>
        </w:rPr>
        <w:t xml:space="preserve">analysis of </w:t>
      </w:r>
      <w:r>
        <w:rPr>
          <w:bCs/>
        </w:rPr>
        <w:t xml:space="preserve">dyslexia </w:t>
      </w:r>
      <w:r w:rsidRPr="000D7C9A">
        <w:rPr>
          <w:bCs/>
        </w:rPr>
        <w:t xml:space="preserve">characteristics to guide assessors to identify the presence of dyslexia or not. </w:t>
      </w:r>
      <w:r>
        <w:rPr>
          <w:bCs/>
        </w:rPr>
        <w:t>Eight</w:t>
      </w:r>
      <w:r w:rsidRPr="000D7C9A">
        <w:rPr>
          <w:bCs/>
        </w:rPr>
        <w:t xml:space="preserve"> variables from the four categories of metaphonological skills - awareness of the sound structures of spoken words</w:t>
      </w:r>
      <w:r>
        <w:rPr>
          <w:bCs/>
        </w:rPr>
        <w:t xml:space="preserve"> (</w:t>
      </w:r>
      <w:r w:rsidRPr="000D7C9A">
        <w:rPr>
          <w:bCs/>
        </w:rPr>
        <w:t>phonological awareness</w:t>
      </w:r>
      <w:r>
        <w:rPr>
          <w:bCs/>
        </w:rPr>
        <w:t>);</w:t>
      </w:r>
      <w:r w:rsidRPr="000D7C9A">
        <w:rPr>
          <w:bCs/>
        </w:rPr>
        <w:t xml:space="preserve"> </w:t>
      </w:r>
      <w:r>
        <w:rPr>
          <w:bCs/>
        </w:rPr>
        <w:t xml:space="preserve">awareness of </w:t>
      </w:r>
      <w:r w:rsidRPr="000D7C9A">
        <w:rPr>
          <w:bCs/>
        </w:rPr>
        <w:t xml:space="preserve">word </w:t>
      </w:r>
      <w:r w:rsidRPr="000D7C9A">
        <w:rPr>
          <w:bCs/>
        </w:rPr>
        <w:lastRenderedPageBreak/>
        <w:t>structures and word inter-relationships</w:t>
      </w:r>
      <w:r>
        <w:rPr>
          <w:bCs/>
        </w:rPr>
        <w:t xml:space="preserve"> (morphology awareness);</w:t>
      </w:r>
      <w:r w:rsidRPr="000D7C9A">
        <w:rPr>
          <w:bCs/>
        </w:rPr>
        <w:t xml:space="preserve"> the visual span of attention in reading</w:t>
      </w:r>
      <w:r>
        <w:rPr>
          <w:bCs/>
        </w:rPr>
        <w:t xml:space="preserve"> (visuo-attentional capacities);</w:t>
      </w:r>
      <w:r w:rsidRPr="000D7C9A">
        <w:rPr>
          <w:bCs/>
        </w:rPr>
        <w:t xml:space="preserve"> and discerning differences in similar sounding syl</w:t>
      </w:r>
      <w:r>
        <w:rPr>
          <w:bCs/>
        </w:rPr>
        <w:t>lables, for example between '~ti~' and '~di</w:t>
      </w:r>
      <w:r w:rsidRPr="000D7C9A">
        <w:rPr>
          <w:bCs/>
        </w:rPr>
        <w:t>~'</w:t>
      </w:r>
      <w:r>
        <w:rPr>
          <w:bCs/>
        </w:rPr>
        <w:t xml:space="preserve"> (discerning auditory contrasts)</w:t>
      </w:r>
      <w:r w:rsidRPr="000D7C9A">
        <w:rPr>
          <w:bCs/>
        </w:rPr>
        <w:t xml:space="preserve">. These variables were established as significant predictors of the likelihood of dyslexia being present. Pennington (2006) </w:t>
      </w:r>
      <w:r>
        <w:rPr>
          <w:bCs/>
        </w:rPr>
        <w:t xml:space="preserve">had previously </w:t>
      </w:r>
      <w:r w:rsidRPr="000D7C9A">
        <w:rPr>
          <w:bCs/>
        </w:rPr>
        <w:t xml:space="preserve">suggested a multi-factorial cognitive deficit model to explain the causes of dyslexia which emerged </w:t>
      </w:r>
      <w:r>
        <w:rPr>
          <w:bCs/>
        </w:rPr>
        <w:t>from</w:t>
      </w:r>
      <w:r w:rsidRPr="000D7C9A">
        <w:rPr>
          <w:bCs/>
        </w:rPr>
        <w:t xml:space="preserve"> interest in explaining the co-morbidities of dyslexia with attention deficit hyperactive disorder (ADHD) and with speech sound disorder (SSD). One of the key findings suggested that although a multi-variate model did not achieve a thorough understanding of developmental disorders such as dyslexia, ADHD and SDD, it did help in explaining more about the </w:t>
      </w:r>
      <w:r>
        <w:rPr>
          <w:bCs/>
        </w:rPr>
        <w:t>“</w:t>
      </w:r>
      <w:r w:rsidRPr="000D7C9A">
        <w:rPr>
          <w:bCs/>
        </w:rPr>
        <w:t>shared processes at the aetiologic, neural and cognitive levels</w:t>
      </w:r>
      <w:r>
        <w:rPr>
          <w:bCs/>
        </w:rPr>
        <w:t>”</w:t>
      </w:r>
      <w:r w:rsidRPr="000D7C9A">
        <w:rPr>
          <w:bCs/>
        </w:rPr>
        <w:t xml:space="preserve"> (ibid, p405) of such conditions. The focus </w:t>
      </w:r>
      <w:r>
        <w:rPr>
          <w:bCs/>
        </w:rPr>
        <w:t xml:space="preserve">of the Dutch studies was </w:t>
      </w:r>
      <w:r w:rsidRPr="000D7C9A">
        <w:rPr>
          <w:bCs/>
        </w:rPr>
        <w:t xml:space="preserve">to explore more fully the factor structure of dyslexia to try to determine firstly whether understanding more about the subtypes of dyslexia can enable more effective screening tools to be developed for identifying </w:t>
      </w:r>
      <w:r>
        <w:rPr>
          <w:bCs/>
        </w:rPr>
        <w:t xml:space="preserve">dyslexia </w:t>
      </w:r>
      <w:r w:rsidRPr="000D7C9A">
        <w:rPr>
          <w:bCs/>
        </w:rPr>
        <w:t xml:space="preserve">amongst university students, and secondly whether these are distinguishing features of dyslexic learners alone or they can be observed to varying degrees in other, even all students. This approach in attempting to understand dyslexia and how it might be identified more specifically in tertiary education settings is particularly pertinent to my study </w:t>
      </w:r>
      <w:r>
        <w:rPr>
          <w:bCs/>
        </w:rPr>
        <w:t>(see sub-section 3.1(IV))</w:t>
      </w:r>
      <w:r w:rsidRPr="000D7C9A">
        <w:rPr>
          <w:bCs/>
        </w:rPr>
        <w:t>.</w:t>
      </w:r>
    </w:p>
    <w:p w14:paraId="6229AC92" w14:textId="77777777" w:rsidR="007707AB" w:rsidRDefault="007707AB" w:rsidP="007707AB">
      <w:pPr>
        <w:rPr>
          <w:bCs/>
        </w:rPr>
      </w:pPr>
      <w:r w:rsidRPr="001C65C2">
        <w:rPr>
          <w:bCs/>
        </w:rPr>
        <w:t>It might be argued that much of the problem</w:t>
      </w:r>
      <w:r>
        <w:rPr>
          <w:bCs/>
        </w:rPr>
        <w:t xml:space="preserve"> in pinning down what dyslexia </w:t>
      </w:r>
      <w:r>
        <w:rPr>
          <w:bCs/>
          <w:i/>
        </w:rPr>
        <w:t>is</w:t>
      </w:r>
      <w:r>
        <w:rPr>
          <w:bCs/>
        </w:rPr>
        <w:t>,</w:t>
      </w:r>
      <w:r w:rsidRPr="001C65C2">
        <w:rPr>
          <w:bCs/>
        </w:rPr>
        <w:t xml:space="preserve"> is a function of the way in which </w:t>
      </w:r>
      <w:r>
        <w:rPr>
          <w:bCs/>
        </w:rPr>
        <w:t>it</w:t>
      </w:r>
      <w:r w:rsidRPr="001C65C2">
        <w:rPr>
          <w:bCs/>
        </w:rPr>
        <w:t xml:space="preserve"> is </w:t>
      </w:r>
      <w:r w:rsidRPr="00205D8D">
        <w:rPr>
          <w:bCs/>
        </w:rPr>
        <w:t>assessed</w:t>
      </w:r>
      <w:r w:rsidRPr="001C65C2">
        <w:rPr>
          <w:bCs/>
        </w:rPr>
        <w:t>. In the case of the literacy-related dimensions of dyslexia that are most noticeable in young learners, Stanovich in particular has repeatedly questioned the discrepancy approach used to measure dyslexia, insisting that when aptitude-achievement is used as the benchmark comparator, such a 'diagnosis' fails to properly discriminate between attributing poor reading abilities to dyslexia or to other typical causes (</w:t>
      </w:r>
      <w:r>
        <w:rPr>
          <w:bCs/>
        </w:rPr>
        <w:t xml:space="preserve">Stanovich, </w:t>
      </w:r>
      <w:r w:rsidRPr="001C65C2">
        <w:rPr>
          <w:bCs/>
        </w:rPr>
        <w:t>1988, 1991, 1993, 1996, 1999, 2000). Elliott &amp; Grigorenko (2014) br</w:t>
      </w:r>
      <w:r>
        <w:rPr>
          <w:bCs/>
        </w:rPr>
        <w:t>ought</w:t>
      </w:r>
      <w:r w:rsidRPr="001C65C2">
        <w:rPr>
          <w:bCs/>
        </w:rPr>
        <w:t xml:space="preserve"> this into the contemporary context </w:t>
      </w:r>
      <w:r>
        <w:rPr>
          <w:bCs/>
        </w:rPr>
        <w:t xml:space="preserve">by </w:t>
      </w:r>
      <w:r w:rsidRPr="001C65C2">
        <w:rPr>
          <w:bCs/>
        </w:rPr>
        <w:t>argu</w:t>
      </w:r>
      <w:r>
        <w:rPr>
          <w:bCs/>
        </w:rPr>
        <w:t>ing</w:t>
      </w:r>
      <w:r w:rsidRPr="001C65C2">
        <w:rPr>
          <w:bCs/>
        </w:rPr>
        <w:t xml:space="preserve"> that identifying dyslexia is </w:t>
      </w:r>
      <w:r>
        <w:rPr>
          <w:bCs/>
        </w:rPr>
        <w:t xml:space="preserve">so </w:t>
      </w:r>
      <w:r w:rsidRPr="001C65C2">
        <w:rPr>
          <w:bCs/>
        </w:rPr>
        <w:t xml:space="preserve">problematic that assessments of it may be irrelevant or at best, academically counter-productive. Notably, it has also been shown that students with dyslexia in </w:t>
      </w:r>
      <w:r>
        <w:rPr>
          <w:bCs/>
        </w:rPr>
        <w:t>HE</w:t>
      </w:r>
      <w:r w:rsidRPr="001C65C2">
        <w:rPr>
          <w:bCs/>
        </w:rPr>
        <w:t xml:space="preserve"> may not be a homogeneous group due to the lik</w:t>
      </w:r>
      <w:r>
        <w:rPr>
          <w:bCs/>
        </w:rPr>
        <w:t>e</w:t>
      </w:r>
      <w:r w:rsidRPr="001C65C2">
        <w:rPr>
          <w:bCs/>
        </w:rPr>
        <w:t>lihood that several subtypes of dyslexia or dyslexia-like pr</w:t>
      </w:r>
      <w:r>
        <w:rPr>
          <w:bCs/>
        </w:rPr>
        <w:t xml:space="preserve">ofiles may exist. Hence, </w:t>
      </w:r>
      <w:r w:rsidRPr="001C65C2">
        <w:rPr>
          <w:bCs/>
        </w:rPr>
        <w:t xml:space="preserve">any identification approaches need to be designed to respond accordingly (Tops </w:t>
      </w:r>
      <w:r>
        <w:rPr>
          <w:bCs/>
        </w:rPr>
        <w:t>et al.</w:t>
      </w:r>
      <w:r w:rsidRPr="001C65C2">
        <w:rPr>
          <w:bCs/>
        </w:rPr>
        <w:t xml:space="preserve">, 2012). These issues are explored later </w:t>
      </w:r>
      <w:r>
        <w:rPr>
          <w:bCs/>
        </w:rPr>
        <w:t xml:space="preserve">(sub-section 2.1(VI)), </w:t>
      </w:r>
      <w:r w:rsidRPr="001C65C2">
        <w:rPr>
          <w:bCs/>
        </w:rPr>
        <w:t>where the discussion specifically expands on the problems and suggested solutions surrounding the determination of the extent of a</w:t>
      </w:r>
      <w:r>
        <w:rPr>
          <w:bCs/>
        </w:rPr>
        <w:t xml:space="preserve">n </w:t>
      </w:r>
      <w:r w:rsidRPr="001C65C2">
        <w:rPr>
          <w:bCs/>
        </w:rPr>
        <w:t>individual's dyslexia</w:t>
      </w:r>
      <w:r>
        <w:rPr>
          <w:bCs/>
        </w:rPr>
        <w:t xml:space="preserve">. </w:t>
      </w:r>
      <w:r w:rsidRPr="001C65C2">
        <w:rPr>
          <w:bCs/>
        </w:rPr>
        <w:t xml:space="preserve">Hence, given the persistent debate surrounding the nature of dyslexia and which aspects of </w:t>
      </w:r>
      <w:r>
        <w:rPr>
          <w:bCs/>
        </w:rPr>
        <w:t xml:space="preserve">it </w:t>
      </w:r>
      <w:r w:rsidRPr="001C65C2">
        <w:rPr>
          <w:bCs/>
        </w:rPr>
        <w:t>might be measurable and for what purpose, assigning a metric to establish a worthwhile appraisal of dyslexia, dyslexia-like characteristics or dyslexia-implied study profiles in learning context</w:t>
      </w:r>
      <w:r>
        <w:rPr>
          <w:bCs/>
        </w:rPr>
        <w:t>s</w:t>
      </w:r>
      <w:r w:rsidRPr="001C65C2">
        <w:rPr>
          <w:bCs/>
        </w:rPr>
        <w:t xml:space="preserve"> is ambitious. It is Stanovich's view that domain-specific difficulties - for </w:t>
      </w:r>
      <w:r w:rsidRPr="001C65C2">
        <w:rPr>
          <w:bCs/>
        </w:rPr>
        <w:lastRenderedPageBreak/>
        <w:t>example, finding reading challenging, struggling with arithmetic - may be comorbid in many cases, but it is only helpful to group such difficulties under an umbrella te</w:t>
      </w:r>
      <w:r>
        <w:rPr>
          <w:bCs/>
        </w:rPr>
        <w:t>rm - such as 'learning disability</w:t>
      </w:r>
      <w:r w:rsidRPr="001C65C2">
        <w:rPr>
          <w:bCs/>
        </w:rPr>
        <w:t xml:space="preserve">' - after an initial domain-specific classification has been established (Stanovich, 1999). This is </w:t>
      </w:r>
      <w:r>
        <w:rPr>
          <w:bCs/>
        </w:rPr>
        <w:t>important,</w:t>
      </w:r>
      <w:r w:rsidRPr="001C65C2">
        <w:rPr>
          <w:bCs/>
        </w:rPr>
        <w:t xml:space="preserve"> not least because this argument adds weight to the adoption of a factorial view of dyslexia, especially in academically capable adult dyslexics where many of the early-years' learning difficulties may have been displaced by strategically developed learning solutions but which may expose other dyslexia 'factors' as more influential in the learning processes that are commensurate with study at university.</w:t>
      </w:r>
    </w:p>
    <w:p w14:paraId="48D72A84" w14:textId="245A4D5D" w:rsidR="007707AB" w:rsidRDefault="007707AB" w:rsidP="008D0258">
      <w:r>
        <w:t xml:space="preserve">Finally, it is worth observing that </w:t>
      </w:r>
      <w:r w:rsidRPr="002C6C7D">
        <w:t>the Equality Act</w:t>
      </w:r>
      <w:r>
        <w:t xml:space="preserve"> (UK)</w:t>
      </w:r>
      <w:r w:rsidRPr="002C6C7D">
        <w:t xml:space="preserve"> 2010 </w:t>
      </w:r>
      <w:r w:rsidRPr="00E50DAE">
        <w:rPr>
          <w:i/>
        </w:rPr>
        <w:t>attempts</w:t>
      </w:r>
      <w:r>
        <w:t xml:space="preserve"> to build </w:t>
      </w:r>
      <w:r w:rsidRPr="002C6C7D">
        <w:t>on a recognition of the social model of disability</w:t>
      </w:r>
      <w:r>
        <w:t>,</w:t>
      </w:r>
      <w:r w:rsidRPr="002C6C7D">
        <w:t xml:space="preserve"> </w:t>
      </w:r>
      <w:r>
        <w:t xml:space="preserve">being </w:t>
      </w:r>
      <w:r w:rsidRPr="002C6C7D">
        <w:t xml:space="preserve">one that views society as the disabling factor when people are physically impaired or different from most other members of </w:t>
      </w:r>
      <w:r>
        <w:t xml:space="preserve">that </w:t>
      </w:r>
      <w:r w:rsidRPr="002C6C7D">
        <w:t xml:space="preserve">society. </w:t>
      </w:r>
      <w:r>
        <w:t xml:space="preserve">It </w:t>
      </w:r>
      <w:r w:rsidRPr="002C6C7D">
        <w:t>considers dyslexia to be one of a family of unseen or hidden impairments which are counted as disabilities</w:t>
      </w:r>
      <w:r>
        <w:t>. But d</w:t>
      </w:r>
      <w:r w:rsidRPr="002C6C7D">
        <w:t>espite the clear intentions of the Act to focus on inclusion and acces</w:t>
      </w:r>
      <w:r>
        <w:t xml:space="preserve">s, dyslexia tacitly remains </w:t>
      </w:r>
      <w:r w:rsidRPr="002C6C7D">
        <w:t>attributed to the individual</w:t>
      </w:r>
      <w:r>
        <w:t>,</w:t>
      </w:r>
      <w:r w:rsidRPr="002C6C7D">
        <w:t xml:space="preserve"> not least through a persistence to </w:t>
      </w:r>
      <w:r>
        <w:t>‘</w:t>
      </w:r>
      <w:r w:rsidRPr="00B62822">
        <w:t>diagnose</w:t>
      </w:r>
      <w:r>
        <w:t>’</w:t>
      </w:r>
      <w:r w:rsidRPr="002C6C7D">
        <w:t> it</w:t>
      </w:r>
      <w:r>
        <w:t xml:space="preserve">. This position </w:t>
      </w:r>
      <w:r w:rsidRPr="002C6C7D">
        <w:t xml:space="preserve">might be argued </w:t>
      </w:r>
      <w:r>
        <w:t xml:space="preserve">to be </w:t>
      </w:r>
      <w:r w:rsidRPr="002C6C7D">
        <w:t>more consistent with the now outdated m</w:t>
      </w:r>
      <w:r>
        <w:t xml:space="preserve">edical model, where </w:t>
      </w:r>
      <w:r w:rsidRPr="002C6C7D">
        <w:t xml:space="preserve">disability is </w:t>
      </w:r>
      <w:r>
        <w:t xml:space="preserve">implied to be </w:t>
      </w:r>
      <w:r w:rsidRPr="002C6C7D">
        <w:t xml:space="preserve">the fault of the disabled person rather than resulting from situations and circumstances in society that are not adjusted to account for </w:t>
      </w:r>
      <w:r>
        <w:t>different abilities, either phy</w:t>
      </w:r>
      <w:r w:rsidRPr="002C6C7D">
        <w:t>sical or hidden. Much of the research evidence explored</w:t>
      </w:r>
      <w:r>
        <w:t xml:space="preserve"> and cited</w:t>
      </w:r>
      <w:r w:rsidRPr="002C6C7D">
        <w:t xml:space="preserve"> in this thesis persists in referring to a diagnosis of dyslexia</w:t>
      </w:r>
      <w:r>
        <w:t>. This is despite</w:t>
      </w:r>
      <w:r w:rsidRPr="002C6C7D">
        <w:t xml:space="preserve"> the contemporary view about dyslexia in learning environment</w:t>
      </w:r>
      <w:r>
        <w:t xml:space="preserve">s more commonly implying </w:t>
      </w:r>
      <w:r w:rsidRPr="002C6C7D">
        <w:t>that it is the structures and systems of delivery which should be considered as the disabling factor</w:t>
      </w:r>
      <w:r>
        <w:t>,</w:t>
      </w:r>
      <w:r w:rsidRPr="002C6C7D">
        <w:t xml:space="preserve"> and that as long as learning outcomes that assess intellect and academic aptitude remain </w:t>
      </w:r>
      <w:r>
        <w:t>base</w:t>
      </w:r>
      <w:r w:rsidRPr="002C6C7D">
        <w:t>d on high levels of literacy, learning barriers attributable to even a more positively-focused social construction of dyslexia are likely to remain, no matter how the syndrome is defined (Cameron &amp; Billington, 2015). One of the significant outcomes of this study reports on how students learned of their dyslexia to try to find out more about the impact of being diagnosed and how this may be correlate</w:t>
      </w:r>
      <w:r>
        <w:t>d with levels of academic confidence (see sub-section 4.3(II)).</w:t>
      </w:r>
    </w:p>
    <w:p w14:paraId="0186D350" w14:textId="6C18E4B0" w:rsidR="007707AB" w:rsidRPr="00BC38E7" w:rsidRDefault="007707AB" w:rsidP="007707AB">
      <w:pPr>
        <w:pStyle w:val="Heading3"/>
      </w:pPr>
      <w:bookmarkStart w:id="43" w:name="_Toc9795730"/>
      <w:bookmarkStart w:id="44" w:name="_Toc57035894"/>
      <w:r>
        <w:t>II</w:t>
      </w:r>
      <w:r w:rsidR="00E2724C">
        <w:tab/>
      </w:r>
      <w:r>
        <w:t>Theoretical standpoints of dyslexia</w:t>
      </w:r>
      <w:bookmarkEnd w:id="43"/>
      <w:bookmarkEnd w:id="44"/>
    </w:p>
    <w:p w14:paraId="2C6550DF" w14:textId="5EBA6518" w:rsidR="007707AB" w:rsidRDefault="007707AB" w:rsidP="007707AB">
      <w:r>
        <w:t>A</w:t>
      </w:r>
      <w:r w:rsidRPr="004F1A80">
        <w:t xml:space="preserve"> brief overview of some of the most important </w:t>
      </w:r>
      <w:r>
        <w:t>theories about dyslexia are</w:t>
      </w:r>
      <w:r w:rsidRPr="004F1A80">
        <w:t xml:space="preserve"> </w:t>
      </w:r>
      <w:r>
        <w:t xml:space="preserve">now </w:t>
      </w:r>
      <w:r w:rsidRPr="004F1A80">
        <w:t xml:space="preserve">presented. </w:t>
      </w:r>
      <w:r>
        <w:t>T</w:t>
      </w:r>
      <w:r w:rsidRPr="004F1A80">
        <w:t>his</w:t>
      </w:r>
      <w:r>
        <w:t xml:space="preserve"> will not </w:t>
      </w:r>
      <w:r w:rsidRPr="004F1A80">
        <w:t>be a discussion or a critical rev</w:t>
      </w:r>
      <w:r>
        <w:t xml:space="preserve">iew of the theories, but instead </w:t>
      </w:r>
      <w:r w:rsidRPr="004F1A80">
        <w:t>aims to provide a backdrop of the main ideas about dyslexia as a framework that, together with the theoretical underpinnings of academic confidence</w:t>
      </w:r>
      <w:r>
        <w:t xml:space="preserve"> presented later (sub-section 2.2</w:t>
      </w:r>
      <w:r w:rsidRPr="004F1A80">
        <w:t xml:space="preserve">), support the objectives of this </w:t>
      </w:r>
      <w:r>
        <w:t>current study</w:t>
      </w:r>
      <w:r w:rsidRPr="004F1A80">
        <w:t xml:space="preserve">. </w:t>
      </w:r>
    </w:p>
    <w:p w14:paraId="45DC4651" w14:textId="77777777" w:rsidR="007707AB" w:rsidRDefault="007707AB" w:rsidP="007707AB">
      <w:r w:rsidRPr="004F1A80">
        <w:t>Theories about dyslexia fall into several, broad categories: Attributing dyslexia to phonological skills and awareness differences is widely researched and supported</w:t>
      </w:r>
      <w:r>
        <w:t>,</w:t>
      </w:r>
      <w:r w:rsidRPr="004F1A80">
        <w:t xml:space="preserve"> not </w:t>
      </w:r>
      <w:r w:rsidRPr="004F1A80">
        <w:lastRenderedPageBreak/>
        <w:t>least due to relevance in explaining reading difficulties in children. Explaining dyslexia as an outcome of visual differences or irregular visuo-attentional processing appear</w:t>
      </w:r>
      <w:r>
        <w:t>s</w:t>
      </w:r>
      <w:r w:rsidRPr="004F1A80">
        <w:t xml:space="preserve"> at the outset to be quite different and sometimes rather specialized</w:t>
      </w:r>
      <w:r>
        <w:t>,</w:t>
      </w:r>
      <w:r w:rsidRPr="004F1A80">
        <w:t xml:space="preserve"> but these theories have also attracted substantial support. A more recent focus considers dyslexia as an example of natural human neurodiversity by placing it along a spectrum which is said to include, for example, autism and </w:t>
      </w:r>
      <w:r>
        <w:t>A</w:t>
      </w:r>
      <w:r w:rsidRPr="004F1A80">
        <w:t>tte</w:t>
      </w:r>
      <w:r>
        <w:t>ntion Deficit Disorder (ADD). O</w:t>
      </w:r>
      <w:r w:rsidRPr="004F1A80">
        <w:t>ther theories have tried to blend some of the well-substantiated explanations into a more comprehensive framework for understanding dyslexia by taking a neuro</w:t>
      </w:r>
      <w:r>
        <w:t xml:space="preserve">-biological standpoint; or </w:t>
      </w:r>
      <w:r w:rsidRPr="004F1A80">
        <w:t>to consider it as a multifactorial syndrome that presents a wide range of characteristics, attributes and differences</w:t>
      </w:r>
      <w:r>
        <w:t>, not only</w:t>
      </w:r>
      <w:r w:rsidRPr="004F1A80">
        <w:t xml:space="preserve"> in learning and study behaviours </w:t>
      </w:r>
      <w:r>
        <w:t>but also</w:t>
      </w:r>
      <w:r w:rsidRPr="004F1A80">
        <w:t xml:space="preserve"> more widely in everyday functioning. These will be taken in turn in an attempt to crystalize the most important features of each into short overviews</w:t>
      </w:r>
      <w:r>
        <w:t>,</w:t>
      </w:r>
      <w:r w:rsidRPr="004F1A80">
        <w:t xml:space="preserve"> to briefly illustrate their theoretical roots and </w:t>
      </w:r>
      <w:r>
        <w:t>how they may be located</w:t>
      </w:r>
      <w:r w:rsidRPr="004F1A80">
        <w:t xml:space="preserve"> in the domain of learning and teaching, especially in </w:t>
      </w:r>
      <w:r>
        <w:t>HE</w:t>
      </w:r>
      <w:r w:rsidRPr="004F1A80">
        <w:t xml:space="preserve"> contexts.</w:t>
      </w:r>
    </w:p>
    <w:p w14:paraId="2E826576" w14:textId="77777777" w:rsidR="007707AB" w:rsidRPr="00E2724C" w:rsidRDefault="007707AB" w:rsidP="007707AB">
      <w:pPr>
        <w:rPr>
          <w:iCs/>
        </w:rPr>
      </w:pPr>
      <w:r w:rsidRPr="00E2724C">
        <w:rPr>
          <w:rStyle w:val="Heading4Char"/>
          <w:iCs/>
        </w:rPr>
        <w:t>1. Dyslexia is a phonological processing disturbance</w:t>
      </w:r>
      <w:r w:rsidRPr="00E2724C">
        <w:rPr>
          <w:iCs/>
        </w:rPr>
        <w:t xml:space="preserve"> </w:t>
      </w:r>
    </w:p>
    <w:p w14:paraId="5B7B1B5C" w14:textId="77777777" w:rsidR="007707AB" w:rsidRDefault="007707AB" w:rsidP="007707AB">
      <w:r>
        <w:t xml:space="preserve">This is a major theory of dyslexia, offering the explanation for reading difficulties as resulting from impairments in forming grapheme-phoneme correspondence: that is, understanding the connections between the forms of letters and the corresponding sounds that are represented. More specifically, that the ability to blend or disassemble letter combinations, i.e., syllables and words, into or from their corresponding speech sounds is impaired (Brady &amp; Shankweiler, 1991). </w:t>
      </w:r>
      <w:r w:rsidRPr="006028D0">
        <w:t>In the phonological-core variable-difference framework, Stanovich (1988) argued that the primary difference between dyslexic and non-dyslexic individuals is evidenced by a deficiency in the cognitive dimension where phonological skills are located. This was said to explain differences in causes for</w:t>
      </w:r>
      <w:r>
        <w:t xml:space="preserve"> </w:t>
      </w:r>
      <w:r w:rsidRPr="002D3F75">
        <w:t>delayed</w:t>
      </w:r>
      <w:r w:rsidRPr="006028D0">
        <w:t xml:space="preserve"> reading skills</w:t>
      </w:r>
      <w:r>
        <w:t>’ acquisition</w:t>
      </w:r>
      <w:r w:rsidRPr="006028D0">
        <w:t xml:space="preserve"> between young people with a dyslexia and others who were more of the 'garden variety' of poor readers (ibid, p590), a term originally coined by Gough &amp; Tu</w:t>
      </w:r>
      <w:r>
        <w:t>nm</w:t>
      </w:r>
      <w:r w:rsidRPr="006028D0">
        <w:t>er (1986) in a study about decoding, reading and reading disabilities. The idea is based on the argument that an individual with dyslexia has a cognitive deficit that is by-and-large</w:t>
      </w:r>
      <w:r>
        <w:t>,</w:t>
      </w:r>
      <w:r w:rsidRPr="006028D0">
        <w:t xml:space="preserve"> specific to reading</w:t>
      </w:r>
      <w:r>
        <w:t>. W</w:t>
      </w:r>
      <w:r w:rsidRPr="006028D0">
        <w:t>ere deficits to extend more widely into other cognitive areas of functioning, then such an individual would not b</w:t>
      </w:r>
      <w:r>
        <w:t xml:space="preserve">e dyslexic but rather, </w:t>
      </w:r>
      <w:r w:rsidRPr="006028D0">
        <w:t>a '</w:t>
      </w:r>
      <w:r>
        <w:t>normal</w:t>
      </w:r>
      <w:r w:rsidRPr="006028D0">
        <w:t>' poor reader. The most important point is Stanovich's contention that in dyslexia</w:t>
      </w:r>
      <w:r>
        <w:t>,</w:t>
      </w:r>
      <w:r w:rsidRPr="006028D0">
        <w:t xml:space="preserve"> the deficit is vertical in respect to the individual's inherent cognitive powers</w:t>
      </w:r>
      <w:r>
        <w:t>,</w:t>
      </w:r>
      <w:r w:rsidRPr="006028D0">
        <w:t xml:space="preserve"> and hence is</w:t>
      </w:r>
      <w:r>
        <w:t xml:space="preserve"> domain-specific. This is in contrast to </w:t>
      </w:r>
      <w:r w:rsidRPr="006028D0">
        <w:t>a more horizontal</w:t>
      </w:r>
      <w:r>
        <w:t>ly manifested deficit,</w:t>
      </w:r>
      <w:r w:rsidRPr="006028D0">
        <w:t xml:space="preserve"> which would be presented </w:t>
      </w:r>
      <w:r>
        <w:t>as</w:t>
      </w:r>
      <w:r w:rsidRPr="006028D0">
        <w:t xml:space="preserve"> extending across several cognitive domains</w:t>
      </w:r>
      <w:r>
        <w:t xml:space="preserve">. These might be </w:t>
      </w:r>
      <w:r w:rsidRPr="006028D0">
        <w:t>attention and concentration, or visuo-spatial skills. This standpoint goes some way to</w:t>
      </w:r>
      <w:r>
        <w:t>wards</w:t>
      </w:r>
      <w:r w:rsidRPr="006028D0">
        <w:t xml:space="preserve"> explaining why much of the earlier dyslexia research is rooted at the word-recognition level of phonological processing abilities. These are abilities which </w:t>
      </w:r>
      <w:r>
        <w:t xml:space="preserve">may </w:t>
      </w:r>
      <w:r w:rsidRPr="006028D0">
        <w:t>include phonological decoding</w:t>
      </w:r>
      <w:r>
        <w:t>,</w:t>
      </w:r>
      <w:r w:rsidRPr="006028D0">
        <w:t xml:space="preserve"> inefficiencies in short-term memory </w:t>
      </w:r>
      <w:r w:rsidRPr="006028D0">
        <w:lastRenderedPageBreak/>
        <w:t>processes, or in translating the written representation of phonemes into their correct sound segments, for example in properly distinguishing the vowel sound differences that are centrally located in (English) words such as b</w:t>
      </w:r>
      <w:r w:rsidRPr="006028D0">
        <w:rPr>
          <w:b/>
        </w:rPr>
        <w:t>oa</w:t>
      </w:r>
      <w:r w:rsidRPr="006028D0">
        <w:t>t, b</w:t>
      </w:r>
      <w:r w:rsidRPr="006028D0">
        <w:rPr>
          <w:b/>
        </w:rPr>
        <w:t>oo</w:t>
      </w:r>
      <w:r w:rsidRPr="006028D0">
        <w:t>k, b</w:t>
      </w:r>
      <w:r w:rsidRPr="006028D0">
        <w:rPr>
          <w:b/>
        </w:rPr>
        <w:t>oo</w:t>
      </w:r>
      <w:r w:rsidRPr="006028D0">
        <w:t>t. This difficulty impacts prog</w:t>
      </w:r>
      <w:r>
        <w:t>ressively when children advance</w:t>
      </w:r>
      <w:r w:rsidRPr="006028D0">
        <w:t xml:space="preserve"> from learning the individual sounds of letters and short letter combinations into blending these into words and hence challenges the development of reading skills, indicating that the link between phonological processing and acquisition of reading skills is causal (Wagner &amp; Torgesen, 1987), although later research sugge</w:t>
      </w:r>
      <w:r>
        <w:t>sted that this relationship may be bi-directional. That is,</w:t>
      </w:r>
      <w:r w:rsidRPr="006028D0">
        <w:t xml:space="preserve"> it may </w:t>
      </w:r>
      <w:r>
        <w:t xml:space="preserve">equally </w:t>
      </w:r>
      <w:r w:rsidRPr="006028D0">
        <w:t>be the actions of learning to read which enable phonological awareness (</w:t>
      </w:r>
      <w:r>
        <w:t>Hogan, et al., 2005, Brunswick, et al., 2012</w:t>
      </w:r>
      <w:r w:rsidRPr="006028D0">
        <w:t>).</w:t>
      </w:r>
      <w:r>
        <w:t xml:space="preserve"> </w:t>
      </w:r>
      <w:r w:rsidRPr="00BC6BB2">
        <w:t>However</w:t>
      </w:r>
      <w:r>
        <w:t>,</w:t>
      </w:r>
      <w:r w:rsidRPr="00BC6BB2">
        <w:t xml:space="preserve"> the most important point is that although phonological deficits may also occur in non-dyslexic poor readers, </w:t>
      </w:r>
      <w:r>
        <w:t xml:space="preserve">their </w:t>
      </w:r>
      <w:r w:rsidRPr="00BC6BB2">
        <w:t>deficits may also extend into other domains (Stanovich, 1994).</w:t>
      </w:r>
    </w:p>
    <w:p w14:paraId="1CD57ACE" w14:textId="00C460D9" w:rsidR="007707AB" w:rsidRDefault="007707AB" w:rsidP="007707AB">
      <w:r w:rsidRPr="000C3BAF">
        <w:t>But why do phonological processes impact so much on reading? It is beyond the scop</w:t>
      </w:r>
      <w:r>
        <w:t>e of this thesis to engage with</w:t>
      </w:r>
      <w:r w:rsidRPr="000C3BAF">
        <w:t xml:space="preserve"> lengthy discussion about the components and processes that drive the acquisition of reading skills but the core idea of 'phonics' as a learning-to-read procedure is that it teaches children to match up the sound components of words with individual letters or letter groups, and consequently is also di</w:t>
      </w:r>
      <w:r>
        <w:t>rectly related to the simultaneous</w:t>
      </w:r>
      <w:r w:rsidRPr="000C3BAF">
        <w:t xml:space="preserve"> acquisition of spelling competency. For example, children will learn that the sound </w:t>
      </w:r>
      <w:r>
        <w:t>‘</w:t>
      </w:r>
      <w:r w:rsidRPr="00897911">
        <w:rPr>
          <w:b/>
          <w:i/>
        </w:rPr>
        <w:t>k</w:t>
      </w:r>
      <w:r>
        <w:rPr>
          <w:b/>
          <w:i/>
        </w:rPr>
        <w:t>’</w:t>
      </w:r>
      <w:r w:rsidRPr="000C3BAF">
        <w:t xml:space="preserve"> can result from a variety of letter or spelling sources: </w:t>
      </w:r>
      <w:r w:rsidRPr="00897911">
        <w:rPr>
          <w:b/>
          <w:i/>
        </w:rPr>
        <w:t>c</w:t>
      </w:r>
      <w:r w:rsidRPr="000C3BAF">
        <w:t xml:space="preserve">, </w:t>
      </w:r>
      <w:r w:rsidRPr="00897911">
        <w:rPr>
          <w:b/>
          <w:i/>
        </w:rPr>
        <w:t>k</w:t>
      </w:r>
      <w:r w:rsidRPr="000C3BAF">
        <w:t xml:space="preserve">, </w:t>
      </w:r>
      <w:r w:rsidRPr="00897911">
        <w:rPr>
          <w:b/>
          <w:i/>
        </w:rPr>
        <w:t>ck</w:t>
      </w:r>
      <w:r w:rsidRPr="000C3BAF">
        <w:t xml:space="preserve">, or </w:t>
      </w:r>
      <w:r w:rsidRPr="00897911">
        <w:rPr>
          <w:b/>
          <w:i/>
        </w:rPr>
        <w:t>ch</w:t>
      </w:r>
      <w:r>
        <w:t xml:space="preserve"> (in English</w:t>
      </w:r>
      <w:r w:rsidRPr="000C3BAF">
        <w:t>). In reverse, being able to spot letters and letter co</w:t>
      </w:r>
      <w:r>
        <w:t xml:space="preserve">mbinations in new words being learned enables a reader </w:t>
      </w:r>
      <w:r w:rsidRPr="000C3BAF">
        <w:t>to decode the word into its component sounds and hence reconstruct the sound of the complete w</w:t>
      </w:r>
      <w:r>
        <w:t xml:space="preserve">ord. It follows therefore, that </w:t>
      </w:r>
      <w:r w:rsidRPr="000C3BAF">
        <w:t xml:space="preserve">disturbances </w:t>
      </w:r>
      <w:r>
        <w:t>which</w:t>
      </w:r>
      <w:r w:rsidRPr="000C3BAF">
        <w:t xml:space="preserve"> affect any or all of these letter-sound coding-decoding processes will impact on a child's ability to </w:t>
      </w:r>
      <w:r>
        <w:t>convert</w:t>
      </w:r>
      <w:r w:rsidRPr="000C3BAF">
        <w:t xml:space="preserve"> text into speech</w:t>
      </w:r>
      <w:r>
        <w:t xml:space="preserve"> whether out loud, in the learner’s mind</w:t>
      </w:r>
      <w:r w:rsidRPr="000C3BAF">
        <w:t>, or into writing. Essentially, this is the core of phoneme-grapheme-p</w:t>
      </w:r>
      <w:r>
        <w:t>honeme correspondence. I</w:t>
      </w:r>
      <w:r w:rsidRPr="000C3BAF">
        <w:t>nterference in this process is likely t</w:t>
      </w:r>
      <w:r>
        <w:t xml:space="preserve">o be evidenced where </w:t>
      </w:r>
      <w:r w:rsidRPr="000C3BAF">
        <w:t>children’s' reading, spellin</w:t>
      </w:r>
      <w:r>
        <w:t xml:space="preserve">g and writing skills </w:t>
      </w:r>
      <w:r w:rsidRPr="000C3BAF">
        <w:t>fail to develo</w:t>
      </w:r>
      <w:r>
        <w:t xml:space="preserve">p, principally in comparison with </w:t>
      </w:r>
      <w:r w:rsidRPr="000C3BAF">
        <w:t>their peers and to expected levels of progress when taking into account other significant factors such as the</w:t>
      </w:r>
      <w:r>
        <w:t xml:space="preserve">ir inherent academic ability, </w:t>
      </w:r>
      <w:r w:rsidRPr="000C3BAF">
        <w:t>socio-environmental or cultural factors. Hence a key advantage of considering dyslexia as principally identifiable through core ph</w:t>
      </w:r>
      <w:r>
        <w:t xml:space="preserve">onological deficits (Stanovich, </w:t>
      </w:r>
      <w:r w:rsidRPr="000C3BAF">
        <w:t xml:space="preserve">1986) is that it is relatable to what is commonly understood about the </w:t>
      </w:r>
      <w:r>
        <w:t>typical</w:t>
      </w:r>
      <w:r w:rsidRPr="000C3BAF">
        <w:t xml:space="preserve"> acquisition of reading skills (Snowling, 1998) and corresponding competencies</w:t>
      </w:r>
      <w:r>
        <w:t xml:space="preserve"> in spelling and writing. A</w:t>
      </w:r>
      <w:r w:rsidRPr="000C3BAF">
        <w:t>ssessing individuals' capabilities in these key literacy skills through properly</w:t>
      </w:r>
      <w:r w:rsidR="008D0258">
        <w:t xml:space="preserve"> </w:t>
      </w:r>
      <w:r w:rsidRPr="000C3BAF">
        <w:t>developed, well-established norm-referenced, procedures can be significant contributors to a dyslexia-identifying process</w:t>
      </w:r>
      <w:r>
        <w:t>,</w:t>
      </w:r>
      <w:r w:rsidRPr="000C3BAF">
        <w:t xml:space="preserve"> because the primary problem of reading-impairment in dyslexia is one of word recognition caused through weak phonological coding competencies (Stanovich, 1996).</w:t>
      </w:r>
    </w:p>
    <w:p w14:paraId="44D4F745" w14:textId="77777777" w:rsidR="007707AB" w:rsidRDefault="007707AB" w:rsidP="007707AB">
      <w:pPr>
        <w:rPr>
          <w:rStyle w:val="Heading4Char"/>
          <w:b/>
          <w:i/>
          <w:iCs/>
          <w:smallCaps w:val="0"/>
        </w:rPr>
      </w:pPr>
      <w:r w:rsidRPr="00AC0EDF">
        <w:lastRenderedPageBreak/>
        <w:t xml:space="preserve">However, understanding how phonological skills, reading writing and spelling, and dyslexia are interrelated is not in research stasis. Although it is fair to say that ideas continue </w:t>
      </w:r>
      <w:r>
        <w:t>to develop and evolve rather tha</w:t>
      </w:r>
      <w:r w:rsidRPr="00AC0EDF">
        <w:t>n emerge, such evolutions are incrementally advancing what is known about how reading and other literacy skills are acquired in the first place, and how these skills acquisitions might be adversely affected by disturbances that are inherent in some individuals</w:t>
      </w:r>
      <w:r>
        <w:t>, either attributable to dyslexia or to something else</w:t>
      </w:r>
      <w:r w:rsidRPr="00AC0EDF">
        <w:t>. As if this may not be challenging enough, it is compounded by rightly taking account of socio-environmental factors that have been shown to significantly impact on the development of literacy skills in early years</w:t>
      </w:r>
      <w:r>
        <w:t>, and finding out more about how these factors need to be accounted for in experimental design and research outcomes</w:t>
      </w:r>
      <w:r w:rsidRPr="00AC0EDF">
        <w:t>. For example, because pre-literate early learners' phonological skills develop out of auditory experiences, it follows that immersion in high-quality oral experiences at home and pre-school is likely to enrich and more readily enable these skills (Goswami, 2008)</w:t>
      </w:r>
      <w:r>
        <w:t>. C</w:t>
      </w:r>
      <w:r w:rsidRPr="00AC0EDF">
        <w:t>onversely, it is reasonable to suppose that social disadvantage or deprivation is at</w:t>
      </w:r>
      <w:r>
        <w:t xml:space="preserve"> the very least likely to delay</w:t>
      </w:r>
      <w:r w:rsidRPr="00AC0EDF">
        <w:t xml:space="preserve"> the typically expected development of phonological skills</w:t>
      </w:r>
      <w:r>
        <w:t>,</w:t>
      </w:r>
      <w:r w:rsidRPr="00AC0EDF">
        <w:t xml:space="preserve"> and hence competencies in literacy in early-y</w:t>
      </w:r>
      <w:r>
        <w:t>ears learners (Law et al., 2011). Amongst many, three</w:t>
      </w:r>
      <w:r w:rsidRPr="00AC0EDF">
        <w:t xml:space="preserve"> important factors can be distilled as pertinent to this thesis: firstly that </w:t>
      </w:r>
      <w:r>
        <w:t xml:space="preserve">there is evidence that </w:t>
      </w:r>
      <w:r w:rsidRPr="00AC0EDF">
        <w:t xml:space="preserve">some individuals are not dyslexic </w:t>
      </w:r>
      <w:r w:rsidRPr="00640D98">
        <w:rPr>
          <w:b/>
          <w:i/>
        </w:rPr>
        <w:t>enough</w:t>
      </w:r>
      <w:r w:rsidRPr="00AC0EDF">
        <w:t xml:space="preserve"> for early-learning phonological deficits to have had a lasting impact on their literacy skills</w:t>
      </w:r>
      <w:r>
        <w:t>,</w:t>
      </w:r>
      <w:r w:rsidRPr="00AC0EDF">
        <w:t xml:space="preserve"> and that it may be other characteristics of their dyslexia which emerge as debilitating in later learning (</w:t>
      </w:r>
      <w:r>
        <w:t>Ramus &amp; Szenkovits, 2008). S</w:t>
      </w:r>
      <w:r w:rsidRPr="00AC0EDF">
        <w:t>econdl</w:t>
      </w:r>
      <w:r>
        <w:t xml:space="preserve">y, </w:t>
      </w:r>
      <w:r w:rsidRPr="00AC0EDF">
        <w:t xml:space="preserve">some adults with dyslexia who had significant phonological deficits as children appear to have </w:t>
      </w:r>
      <w:r>
        <w:t>‘</w:t>
      </w:r>
      <w:r w:rsidRPr="00AC0EDF">
        <w:t>recovered</w:t>
      </w:r>
      <w:r>
        <w:t>’</w:t>
      </w:r>
      <w:r w:rsidRPr="00AC0EDF">
        <w:t xml:space="preserve"> when these skills are re-assessed in adulthood </w:t>
      </w:r>
      <w:r w:rsidRPr="00D7484A">
        <w:t>(Goswami, 2003) either through the development of strategic compensations</w:t>
      </w:r>
      <w:r>
        <w:t>,</w:t>
      </w:r>
      <w:r w:rsidRPr="00D7484A">
        <w:t xml:space="preserve"> or that their dyslexia has </w:t>
      </w:r>
      <w:r>
        <w:t>apparently ‘</w:t>
      </w:r>
      <w:r w:rsidRPr="00D7484A">
        <w:t>gone away</w:t>
      </w:r>
      <w:r>
        <w:t>’</w:t>
      </w:r>
      <w:r w:rsidRPr="00D7484A">
        <w:t xml:space="preserve">, which, on the basis of dyslexia being understood as a neurobiological condition or even as a neurodiverse </w:t>
      </w:r>
      <w:r>
        <w:t xml:space="preserve">situation, seems unlikely. Lastly, </w:t>
      </w:r>
      <w:r w:rsidRPr="00D7484A">
        <w:t xml:space="preserve">renewed interest in viewing dyslexia as a multidimensional condition (discussed </w:t>
      </w:r>
      <w:r>
        <w:t>below</w:t>
      </w:r>
      <w:r w:rsidRPr="00D7484A">
        <w:t>) as a way to explain the diversity of behavioural symptoms and also to bind together some of the more significant theories</w:t>
      </w:r>
      <w:r>
        <w:t>,</w:t>
      </w:r>
      <w:r w:rsidRPr="00D7484A">
        <w:t xml:space="preserve"> is particularly enabling progress to be made in understanding how dyslexia impacts on adults</w:t>
      </w:r>
      <w:r>
        <w:t>’</w:t>
      </w:r>
      <w:r w:rsidRPr="00D7484A">
        <w:t xml:space="preserve"> engage</w:t>
      </w:r>
      <w:r>
        <w:t>ment</w:t>
      </w:r>
      <w:r w:rsidRPr="00D7484A">
        <w:t xml:space="preserve"> with learni</w:t>
      </w:r>
      <w:r>
        <w:t>ng in HE contexts.</w:t>
      </w:r>
    </w:p>
    <w:p w14:paraId="391EE204" w14:textId="77777777" w:rsidR="007707AB" w:rsidRPr="00E2724C" w:rsidRDefault="007707AB" w:rsidP="007707AB">
      <w:pPr>
        <w:rPr>
          <w:iCs/>
        </w:rPr>
      </w:pPr>
      <w:r w:rsidRPr="00E2724C">
        <w:rPr>
          <w:rStyle w:val="Heading4Char"/>
          <w:iCs/>
        </w:rPr>
        <w:t>2. Dyslexia is attributable to visual disturbances</w:t>
      </w:r>
      <w:r w:rsidRPr="00E2724C">
        <w:rPr>
          <w:iCs/>
        </w:rPr>
        <w:t xml:space="preserve"> </w:t>
      </w:r>
    </w:p>
    <w:p w14:paraId="70D18605" w14:textId="77777777" w:rsidR="007707AB" w:rsidRDefault="007707AB" w:rsidP="007707AB">
      <w:r>
        <w:t xml:space="preserve">Before the phonological processing theory of dyslexia emerged, dyslexia or </w:t>
      </w:r>
      <w:r w:rsidRPr="00444F74">
        <w:rPr>
          <w:i/>
        </w:rPr>
        <w:t>word-blindness</w:t>
      </w:r>
      <w:r>
        <w:t xml:space="preserve"> (Hinshelwood, 1896; Pringle Morgan, 1896) was thought to be primarily a visual processing defect which resulted from impairment of the visual system. This notion was later developed by Orton (1928) who coined the term ‘strephosymbolia’ to describe the tendency of some dyslexic readers to reverse letters (e.g. ‘b’ and ‘d’) and to  swap the order of letters within words (so ‘was’ might be read as ‘saw'). Later still, Stein (1991) linked instabilities in binocular vision - which may create issues in visual tracking both </w:t>
      </w:r>
      <w:r>
        <w:lastRenderedPageBreak/>
        <w:t xml:space="preserve">across lines of text and from line to line – with impaired reading development (see also Bellocchi et al., 2013). Whilst it might be supposed that such physiological disorders may appear unrelated to cognitive functioning from the phonological processing point of view of dyslexia, issues in following printed text accurately will make the reading and comprehension of it difficult, and hence may present similar symptoms of poor reading. Amongst others, Kirby and colleagues (2011) suggest that vision differences are likely to be the most significant underlying causes of dyslexia. This may, however, indicate a misunderstanding about how visual disturbances may be a factor in a dyslexic profile, and indeed, not necessarily a component in all dyslexic profiles. Stein and Walsh (1997) considered that a major issue in dyslexia is difficulty processing fast incoming sensory information effectively, whichever sensory domain it comes from. It is beyond the scope of this thesis to expound the details of the brain’s visual system other than to summarize that magno cells, or M-cells (located in the thalamus), are part of the visual cortex of the brain that </w:t>
      </w:r>
      <w:r w:rsidRPr="00613F21">
        <w:rPr>
          <w:lang w:val="en-US"/>
        </w:rPr>
        <w:t>detect</w:t>
      </w:r>
      <w:r>
        <w:rPr>
          <w:lang w:val="en-US"/>
        </w:rPr>
        <w:t>s</w:t>
      </w:r>
      <w:r w:rsidRPr="00613F21">
        <w:rPr>
          <w:lang w:val="en-US"/>
        </w:rPr>
        <w:t xml:space="preserve"> orientation, movement, direction and depth, and </w:t>
      </w:r>
      <w:r>
        <w:rPr>
          <w:lang w:val="en-US"/>
        </w:rPr>
        <w:t xml:space="preserve">which </w:t>
      </w:r>
      <w:r w:rsidRPr="00613F21">
        <w:rPr>
          <w:lang w:val="en-US"/>
        </w:rPr>
        <w:t>direct</w:t>
      </w:r>
      <w:r>
        <w:rPr>
          <w:lang w:val="en-US"/>
        </w:rPr>
        <w:t>s</w:t>
      </w:r>
      <w:r w:rsidRPr="00613F21">
        <w:rPr>
          <w:lang w:val="en-US"/>
        </w:rPr>
        <w:t xml:space="preserve"> eye movements to enable individuals to maintain steady fixation on a visual target</w:t>
      </w:r>
      <w:r>
        <w:t>. Research has shown that in some dyslexic readers’ brains, M-cells are significantly smaller and more disorganized than those in the brains of non-dyslexic readers (Livingstone et al., 1991, Galaburda &amp; Livingstone, 1993). It follows, therefore, that weak or abnormal development of this sub-structure of the brain will account for some reading challenges, especially in the early development of reading skills where clear perception of the orthography of a written language is key to comprehending the relationships between words and their sounds and meanings (Stein, 2001). T</w:t>
      </w:r>
      <w:r w:rsidRPr="005567D3">
        <w:t>he greater picture that relates dyslexia to visual disturbances through the magnocellular theory remains controversial</w:t>
      </w:r>
      <w:r>
        <w:t>,</w:t>
      </w:r>
      <w:r w:rsidRPr="005567D3">
        <w:t xml:space="preserve"> although research building on the earlier foundations of Stein continue to indicate that visuo-attentional processing issues may be at least one of the components of developmental dyslexia (Bellocchi </w:t>
      </w:r>
      <w:r>
        <w:t>et al.</w:t>
      </w:r>
      <w:r w:rsidRPr="005567D3">
        <w:t xml:space="preserve">, 2013). </w:t>
      </w:r>
      <w:r>
        <w:t>It is notable however,</w:t>
      </w:r>
      <w:r w:rsidRPr="005567D3">
        <w:t xml:space="preserve"> </w:t>
      </w:r>
      <w:r>
        <w:t xml:space="preserve">that </w:t>
      </w:r>
      <w:r w:rsidRPr="005567D3">
        <w:t>visual differences described as jumping letters, fizzing text and dancing lines</w:t>
      </w:r>
      <w:r>
        <w:t>,</w:t>
      </w:r>
      <w:r w:rsidRPr="005567D3">
        <w:t xml:space="preserve"> although common in many individuals with dyslexia, </w:t>
      </w:r>
      <w:r>
        <w:t>are</w:t>
      </w:r>
      <w:r w:rsidRPr="005567D3">
        <w:t xml:space="preserve"> equally absent in others (Shovman &amp; Ahissar, 2006)</w:t>
      </w:r>
      <w:r>
        <w:t>,</w:t>
      </w:r>
      <w:r w:rsidRPr="005567D3">
        <w:t xml:space="preserve"> with another study reporting that in assessments of visual target detection, dyslexic readers' performance showed no difference in comparison to </w:t>
      </w:r>
      <w:r>
        <w:t xml:space="preserve">that of </w:t>
      </w:r>
      <w:r w:rsidRPr="005567D3">
        <w:t>non-dyslexic readers (Hawelka &amp; Wimmer, 2007).</w:t>
      </w:r>
    </w:p>
    <w:p w14:paraId="310F7477" w14:textId="7D539B01" w:rsidR="007707AB" w:rsidRDefault="007707AB" w:rsidP="007707AB">
      <w:r w:rsidRPr="00CD28F4">
        <w:t>The issue may be further conflated because other less fundamental visual disturbances can also impair access to print. Of these, visual stress (ViS), scotopic sensitivity</w:t>
      </w:r>
      <w:r>
        <w:t>,</w:t>
      </w:r>
      <w:r w:rsidRPr="00CD28F4">
        <w:t xml:space="preserve"> or Meares-Irlen Syndrome (MIS) may be example</w:t>
      </w:r>
      <w:r>
        <w:t>s</w:t>
      </w:r>
      <w:r w:rsidRPr="00CD28F4">
        <w:t xml:space="preserve"> of distinct </w:t>
      </w:r>
      <w:r>
        <w:t xml:space="preserve">but possibly related </w:t>
      </w:r>
      <w:r w:rsidRPr="00CD28F4">
        <w:t>condition</w:t>
      </w:r>
      <w:r>
        <w:t>s</w:t>
      </w:r>
      <w:r w:rsidRPr="00CD28F4">
        <w:t xml:space="preserve"> that sometimes occur alongside dyslexia</w:t>
      </w:r>
      <w:r>
        <w:t xml:space="preserve"> rather than are </w:t>
      </w:r>
      <w:r w:rsidRPr="00CD28F4">
        <w:t>indicator</w:t>
      </w:r>
      <w:r>
        <w:t>s</w:t>
      </w:r>
      <w:r w:rsidRPr="00CD28F4">
        <w:t xml:space="preserve"> of</w:t>
      </w:r>
      <w:r>
        <w:t xml:space="preserve"> the syndrome. Typically presented as </w:t>
      </w:r>
      <w:r w:rsidRPr="00CD28F4">
        <w:t>heightened sensitivity to lighting glare or contrast differences</w:t>
      </w:r>
      <w:r>
        <w:t xml:space="preserve">, </w:t>
      </w:r>
      <w:r w:rsidRPr="00CD28F4">
        <w:t xml:space="preserve">other </w:t>
      </w:r>
      <w:r>
        <w:t xml:space="preserve">vision </w:t>
      </w:r>
      <w:r w:rsidRPr="00CD28F4">
        <w:t xml:space="preserve">issues can </w:t>
      </w:r>
      <w:r>
        <w:t xml:space="preserve">also </w:t>
      </w:r>
      <w:r w:rsidRPr="00CD28F4">
        <w:t>make reading challenging</w:t>
      </w:r>
      <w:r>
        <w:t xml:space="preserve">. These can </w:t>
      </w:r>
      <w:r w:rsidRPr="00CD28F4">
        <w:t>include restricted fields of vision</w:t>
      </w:r>
      <w:r>
        <w:t>,</w:t>
      </w:r>
      <w:r w:rsidRPr="00CD28F4">
        <w:t xml:space="preserve"> which make only small areas of text become properly in focus, or challenges in maintaining focus on text for a sufficient time to properly enable comprehension (Irlen &amp; </w:t>
      </w:r>
      <w:r w:rsidRPr="00CD28F4">
        <w:lastRenderedPageBreak/>
        <w:t>Lass, 1989). Visual stress has been shown to be more of a visual processing issue rather than an optical dysfunction which can occur widely rather than specifically amongst individuals with dyslexia (Wilkins, 1995)</w:t>
      </w:r>
      <w:r>
        <w:t>. C</w:t>
      </w:r>
      <w:r w:rsidRPr="00CD28F4">
        <w:t>laims that MIS may have higher levels of prevalence amongst individuals with dyslexia than in the general population (Singleton &amp; Trotter, 2005) are difficult to verify</w:t>
      </w:r>
      <w:r>
        <w:t>,</w:t>
      </w:r>
      <w:r w:rsidRPr="00CD28F4">
        <w:t xml:space="preserve"> not least because evidence more usually points towards </w:t>
      </w:r>
      <w:r>
        <w:t>dyslexia and MIS</w:t>
      </w:r>
      <w:r w:rsidRPr="00CD28F4">
        <w:t xml:space="preserve"> being comorbid conditions rather than causally related (Kruk </w:t>
      </w:r>
      <w:r>
        <w:t>et al.</w:t>
      </w:r>
      <w:r w:rsidRPr="00CD28F4">
        <w:t>, 2008)</w:t>
      </w:r>
      <w:r>
        <w:t>, although either way, this may suggest that a higher prevalence of these conditions might be expected amongst dyslexic readers</w:t>
      </w:r>
      <w:r w:rsidRPr="00CD28F4">
        <w:t>. Kriss</w:t>
      </w:r>
      <w:r>
        <w:t xml:space="preserve"> and Evans</w:t>
      </w:r>
      <w:r w:rsidRPr="00CD28F4">
        <w:t xml:space="preserve"> (2005) supported this comorbidity idea but found that there was only a slightly higher prevalence of MIS </w:t>
      </w:r>
      <w:r>
        <w:t xml:space="preserve">amongst </w:t>
      </w:r>
      <w:r w:rsidRPr="00CD28F4">
        <w:t>individuals with dyslexia in their study in comparison to their control</w:t>
      </w:r>
      <w:r>
        <w:t xml:space="preserve"> group</w:t>
      </w:r>
      <w:r w:rsidRPr="00CD28F4">
        <w:t xml:space="preserve">. Another recent study exploring dyslexia in a substantial sample of French schoolchildren (n=275) found that those who presented comorbid phonological and visual deficits did not show a more significant reading disability than those with phonological deficits alone (Saksida </w:t>
      </w:r>
      <w:r>
        <w:t>et</w:t>
      </w:r>
      <w:r w:rsidR="00AF3135">
        <w:t xml:space="preserve"> </w:t>
      </w:r>
      <w:r>
        <w:t>al.</w:t>
      </w:r>
      <w:r w:rsidRPr="00CD28F4">
        <w:t xml:space="preserve">, 2016). </w:t>
      </w:r>
      <w:r>
        <w:t>Nevertheless,</w:t>
      </w:r>
      <w:r w:rsidRPr="00CD28F4">
        <w:t xml:space="preserve"> assessments of visual stress have been frequently included in dyslexia screening tests in recent years (Nichols, </w:t>
      </w:r>
      <w:r>
        <w:t>et al.</w:t>
      </w:r>
      <w:r w:rsidRPr="00CD28F4">
        <w:t xml:space="preserve">, 2009) and their use is common in educational contexts to ameliorate vision differences, notably in universities (Henderson </w:t>
      </w:r>
      <w:r>
        <w:t>et al.</w:t>
      </w:r>
      <w:r w:rsidRPr="00CD28F4">
        <w:t xml:space="preserve">, 2014). Placing tinted colour overlays on to hard-copy text documents and use of assistive technologies that create a similar effect for electronic presentation of text to relieve some of the symptoms of visual stress have been long-standing recommendations in students' Disabled Students' Allowance Assessment of Needs, indicated by anecdotal evidence at least. </w:t>
      </w:r>
      <w:r>
        <w:t>However,</w:t>
      </w:r>
      <w:r w:rsidRPr="00CD28F4">
        <w:t xml:space="preserve"> evidence that this solution for remediating visual stress is more useful for those with dyslexia than for anyone else who experiences MIS or ViS is variable (e.g.: Henderson </w:t>
      </w:r>
      <w:r>
        <w:t>et al.</w:t>
      </w:r>
      <w:r w:rsidRPr="00CD28F4">
        <w:t>, 2013</w:t>
      </w:r>
      <w:r>
        <w:t>;</w:t>
      </w:r>
      <w:r w:rsidRPr="00CD28F4">
        <w:t xml:space="preserve"> Uccula </w:t>
      </w:r>
      <w:r>
        <w:t>et al.</w:t>
      </w:r>
      <w:r w:rsidRPr="00CD28F4">
        <w:t xml:space="preserve">, 2014). Ritche </w:t>
      </w:r>
      <w:r>
        <w:t>et al.</w:t>
      </w:r>
      <w:r w:rsidRPr="00CD28F4">
        <w:t xml:space="preserve"> (2011) found that coloured overlays had no significant or immediate effect on reading ability in poor readers although their sample was small. </w:t>
      </w:r>
      <w:r>
        <w:t>T</w:t>
      </w:r>
      <w:r w:rsidRPr="00CD28F4">
        <w:t>heir conclusions were endorsed</w:t>
      </w:r>
      <w:r>
        <w:t xml:space="preserve"> however,</w:t>
      </w:r>
      <w:r w:rsidRPr="00CD28F4">
        <w:t xml:space="preserve"> by a significant review of a substantial number of studies</w:t>
      </w:r>
      <w:r>
        <w:t>,</w:t>
      </w:r>
      <w:r w:rsidRPr="00CD28F4">
        <w:t xml:space="preserve"> which concluded that apparent improvements in reading fluency as a result of the use of coloured overlays may be more likely due to placebo, Hawthorne and novelty effects (Griffiths </w:t>
      </w:r>
      <w:r>
        <w:t>et</w:t>
      </w:r>
      <w:r w:rsidR="00AF3135">
        <w:t xml:space="preserve"> </w:t>
      </w:r>
      <w:r>
        <w:t>al.</w:t>
      </w:r>
      <w:r w:rsidRPr="00CD28F4">
        <w:t>, 2016). Even more significantly, one study found that use of overlays can actually be detrimental to reading fluency, particularly in ad</w:t>
      </w:r>
      <w:r>
        <w:t>ults (Denton &amp; Meindl, 2016). Thus</w:t>
      </w:r>
      <w:r w:rsidRPr="00CD28F4">
        <w:t xml:space="preserve"> although the relationship between dyslexia and visual stress remains unclear, there is evidence to indicate that there may be an interaction between the two conditions which can have an impact on the remediation of either (Singleton &amp; Trotter, 2005) and even though measurable improvements in reading fluency in individuals with dyslexia through use of coloured overlays or assistive technology applications that do the same may be difficult to attribute to anything other than the placebo effect, if students feel tha</w:t>
      </w:r>
      <w:r>
        <w:t xml:space="preserve">t they are gaining benefits, this alone builds </w:t>
      </w:r>
      <w:r w:rsidRPr="00CD28F4">
        <w:t>an argument to support their continued use.</w:t>
      </w:r>
    </w:p>
    <w:p w14:paraId="0B6E7CD6" w14:textId="77777777" w:rsidR="00E2724C" w:rsidRDefault="00E2724C" w:rsidP="007707AB"/>
    <w:p w14:paraId="38F3BC71" w14:textId="77777777" w:rsidR="007707AB" w:rsidRPr="00E2724C" w:rsidRDefault="007707AB" w:rsidP="007707AB">
      <w:pPr>
        <w:rPr>
          <w:iCs/>
        </w:rPr>
      </w:pPr>
      <w:r w:rsidRPr="00E2724C">
        <w:rPr>
          <w:rStyle w:val="Heading4Char"/>
          <w:iCs/>
        </w:rPr>
        <w:lastRenderedPageBreak/>
        <w:t>3. Dyslexia is a rapid auditory processing disturbance</w:t>
      </w:r>
      <w:r w:rsidRPr="00E2724C">
        <w:rPr>
          <w:iCs/>
        </w:rPr>
        <w:t xml:space="preserve"> </w:t>
      </w:r>
    </w:p>
    <w:p w14:paraId="665581BE" w14:textId="28B7E0CE" w:rsidR="00AF3135" w:rsidRDefault="007707AB" w:rsidP="007707AB">
      <w:r>
        <w:t xml:space="preserve">This theory takes the view </w:t>
      </w:r>
      <w:r w:rsidRPr="002B41CA">
        <w:t xml:space="preserve">that the specificity of the difficulties in phonological awareness and processes are secondary to more fundamental issues with auditory processing. Pasquini </w:t>
      </w:r>
      <w:r>
        <w:t>et al.</w:t>
      </w:r>
      <w:r w:rsidRPr="002B41CA">
        <w:t xml:space="preserve"> (2007) outlined several auditory impairments that had been suggested as contributing to phonological processing difficulties</w:t>
      </w:r>
      <w:r>
        <w:t>,</w:t>
      </w:r>
      <w:r w:rsidRPr="002B41CA">
        <w:t xml:space="preserve"> and that as a result, offer another dimension to explanations for reading difficulties. These were auditory impairments most specifically related to deficits in the perception of short or rapidly varying sounds</w:t>
      </w:r>
      <w:r>
        <w:t xml:space="preserve"> (c</w:t>
      </w:r>
      <w:r w:rsidR="00AF3135">
        <w:t>f</w:t>
      </w:r>
      <w:r>
        <w:t xml:space="preserve"> Stein and Walsh’s earlier work on the processing of fast incoming sensory information)</w:t>
      </w:r>
      <w:r w:rsidRPr="002B41CA">
        <w:t>. Early work examining auditory discrimination capabilities between reading-impaired and control children had found a strong correlation between errors in nonsense word reading (to assess phonics skills) and errors in responding to rapidly presented auditory information (Tallal, 1980)</w:t>
      </w:r>
      <w:r>
        <w:t xml:space="preserve">. This </w:t>
      </w:r>
      <w:r w:rsidRPr="002B41CA">
        <w:t>led to an hypothesis that some reading difficulties may be linked to low-level auditory perception disturbances, affecting the ability to learn to use phonics skills. Subsequent studies also found evidence amongst dyslexic children for poor auditory discrimination of certain sound contrasts in phonemes such as '~ba~' and '~pa~' (Adlard &amp; Hazan, 1998</w:t>
      </w:r>
      <w:r>
        <w:t>;</w:t>
      </w:r>
      <w:r w:rsidRPr="002B41CA">
        <w:t xml:space="preserve"> Serniclaes </w:t>
      </w:r>
      <w:r>
        <w:t>et al.</w:t>
      </w:r>
      <w:r w:rsidRPr="002B41CA">
        <w:t>, 2004</w:t>
      </w:r>
      <w:r>
        <w:t>; Goswami et al., 2011</w:t>
      </w:r>
      <w:r w:rsidRPr="002B41CA">
        <w:t xml:space="preserve">). </w:t>
      </w:r>
      <w:r>
        <w:t xml:space="preserve">In characterizing dyslexia by unexplained difficulty in reading, Temple and colleagues used functional MRI with a group of children (n=32, dyslexic and non-dyslexic) to firstly confirm earlier studies which had indicated neural differences during phonological processing between dyslexic and the non-dyslexic individuals (e.g.: Temple et al, 2001), and secondly to show that a remediation programme which focused on auditory processing and oral language training was able to ameliorate disrupted neural function in brain regions associated with phonological processing (Temple et al., 2003). </w:t>
      </w:r>
      <w:r w:rsidRPr="002B41CA">
        <w:t>But the relationship between auditory differences</w:t>
      </w:r>
      <w:r>
        <w:t xml:space="preserve"> - </w:t>
      </w:r>
      <w:r w:rsidRPr="002B41CA">
        <w:t>whether these be classified as impairments, deficits or dysfunctions</w:t>
      </w:r>
      <w:r>
        <w:t xml:space="preserve"> - </w:t>
      </w:r>
      <w:r w:rsidRPr="002B41CA">
        <w:t xml:space="preserve">and dyslexia remains a debated topic although it is reasonable to suppose that firstly, individuals who present with </w:t>
      </w:r>
      <w:r>
        <w:t>auditory processing</w:t>
      </w:r>
      <w:r w:rsidRPr="002B41CA">
        <w:t xml:space="preserve"> challenges are likely to see these impact on their phonological awareness; but secondly</w:t>
      </w:r>
      <w:r>
        <w:t>,</w:t>
      </w:r>
      <w:r w:rsidRPr="002B41CA">
        <w:t xml:space="preserve"> that care must be taken to understand the distinction between auditory impairments and auditory </w:t>
      </w:r>
      <w:r w:rsidRPr="004B2860">
        <w:rPr>
          <w:i/>
        </w:rPr>
        <w:t>processing</w:t>
      </w:r>
      <w:r w:rsidRPr="002B41CA">
        <w:t xml:space="preserve"> impairments</w:t>
      </w:r>
      <w:r>
        <w:t>,</w:t>
      </w:r>
      <w:r w:rsidRPr="002B41CA">
        <w:t xml:space="preserve"> where the first is concerned with the physical capabilities to hear sounds and the second is about how accurately acquired acoustic information is subsequently interpreted by the brain. </w:t>
      </w:r>
      <w:r>
        <w:t>A</w:t>
      </w:r>
      <w:r w:rsidRPr="002B41CA">
        <w:t>lthough both seem distinctly but equally likely to impact on the development of phonological skills and hence reading abilitie</w:t>
      </w:r>
      <w:r>
        <w:t>s (Witton &amp; Talcott, 2018),</w:t>
      </w:r>
      <w:r w:rsidRPr="002B41CA">
        <w:t xml:space="preserve"> is it beyond the scope of this study to consider these more deeply.</w:t>
      </w:r>
    </w:p>
    <w:p w14:paraId="4D76A507" w14:textId="77777777" w:rsidR="007707AB" w:rsidRPr="00E2724C" w:rsidRDefault="007707AB" w:rsidP="007707AB">
      <w:pPr>
        <w:rPr>
          <w:iCs/>
        </w:rPr>
      </w:pPr>
      <w:r w:rsidRPr="00E2724C">
        <w:rPr>
          <w:rStyle w:val="Heading4Char"/>
          <w:iCs/>
        </w:rPr>
        <w:t>4. Dyslexia results from a mildly dysfunctional cerebellum</w:t>
      </w:r>
      <w:r w:rsidRPr="00E2724C">
        <w:rPr>
          <w:iCs/>
        </w:rPr>
        <w:t xml:space="preserve"> </w:t>
      </w:r>
    </w:p>
    <w:p w14:paraId="5BA5CDCA" w14:textId="3C6C7C7E" w:rsidR="007707AB" w:rsidRPr="00104204" w:rsidRDefault="007707AB" w:rsidP="007707AB">
      <w:pPr>
        <w:rPr>
          <w:rStyle w:val="Heading4Char"/>
          <w:iCs/>
          <w:smallCaps w:val="0"/>
        </w:rPr>
      </w:pPr>
      <w:r>
        <w:t>E</w:t>
      </w:r>
      <w:r w:rsidRPr="008B4B17">
        <w:t>merg</w:t>
      </w:r>
      <w:r>
        <w:t>ing</w:t>
      </w:r>
      <w:r w:rsidRPr="008B4B17">
        <w:t xml:space="preserve"> from earlier research grounded in an automatization deficit theory where individuals with dyslexia were found to have reduced performance in comparison to </w:t>
      </w:r>
      <w:r w:rsidRPr="008B4B17">
        <w:lastRenderedPageBreak/>
        <w:t>controls on tasks where balance had to be maintained whilst undertakin</w:t>
      </w:r>
      <w:r>
        <w:t xml:space="preserve">g another task </w:t>
      </w:r>
      <w:r w:rsidRPr="008B4B17">
        <w:t>(Nicholson &amp; Fawcett, 1990),</w:t>
      </w:r>
      <w:r>
        <w:t xml:space="preserve"> the cerebellar deficit theory of dyslexia (CDT) </w:t>
      </w:r>
      <w:r w:rsidRPr="008B4B17">
        <w:t xml:space="preserve">was extended to include issues related to time estimation that were said to be reduced in dyslexic children (Nicholson </w:t>
      </w:r>
      <w:r>
        <w:t>et al.</w:t>
      </w:r>
      <w:r w:rsidRPr="008B4B17">
        <w:t xml:space="preserve">, 1995). </w:t>
      </w:r>
      <w:r>
        <w:t>T</w:t>
      </w:r>
      <w:r w:rsidRPr="008B4B17">
        <w:t xml:space="preserve">hese ideas were consolidated into an hypothesis for the cause of developmental dyslexia </w:t>
      </w:r>
      <w:r>
        <w:t xml:space="preserve">arguing </w:t>
      </w:r>
      <w:r w:rsidRPr="008B4B17">
        <w:t xml:space="preserve">that disorders of cerebellar </w:t>
      </w:r>
      <w:r>
        <w:t>functioning</w:t>
      </w:r>
      <w:r w:rsidRPr="008B4B17">
        <w:t xml:space="preserve">, presenting as reading and writing difficulties, may be a factor in the explanation of dyslexic learning differences. (Nicholson </w:t>
      </w:r>
      <w:r>
        <w:t>et al.</w:t>
      </w:r>
      <w:r w:rsidRPr="008B4B17">
        <w:t xml:space="preserve">, 2001). This idea is interesting, not least because it attempts to relate the major behavioural symptoms of dyslexia in children at least, to issues with automaticity in linguistic capabilities which need to be refined to enable fluent reading - and associated comprehension - writing, and spelling. </w:t>
      </w:r>
      <w:r>
        <w:t>Figure 1</w:t>
      </w:r>
      <w:r w:rsidRPr="008B4B17">
        <w:t xml:space="preserve"> provides a</w:t>
      </w:r>
      <w:r>
        <w:t xml:space="preserve"> </w:t>
      </w:r>
      <w:r w:rsidRPr="008B4B17">
        <w:t xml:space="preserve">summary of the logic of the theory, </w:t>
      </w:r>
      <w:r>
        <w:t xml:space="preserve">showing how features of cerebellar impairment and functioning might explain typically presented characteristics of dyslexia. The theory also </w:t>
      </w:r>
      <w:r w:rsidRPr="008B4B17">
        <w:t>offer</w:t>
      </w:r>
      <w:r>
        <w:t>s</w:t>
      </w:r>
      <w:r w:rsidRPr="008B4B17">
        <w:t xml:space="preserve"> explanations in part at least</w:t>
      </w:r>
      <w:r>
        <w:t>,</w:t>
      </w:r>
      <w:r w:rsidRPr="008B4B17">
        <w:t xml:space="preserve"> for the higher</w:t>
      </w:r>
      <w:r>
        <w:t>-</w:t>
      </w:r>
      <w:r w:rsidRPr="008B4B17">
        <w:t>than</w:t>
      </w:r>
      <w:r>
        <w:t>-</w:t>
      </w:r>
      <w:r w:rsidRPr="008B4B17">
        <w:t>normal predisposition towards weaker motor control competencies sometimes observed in dyslexic children (Fawcett &amp; Nicholson, 1995)</w:t>
      </w:r>
      <w:r>
        <w:t>.</w:t>
      </w:r>
      <w:r w:rsidRPr="008B4B17">
        <w:t xml:space="preserve"> </w:t>
      </w:r>
      <w:r w:rsidRPr="00086907">
        <w:t xml:space="preserve">Whether this is evidenced by poor handwriting in children with dyslexia may be uncertain, where although one study </w:t>
      </w:r>
      <w:r>
        <w:t>demonstrated</w:t>
      </w:r>
      <w:r w:rsidRPr="00086907">
        <w:t xml:space="preserve"> </w:t>
      </w:r>
      <w:r>
        <w:t>reduced</w:t>
      </w:r>
      <w:r w:rsidRPr="00086907">
        <w:t xml:space="preserve"> handwriting competencies in dyslexic children (Mattlew, 1992)</w:t>
      </w:r>
      <w:r>
        <w:t xml:space="preserve"> further evidence is sparse.</w:t>
      </w:r>
      <w:r w:rsidRPr="00086907">
        <w:t xml:space="preserve"> </w:t>
      </w:r>
      <w:r>
        <w:t>A</w:t>
      </w:r>
      <w:r w:rsidRPr="00086907">
        <w:t>nother study identified that one reason why dyslexic children appear to be slower writers than their non-dyslexic peers could be attributed to them pausing more often during their writing processes</w:t>
      </w:r>
      <w:r>
        <w:t>,</w:t>
      </w:r>
      <w:r w:rsidRPr="00086907">
        <w:t xml:space="preserve"> which was found to be related to their spelling competencies (Sumner </w:t>
      </w:r>
      <w:r>
        <w:t>et al.</w:t>
      </w:r>
      <w:r w:rsidRPr="00086907">
        <w:t>, 2013). This is a link not established in Nicholson &amp; Fawcett's (2001) model. The CDT process chain does</w:t>
      </w:r>
      <w:r>
        <w:t>,</w:t>
      </w:r>
      <w:r w:rsidRPr="00086907">
        <w:t xml:space="preserve"> however, also provide an acknowledgement of the phonological awareness issues associated with dyslexia by inclu</w:t>
      </w:r>
      <w:r>
        <w:t xml:space="preserve">ding these into the theoretical </w:t>
      </w:r>
      <w:r w:rsidRPr="00086907">
        <w:t>representation through what is termed the 'word recognition module' as a precursor to reading and spelling. Critics of the theory have had difficulty in reproducing the earlier evidence of compromised automaticity in the dual-task balancing experiment with children with dyslexia</w:t>
      </w:r>
      <w:r>
        <w:t>,</w:t>
      </w:r>
      <w:r w:rsidRPr="00086907">
        <w:t xml:space="preserve"> where results suggested a confounding factor between dyslexia and ADHD and that this may have unknowingly compromised </w:t>
      </w:r>
      <w:r w:rsidRPr="00086907">
        <w:lastRenderedPageBreak/>
        <w:t xml:space="preserve">earlier findings (Wimmer </w:t>
      </w:r>
      <w:r>
        <w:t>et al.</w:t>
      </w:r>
      <w:r w:rsidRPr="00086907">
        <w:t xml:space="preserve">, 1999). </w:t>
      </w:r>
      <w:r>
        <w:rPr>
          <w:noProof/>
          <w:lang w:eastAsia="en-GB"/>
        </w:rPr>
        <mc:AlternateContent>
          <mc:Choice Requires="wps">
            <w:drawing>
              <wp:anchor distT="0" distB="0" distL="114300" distR="114300" simplePos="0" relativeHeight="251693056" behindDoc="0" locked="0" layoutInCell="1" allowOverlap="1" wp14:anchorId="1195F945" wp14:editId="6C135B4C">
                <wp:simplePos x="0" y="0"/>
                <wp:positionH relativeFrom="column">
                  <wp:posOffset>189230</wp:posOffset>
                </wp:positionH>
                <wp:positionV relativeFrom="paragraph">
                  <wp:posOffset>3141980</wp:posOffset>
                </wp:positionV>
                <wp:extent cx="4979035" cy="569595"/>
                <wp:effectExtent l="0" t="0" r="0" b="0"/>
                <wp:wrapTopAndBottom/>
                <wp:docPr id="248" name="Text Box 248"/>
                <wp:cNvGraphicFramePr/>
                <a:graphic xmlns:a="http://schemas.openxmlformats.org/drawingml/2006/main">
                  <a:graphicData uri="http://schemas.microsoft.com/office/word/2010/wordprocessingShape">
                    <wps:wsp>
                      <wps:cNvSpPr txBox="1"/>
                      <wps:spPr>
                        <a:xfrm>
                          <a:off x="0" y="0"/>
                          <a:ext cx="4979035" cy="569595"/>
                        </a:xfrm>
                        <a:prstGeom prst="rect">
                          <a:avLst/>
                        </a:prstGeom>
                        <a:solidFill>
                          <a:prstClr val="white"/>
                        </a:solidFill>
                        <a:ln>
                          <a:noFill/>
                        </a:ln>
                      </wps:spPr>
                      <wps:txbx>
                        <w:txbxContent>
                          <w:p w14:paraId="0A2E7C0A" w14:textId="16C28667" w:rsidR="00533FBF" w:rsidRPr="003B5313" w:rsidRDefault="00533FBF" w:rsidP="007707AB">
                            <w:pPr>
                              <w:pStyle w:val="Subtitle"/>
                              <w:rPr>
                                <w:rFonts w:ascii="Muli" w:hAnsi="Muli"/>
                                <w:sz w:val="20"/>
                              </w:rPr>
                            </w:pPr>
                            <w:bookmarkStart w:id="45" w:name="_Toc9796115"/>
                            <w:bookmarkStart w:id="46" w:name="_Toc9796195"/>
                            <w:bookmarkStart w:id="47" w:name="_Toc56495220"/>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w:t>
                            </w:r>
                            <w:r>
                              <w:tab/>
                              <w:t>Process chain indicating components of the cerebellar deficit theory of dyslexia (adapted from Nicholson et al., 2001, p510).</w:t>
                            </w:r>
                            <w:bookmarkEnd w:id="45"/>
                            <w:bookmarkEnd w:id="46"/>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195F945" id="_x0000_t202" coordsize="21600,21600" o:spt="202" path="m,l,21600r21600,l21600,xe">
                <v:stroke joinstyle="miter"/>
                <v:path gradientshapeok="t" o:connecttype="rect"/>
              </v:shapetype>
              <v:shape id="Text Box 248" o:spid="_x0000_s1026" type="#_x0000_t202" style="position:absolute;margin-left:14.9pt;margin-top:247.4pt;width:392.05pt;height:44.8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" stroked="f">
                <v:textbox style="mso-fit-shape-to-text:t" inset="0,0,0,0">
                  <w:txbxContent>
                    <w:p w14:paraId="0A2E7C0A" w14:textId="16C28667" w:rsidR="00533FBF" w:rsidRPr="003B5313" w:rsidRDefault="00533FBF" w:rsidP="007707AB">
                      <w:pPr>
                        <w:pStyle w:val="Subtitle"/>
                        <w:rPr>
                          <w:rFonts w:ascii="Muli" w:hAnsi="Muli"/>
                          <w:sz w:val="20"/>
                        </w:rPr>
                      </w:pPr>
                      <w:bookmarkStart w:id="48" w:name="_Toc9796115"/>
                      <w:bookmarkStart w:id="49" w:name="_Toc9796195"/>
                      <w:bookmarkStart w:id="50" w:name="_Toc56495220"/>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w:t>
                      </w:r>
                      <w:r>
                        <w:tab/>
                        <w:t>Process chain indicating components of the cerebellar deficit theory of dyslexia (adapted from Nicholson et al., 2001, p510).</w:t>
                      </w:r>
                      <w:bookmarkEnd w:id="48"/>
                      <w:bookmarkEnd w:id="49"/>
                      <w:bookmarkEnd w:id="50"/>
                    </w:p>
                  </w:txbxContent>
                </v:textbox>
                <w10:wrap type="topAndBottom"/>
              </v:shape>
            </w:pict>
          </mc:Fallback>
        </mc:AlternateContent>
      </w:r>
      <w:r>
        <w:rPr>
          <w:noProof/>
          <w:lang w:eastAsia="en-GB"/>
        </w:rPr>
        <w:drawing>
          <wp:anchor distT="0" distB="0" distL="114300" distR="114300" simplePos="0" relativeHeight="251692032" behindDoc="0" locked="0" layoutInCell="1" allowOverlap="1" wp14:anchorId="2E4C7541" wp14:editId="3DA2525E">
            <wp:simplePos x="0" y="0"/>
            <wp:positionH relativeFrom="column">
              <wp:posOffset>189230</wp:posOffset>
            </wp:positionH>
            <wp:positionV relativeFrom="paragraph">
              <wp:posOffset>40005</wp:posOffset>
            </wp:positionV>
            <wp:extent cx="4979035" cy="3044825"/>
            <wp:effectExtent l="0" t="0" r="0" b="3175"/>
            <wp:wrapTopAndBottom/>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979035" cy="3044825"/>
                    </a:xfrm>
                    <a:prstGeom prst="rect">
                      <a:avLst/>
                    </a:prstGeom>
                  </pic:spPr>
                </pic:pic>
              </a:graphicData>
            </a:graphic>
            <wp14:sizeRelH relativeFrom="margin">
              <wp14:pctWidth>0</wp14:pctWidth>
            </wp14:sizeRelH>
            <wp14:sizeRelV relativeFrom="margin">
              <wp14:pctHeight>0</wp14:pctHeight>
            </wp14:sizeRelV>
          </wp:anchor>
        </w:drawing>
      </w:r>
      <w:r w:rsidRPr="00086907">
        <w:t xml:space="preserve">Further, Ramus </w:t>
      </w:r>
      <w:r>
        <w:t>et al.</w:t>
      </w:r>
      <w:r w:rsidRPr="00086907">
        <w:t xml:space="preserve"> (2003) were only able to provide partial support for the cerebellar deficit theory</w:t>
      </w:r>
      <w:r>
        <w:t>,</w:t>
      </w:r>
      <w:r w:rsidRPr="00086907">
        <w:t xml:space="preserve"> finding that only half of the dyslexic children in their study presented any significant motor control challenges and that no evidence was found which linked motor skills</w:t>
      </w:r>
      <w:r>
        <w:t xml:space="preserve"> to</w:t>
      </w:r>
      <w:r w:rsidRPr="00086907">
        <w:t xml:space="preserve"> phonological and reading skills. However, their study did concede that those with dyslexia</w:t>
      </w:r>
      <w:r>
        <w:t>,</w:t>
      </w:r>
      <w:r w:rsidRPr="00086907">
        <w:t xml:space="preserve"> as well as those with other developmental disorders </w:t>
      </w:r>
      <w:r>
        <w:t xml:space="preserve">(including </w:t>
      </w:r>
      <w:r w:rsidRPr="00086907">
        <w:t>ADHD</w:t>
      </w:r>
      <w:r>
        <w:t>)</w:t>
      </w:r>
      <w:r w:rsidRPr="00086907">
        <w:t>, may evidence greater challenges in activities that require finer motor control skills than may be witnessed in children who are not affected by such disorders.</w:t>
      </w:r>
    </w:p>
    <w:p w14:paraId="02D4ACD5" w14:textId="77777777" w:rsidR="007707AB" w:rsidRPr="00E2724C" w:rsidRDefault="007707AB" w:rsidP="00AF3135">
      <w:pPr>
        <w:pStyle w:val="Heading4"/>
        <w:rPr>
          <w:sz w:val="20"/>
        </w:rPr>
      </w:pPr>
      <w:r w:rsidRPr="00E2724C">
        <w:rPr>
          <w:sz w:val="20"/>
        </w:rPr>
        <w:t xml:space="preserve">5. Dyslexia is a manifestation of natural human diversity: </w:t>
      </w:r>
    </w:p>
    <w:p w14:paraId="33F710D1" w14:textId="77777777" w:rsidR="007707AB" w:rsidRDefault="007707AB" w:rsidP="007707AB">
      <w:r w:rsidRPr="00BB0C08">
        <w:t>An alternative viewpoint about the nature of dyslexia constructs the syndr</w:t>
      </w:r>
      <w:r>
        <w:t>ome in the context of 'neuro</w:t>
      </w:r>
      <w:r w:rsidRPr="00BB0C08">
        <w:t>diversity'. The BRAIN.HE project (2005), now being revised but with many web resources still active and available, hailed learning differences as a natural consequence of human diversity</w:t>
      </w:r>
      <w:r>
        <w:t xml:space="preserve">, and suggested </w:t>
      </w:r>
      <w:r w:rsidRPr="00BB0C08">
        <w:t>that dyslexia is amongst so-called 'conditions' on a spectrum of neuro-diversity which includes</w:t>
      </w:r>
      <w:r>
        <w:t xml:space="preserve"> </w:t>
      </w:r>
      <w:r w:rsidRPr="00BB0C08">
        <w:t>ADHD and Asp</w:t>
      </w:r>
      <w:r>
        <w:t>erger's Syndrome (Pollak, 2009). T</w:t>
      </w:r>
      <w:r w:rsidRPr="00BB0C08">
        <w:t>his view supports the argument that individuals with atypical brain 'wiring' are merely at a different place on this spectrum in relation to those others who are more 'neurotypical'. The</w:t>
      </w:r>
      <w:r>
        <w:t xml:space="preserve"> greater point here is well</w:t>
      </w:r>
      <w:r w:rsidRPr="00BB0C08">
        <w:t xml:space="preserve"> put by Cooper (2006), drawing on the social-interactive model of Herrington &amp; Hunter-Car</w:t>
      </w:r>
      <w:r>
        <w:t>sch (2001), with</w:t>
      </w:r>
      <w:r w:rsidRPr="00BB0C08">
        <w:t xml:space="preserve"> the idea that we are all neurodiverse and that it remains society's intolerance to differences that conceptualizes 'neurotypical' as in the majority. This may be particularly apparent in learning contexts where delivering the curriculum through a largely inflexible literacy-based system discriminates against particular presentations of neurodiv</w:t>
      </w:r>
      <w:r>
        <w:t xml:space="preserve">ersity (e.g.: Cooper, </w:t>
      </w:r>
      <w:r>
        <w:lastRenderedPageBreak/>
        <w:t>2009). O</w:t>
      </w:r>
      <w:r w:rsidRPr="00BB0C08">
        <w:t>ne of the most significant features of the neurodiversity approach towards understanding dyslexia is a fundamental recognition of the syndrome's strengths in many areas of human functioning as well as acknowledging weaknesses in others. Armstrong (2015) argues that this means taking a more judicious approach to identifying and labelling cognitive or mental differences as disorders or disabilities</w:t>
      </w:r>
      <w:r>
        <w:t>,</w:t>
      </w:r>
      <w:r w:rsidRPr="00BB0C08">
        <w:t xml:space="preserve"> especially in the domain of education and learning</w:t>
      </w:r>
      <w:r>
        <w:t xml:space="preserve">. Further, that </w:t>
      </w:r>
      <w:r w:rsidRPr="00BB0C08">
        <w:t>curriculum provision should be adapted in ways that enable and empower the neurodiverse student to flourish rather than be identified as different from their peers</w:t>
      </w:r>
      <w:r>
        <w:t>,</w:t>
      </w:r>
      <w:r w:rsidRPr="00BB0C08">
        <w:t xml:space="preserve"> not least through removal from mainstream into differentiated learning situations (Armstrong, 2012). It is </w:t>
      </w:r>
      <w:r>
        <w:t xml:space="preserve">notable that </w:t>
      </w:r>
      <w:r w:rsidRPr="00BB0C08">
        <w:t xml:space="preserve">this construction of dyslexia </w:t>
      </w:r>
      <w:r>
        <w:t xml:space="preserve">resonates </w:t>
      </w:r>
      <w:r w:rsidRPr="00BB0C08">
        <w:t>with the concepts of Universal Design for Learning, outlined earlier</w:t>
      </w:r>
      <w:r>
        <w:t>, and below (sub-section 2.1(III))</w:t>
      </w:r>
      <w:r w:rsidRPr="00BB0C08">
        <w:t>.</w:t>
      </w:r>
    </w:p>
    <w:p w14:paraId="284CE690" w14:textId="77777777" w:rsidR="007707AB" w:rsidRPr="00E2724C" w:rsidRDefault="007707AB" w:rsidP="007707AB">
      <w:r w:rsidRPr="00E2724C">
        <w:rPr>
          <w:rStyle w:val="Heading4Char"/>
        </w:rPr>
        <w:t>6. Describing dyslexia using a multifactorial approach:</w:t>
      </w:r>
      <w:r w:rsidRPr="00E2724C">
        <w:t xml:space="preserve"> </w:t>
      </w:r>
    </w:p>
    <w:p w14:paraId="2935FB7B" w14:textId="505D1B68" w:rsidR="007707AB" w:rsidRDefault="007707AB" w:rsidP="007707AB">
      <w:r w:rsidRPr="00A544FC">
        <w:t xml:space="preserve">A significant body of recent work has attempted to understand dyslexia using a multifactorial approach, largely built on an early study (Castles &amp; </w:t>
      </w:r>
      <w:r>
        <w:t>Coltheart</w:t>
      </w:r>
      <w:r w:rsidRPr="00A544FC">
        <w:t>, 1993)</w:t>
      </w:r>
      <w:r>
        <w:t>. This</w:t>
      </w:r>
      <w:r w:rsidRPr="00A544FC">
        <w:t xml:space="preserve"> argued that attempts to understand the aetiology of dyslexia using a phonological deficit model, or alternatively</w:t>
      </w:r>
      <w:r>
        <w:t>,</w:t>
      </w:r>
      <w:r w:rsidRPr="00A544FC">
        <w:t xml:space="preserve"> where the observed symptoms were physiological and principally vision-related, were simplistic</w:t>
      </w:r>
      <w:r>
        <w:t xml:space="preserve">. Therefore, </w:t>
      </w:r>
      <w:r w:rsidRPr="00A544FC">
        <w:t>a</w:t>
      </w:r>
      <w:r>
        <w:t xml:space="preserve"> more comprehensive perspective, base</w:t>
      </w:r>
      <w:r w:rsidRPr="00A544FC">
        <w:t>d on the acceptance that dyslexia may be a </w:t>
      </w:r>
      <w:r w:rsidRPr="00A544FC">
        <w:rPr>
          <w:i/>
          <w:iCs/>
        </w:rPr>
        <w:t>variable</w:t>
      </w:r>
      <w:r w:rsidRPr="00A544FC">
        <w:t> rather than a </w:t>
      </w:r>
      <w:r w:rsidRPr="00A544FC">
        <w:rPr>
          <w:i/>
          <w:iCs/>
        </w:rPr>
        <w:t>determined</w:t>
      </w:r>
      <w:r w:rsidRPr="00A544FC">
        <w:t> learning circumstance</w:t>
      </w:r>
      <w:r>
        <w:t>,</w:t>
      </w:r>
      <w:r w:rsidRPr="00A544FC">
        <w:t xml:space="preserve"> may be a better model. Although this study focused on reading deficiencies in children and took no account of wider differences in learning approaches that are now known to be apparently associated with dyslexia in adult learners, the study was important because even within the scope of </w:t>
      </w:r>
      <w:r>
        <w:t xml:space="preserve">its </w:t>
      </w:r>
      <w:r w:rsidRPr="00A544FC">
        <w:t>focus</w:t>
      </w:r>
      <w:r>
        <w:t>,</w:t>
      </w:r>
      <w:r w:rsidRPr="00A544FC">
        <w:t xml:space="preserve"> it appeared to identify two distinct subtypes of reading difficulties with one accounted for by deficits in whole-word recognition whilst the other by deficits in gaining a good grasp of letter-to-sound rules (ibid). </w:t>
      </w:r>
      <w:r>
        <w:t xml:space="preserve">This is important because the </w:t>
      </w:r>
      <w:r w:rsidRPr="00A544FC">
        <w:t>conclusion was that individuals, (that is, children, it is assumed)</w:t>
      </w:r>
      <w:r>
        <w:t>,</w:t>
      </w:r>
      <w:r w:rsidRPr="00A544FC">
        <w:t xml:space="preserve"> who present developmental dyslexia do not form a homogeneous group</w:t>
      </w:r>
      <w:r>
        <w:t xml:space="preserve">. Therefore, it is reasonable to argue </w:t>
      </w:r>
      <w:r w:rsidRPr="00A544FC">
        <w:t>that different varieties of dyslexia are likely to exist, all distinctly characterised by a different blend of 'deficits' in comparison to the 'norm'</w:t>
      </w:r>
      <w:r>
        <w:t xml:space="preserve">. A later study, which </w:t>
      </w:r>
      <w:r w:rsidRPr="00A544FC">
        <w:t xml:space="preserve">did not appear to draw on this work by Castles </w:t>
      </w:r>
      <w:r>
        <w:t>and</w:t>
      </w:r>
      <w:r w:rsidRPr="00A544FC">
        <w:t xml:space="preserve"> </w:t>
      </w:r>
      <w:r>
        <w:t>Coltheart,</w:t>
      </w:r>
      <w:r w:rsidRPr="00A544FC">
        <w:t xml:space="preserve"> but where the outcome certainly adds value to their work, took a logical deductive approach to argue that dyslexia is a multifactorial condition</w:t>
      </w:r>
      <w:r>
        <w:t>,</w:t>
      </w:r>
      <w:r w:rsidRPr="00A544FC">
        <w:t xml:space="preserve"> where any number or combination of </w:t>
      </w:r>
      <w:r w:rsidRPr="00A544FC">
        <w:rPr>
          <w:i/>
          <w:iCs/>
        </w:rPr>
        <w:t>causes</w:t>
      </w:r>
      <w:r w:rsidRPr="00A544FC">
        <w:t> can lead to the same outcome</w:t>
      </w:r>
      <w:r>
        <w:t>. Therefore</w:t>
      </w:r>
      <w:r w:rsidR="008D0258">
        <w:t>,</w:t>
      </w:r>
      <w:r>
        <w:t xml:space="preserve"> it follows</w:t>
      </w:r>
      <w:r w:rsidRPr="00A544FC">
        <w:t xml:space="preserve"> that dyslexia should be best considered as a </w:t>
      </w:r>
      <w:r>
        <w:t>‘</w:t>
      </w:r>
      <w:r w:rsidRPr="00A544FC">
        <w:t>multiple deficit</w:t>
      </w:r>
      <w:r>
        <w:t>’</w:t>
      </w:r>
      <w:r w:rsidRPr="00A544FC">
        <w:t xml:space="preserve"> syndrome (Pennington, 2006). One study that </w:t>
      </w:r>
      <w:r w:rsidRPr="00A544FC">
        <w:rPr>
          <w:i/>
          <w:iCs/>
        </w:rPr>
        <w:t>was</w:t>
      </w:r>
      <w:r w:rsidRPr="00A544FC">
        <w:t xml:space="preserve"> considered in a brief review of prior research on dyslexia as a multiple deficit syndrome identified it as being characterised by </w:t>
      </w:r>
      <w:r w:rsidRPr="00690733">
        <w:t>a</w:t>
      </w:r>
      <w:r w:rsidRPr="00690733">
        <w:rPr>
          <w:iCs/>
        </w:rPr>
        <w:t> </w:t>
      </w:r>
      <w:r>
        <w:rPr>
          <w:iCs/>
        </w:rPr>
        <w:t>‘</w:t>
      </w:r>
      <w:r w:rsidRPr="00690733">
        <w:rPr>
          <w:iCs/>
        </w:rPr>
        <w:t>weighted profile</w:t>
      </w:r>
      <w:r>
        <w:rPr>
          <w:iCs/>
        </w:rPr>
        <w:t>’</w:t>
      </w:r>
      <w:r w:rsidRPr="00690733">
        <w:t> of deficits</w:t>
      </w:r>
      <w:r w:rsidRPr="00A544FC">
        <w:t xml:space="preserve"> (Vellutino </w:t>
      </w:r>
      <w:r>
        <w:t>et al.</w:t>
      </w:r>
      <w:r w:rsidRPr="00A544FC">
        <w:t>, 1991)</w:t>
      </w:r>
      <w:r>
        <w:t xml:space="preserve">. Weighted profile in this context is cognate to the concept of a weighted mean average in statistics. This </w:t>
      </w:r>
      <w:r w:rsidRPr="00A544FC">
        <w:t>is pertinent to</w:t>
      </w:r>
      <w:r>
        <w:t xml:space="preserve"> this current study</w:t>
      </w:r>
      <w:r w:rsidRPr="00A544FC">
        <w:t xml:space="preserve"> because </w:t>
      </w:r>
      <w:r>
        <w:t xml:space="preserve">the </w:t>
      </w:r>
      <w:r w:rsidRPr="00A544FC">
        <w:t xml:space="preserve">research </w:t>
      </w:r>
      <w:r w:rsidRPr="00A544FC">
        <w:lastRenderedPageBreak/>
        <w:t>design</w:t>
      </w:r>
      <w:r>
        <w:t xml:space="preserve"> (see S</w:t>
      </w:r>
      <w:r w:rsidRPr="00A544FC">
        <w:t>ection</w:t>
      </w:r>
      <w:r>
        <w:t xml:space="preserve"> 3)</w:t>
      </w:r>
      <w:r w:rsidRPr="00A544FC">
        <w:t xml:space="preserve"> also adopts the weighted profile approach to describing the blend of dimensions which constitute a learning and study behaviour profile of univ</w:t>
      </w:r>
      <w:r>
        <w:t xml:space="preserve">ersity students </w:t>
      </w:r>
      <w:r w:rsidRPr="00A544FC">
        <w:t>ascribed a level of </w:t>
      </w:r>
      <w:r w:rsidRPr="00690733">
        <w:rPr>
          <w:iCs/>
        </w:rPr>
        <w:t>dyslexia-ness</w:t>
      </w:r>
      <w:r w:rsidRPr="00A544FC">
        <w:t>.</w:t>
      </w:r>
    </w:p>
    <w:p w14:paraId="16FD5702" w14:textId="77777777" w:rsidR="007707AB" w:rsidRPr="00A544FC" w:rsidRDefault="007707AB" w:rsidP="007707AB">
      <w:r>
        <w:t>A later</w:t>
      </w:r>
      <w:r w:rsidRPr="00A544FC">
        <w:t xml:space="preserve"> study of dyslexia in French schoolchildren highlighted that it may be possible to identify dyslexia on the basis of several, apparently independent cognitive variables without assessing reading or spelling deficits (le Jan </w:t>
      </w:r>
      <w:r>
        <w:t>et al.</w:t>
      </w:r>
      <w:r w:rsidRPr="00A544FC">
        <w:t>, 2011)</w:t>
      </w:r>
      <w:r>
        <w:t>. This was shown to be achievable</w:t>
      </w:r>
      <w:r w:rsidRPr="00A544FC">
        <w:t xml:space="preserve"> by building a predictive, multivariate model of variables drawn from cognitive categories which included memory, visual-attention span, selective attention and auditory components. This is interesting because it detaches some of the basic literacy-skill dimensions from an identification process for dyslexia</w:t>
      </w:r>
      <w:r>
        <w:t>,</w:t>
      </w:r>
      <w:r w:rsidRPr="00A544FC">
        <w:t xml:space="preserve"> and concentrates instead on alternative attributes of the syndrome</w:t>
      </w:r>
      <w:r>
        <w:t>, not least drawing from some of the theories outlined above</w:t>
      </w:r>
      <w:r w:rsidRPr="00A544FC">
        <w:t xml:space="preserve">. This is arguably the most appropriate focus </w:t>
      </w:r>
      <w:r>
        <w:t xml:space="preserve">to adopt </w:t>
      </w:r>
      <w:r w:rsidRPr="00A544FC">
        <w:t xml:space="preserve">for </w:t>
      </w:r>
      <w:r>
        <w:t xml:space="preserve">understanding </w:t>
      </w:r>
      <w:r w:rsidRPr="00A544FC">
        <w:t xml:space="preserve">dyslexia in </w:t>
      </w:r>
      <w:r>
        <w:t>HE</w:t>
      </w:r>
      <w:r w:rsidRPr="00A544FC">
        <w:t xml:space="preserve"> where, in generally academically capable university students, </w:t>
      </w:r>
      <w:r>
        <w:t xml:space="preserve">anecdotal evidence at least, suggests that many </w:t>
      </w:r>
      <w:r w:rsidRPr="00A544FC">
        <w:t xml:space="preserve">early literacy issues </w:t>
      </w:r>
      <w:r>
        <w:t>can have been partially mitigated</w:t>
      </w:r>
      <w:r w:rsidRPr="00A544FC">
        <w:t>, either through individual strategic management of them</w:t>
      </w:r>
      <w:r>
        <w:t>,</w:t>
      </w:r>
      <w:r w:rsidRPr="00A544FC">
        <w:t xml:space="preserve"> or through use of assistive technologies. </w:t>
      </w:r>
      <w:r>
        <w:t>Furthermore</w:t>
      </w:r>
      <w:r w:rsidRPr="00A544FC">
        <w:t xml:space="preserve">, studies with Dutch university </w:t>
      </w:r>
      <w:r>
        <w:t xml:space="preserve">students ‘described’ </w:t>
      </w:r>
      <w:r w:rsidRPr="00A544FC">
        <w:t>dyslexia (as opposed to </w:t>
      </w:r>
      <w:r>
        <w:t>‘</w:t>
      </w:r>
      <w:r w:rsidRPr="00CE2608">
        <w:rPr>
          <w:iCs/>
        </w:rPr>
        <w:t>diagnosed</w:t>
      </w:r>
      <w:r>
        <w:rPr>
          <w:iCs/>
        </w:rPr>
        <w:t>’</w:t>
      </w:r>
      <w:r w:rsidRPr="00CE2608">
        <w:t> </w:t>
      </w:r>
      <w:r w:rsidRPr="00A544FC">
        <w:t>it) in adult learners at university using</w:t>
      </w:r>
      <w:r>
        <w:t xml:space="preserve"> five</w:t>
      </w:r>
      <w:r w:rsidRPr="00A544FC">
        <w:t xml:space="preserve"> </w:t>
      </w:r>
      <w:r>
        <w:t xml:space="preserve">factors </w:t>
      </w:r>
      <w:r w:rsidRPr="00A544FC">
        <w:t xml:space="preserve">determined through a principal component analysis of a wide range of dyslexia dimensions (Tamboer </w:t>
      </w:r>
      <w:r>
        <w:t>et al.,</w:t>
      </w:r>
      <w:r w:rsidRPr="00A544FC">
        <w:t xml:space="preserve"> 2016). This is pertinent because it shows how useful factor analysis can be as a mechanism for identifying </w:t>
      </w:r>
      <w:r w:rsidRPr="00CE2608">
        <w:rPr>
          <w:iCs/>
        </w:rPr>
        <w:t>families</w:t>
      </w:r>
      <w:r w:rsidRPr="00CE2608">
        <w:t xml:space="preserve"> of </w:t>
      </w:r>
      <w:r w:rsidRPr="00CE2608">
        <w:rPr>
          <w:iCs/>
        </w:rPr>
        <w:t>independent dimensions</w:t>
      </w:r>
      <w:r w:rsidRPr="00A544FC">
        <w:t> that together</w:t>
      </w:r>
      <w:r>
        <w:t>,</w:t>
      </w:r>
      <w:r w:rsidRPr="00A544FC">
        <w:t xml:space="preserve"> might be an effective identifier of dyslexia in certain circumstances</w:t>
      </w:r>
      <w:r>
        <w:t>. T</w:t>
      </w:r>
      <w:r w:rsidRPr="00A544FC">
        <w:t xml:space="preserve">he process had also previously been used to identify latent variables (i.e. factors) in a study exploring phonological and visual-attention differences in French and English children (Bosse </w:t>
      </w:r>
      <w:r>
        <w:t>et al.</w:t>
      </w:r>
      <w:r w:rsidRPr="00A544FC">
        <w:t>, 2007) and on differences in rapid automized naming tasks in Italian children (Di Filippo &amp; Zoccolotti, 2012)</w:t>
      </w:r>
      <w:r>
        <w:t xml:space="preserve">. But </w:t>
      </w:r>
      <w:r w:rsidRPr="00A544FC">
        <w:t>secondly</w:t>
      </w:r>
      <w:r>
        <w:t>, demonstrates</w:t>
      </w:r>
      <w:r w:rsidRPr="00A544FC">
        <w:t xml:space="preserve"> that in </w:t>
      </w:r>
      <w:r>
        <w:t>HE</w:t>
      </w:r>
      <w:r w:rsidRPr="00A544FC">
        <w:t xml:space="preserve"> contexts, self-report questionnaires can serve as reliable identifiers of dyslexia in university students (Tamboer </w:t>
      </w:r>
      <w:r>
        <w:t>et al.</w:t>
      </w:r>
      <w:r w:rsidRPr="00A544FC">
        <w:t xml:space="preserve">, 2014), </w:t>
      </w:r>
      <w:r>
        <w:t xml:space="preserve">This was </w:t>
      </w:r>
      <w:r w:rsidRPr="00A544FC">
        <w:t xml:space="preserve">a fact also suggested by Chanock </w:t>
      </w:r>
      <w:r>
        <w:t>et al.</w:t>
      </w:r>
      <w:r w:rsidRPr="00A544FC">
        <w:t xml:space="preserve"> (2010) in their appraisal of a standard battery of diagnostic </w:t>
      </w:r>
      <w:r>
        <w:t>test</w:t>
      </w:r>
      <w:r w:rsidRPr="00A544FC">
        <w:t>s for dyslexia which they had found to be lacking in both sensitivity (correctly detecting dyslexia in known dyslexic students) and specificity (detecting dyslexia correctly in non-identified students)</w:t>
      </w:r>
      <w:r>
        <w:t>,</w:t>
      </w:r>
      <w:r w:rsidRPr="00A544FC">
        <w:t xml:space="preserve"> where their own, self-report questionnaire performed better for both parameters. As will be described later</w:t>
      </w:r>
      <w:r>
        <w:t xml:space="preserve"> (Section 3)</w:t>
      </w:r>
      <w:r w:rsidRPr="00A544FC">
        <w:t>, both of these elements of research design - using a self-report questionnaire to gauge dyslexia</w:t>
      </w:r>
      <w:r>
        <w:t>,</w:t>
      </w:r>
      <w:r w:rsidRPr="00A544FC">
        <w:t xml:space="preserve"> and principal component analysis of dyslexia dimensions - are key to addressing the research hypotheses being examined in this </w:t>
      </w:r>
      <w:r>
        <w:t>current study</w:t>
      </w:r>
      <w:r w:rsidRPr="00A544FC">
        <w:t>.</w:t>
      </w:r>
    </w:p>
    <w:p w14:paraId="0FFF997B" w14:textId="540C7F56" w:rsidR="007707AB" w:rsidRPr="00CE2608" w:rsidRDefault="007707AB" w:rsidP="007707AB">
      <w:r w:rsidRPr="00A544FC">
        <w:t>Additional, interesting features also emerge</w:t>
      </w:r>
      <w:r>
        <w:t>d</w:t>
      </w:r>
      <w:r w:rsidRPr="00A544FC">
        <w:t xml:space="preserve"> from Tamboer</w:t>
      </w:r>
      <w:r>
        <w:t xml:space="preserve"> and colleag</w:t>
      </w:r>
      <w:r w:rsidR="00AF3135">
        <w:t>u</w:t>
      </w:r>
      <w:r>
        <w:t>e</w:t>
      </w:r>
      <w:r w:rsidRPr="00A544FC">
        <w:t>s</w:t>
      </w:r>
      <w:r>
        <w:t>’</w:t>
      </w:r>
      <w:r w:rsidRPr="00A544FC">
        <w:t xml:space="preserve"> (2016) study, not least their interpretation about how to measure the </w:t>
      </w:r>
      <w:r w:rsidRPr="00A544FC">
        <w:rPr>
          <w:i/>
          <w:iCs/>
        </w:rPr>
        <w:t>severity</w:t>
      </w:r>
      <w:r w:rsidRPr="00A544FC">
        <w:t> of dyslexia</w:t>
      </w:r>
      <w:r>
        <w:t>,</w:t>
      </w:r>
      <w:r w:rsidRPr="00A544FC">
        <w:t xml:space="preserve"> and why to do so might be meaningful. Dyslexia severity was determined through a logistical </w:t>
      </w:r>
      <w:r w:rsidRPr="00A544FC">
        <w:lastRenderedPageBreak/>
        <w:t>regression analysis that classified the students in their sample (n=446) without considering which factors of dyslexia were to be taken as more significant than others. In this way, it was possible to sub-divide their sample into three, distinct subgroups</w:t>
      </w:r>
      <w:r>
        <w:t xml:space="preserve">: </w:t>
      </w:r>
      <w:r w:rsidRPr="00A544FC">
        <w:t>students with dyslexia</w:t>
      </w:r>
      <w:r>
        <w:t>;</w:t>
      </w:r>
      <w:r w:rsidRPr="00A544FC">
        <w:t xml:space="preserve"> students with a very low likelihood of dyslexia</w:t>
      </w:r>
      <w:r>
        <w:t>;</w:t>
      </w:r>
      <w:r w:rsidRPr="00A544FC">
        <w:t xml:space="preserve"> and thirdly, students who brought with them no </w:t>
      </w:r>
      <w:r>
        <w:t>prior</w:t>
      </w:r>
      <w:r w:rsidRPr="00A544FC">
        <w:t xml:space="preserve"> diagnosis of dyslexia but who were presenting many of the characteristics of dyslexia typically associated with formally identified dyslexic university students. This also resonates with the research design </w:t>
      </w:r>
      <w:r>
        <w:t>in this current study where</w:t>
      </w:r>
      <w:r w:rsidRPr="00A544FC">
        <w:t xml:space="preserve"> 'severity of dyslexia' is </w:t>
      </w:r>
      <w:r>
        <w:t xml:space="preserve">interpreted </w:t>
      </w:r>
      <w:r w:rsidRPr="00A544FC">
        <w:t>as a 'level of </w:t>
      </w:r>
      <w:r w:rsidRPr="00D15728">
        <w:rPr>
          <w:iCs/>
        </w:rPr>
        <w:t>dyslexia</w:t>
      </w:r>
      <w:r w:rsidRPr="00A544FC">
        <w:rPr>
          <w:i/>
          <w:iCs/>
        </w:rPr>
        <w:t>-</w:t>
      </w:r>
      <w:r w:rsidRPr="00D15728">
        <w:rPr>
          <w:iCs/>
        </w:rPr>
        <w:t>ness</w:t>
      </w:r>
      <w:r w:rsidRPr="00D15728">
        <w:t>'</w:t>
      </w:r>
      <w:r w:rsidRPr="00A544FC">
        <w:t>, and</w:t>
      </w:r>
      <w:r>
        <w:t xml:space="preserve"> the design </w:t>
      </w:r>
      <w:r w:rsidRPr="00A544FC">
        <w:t xml:space="preserve">relies on establishing three subgroups </w:t>
      </w:r>
      <w:r>
        <w:t xml:space="preserve">of students, </w:t>
      </w:r>
      <w:r w:rsidRPr="00A544FC">
        <w:t xml:space="preserve">defined similarly: dyslexic students; non-dyslexic students; </w:t>
      </w:r>
      <w:r w:rsidRPr="00A05F7F">
        <w:rPr>
          <w:i/>
          <w:iCs/>
        </w:rPr>
        <w:t>quasi</w:t>
      </w:r>
      <w:r w:rsidRPr="00C2422F">
        <w:rPr>
          <w:iCs/>
        </w:rPr>
        <w:t>-dyslexic</w:t>
      </w:r>
      <w:r w:rsidRPr="00A544FC">
        <w:t xml:space="preserve"> students</w:t>
      </w:r>
      <w:r>
        <w:t xml:space="preserve"> – equivalent to the third subgroup in the Tamboer study</w:t>
      </w:r>
      <w:r w:rsidRPr="00A544FC">
        <w:t xml:space="preserve">. Finally, it is apposite to report the nature of the five factors established in Tamboer's studies due to the similarities between these, and as will be reported later </w:t>
      </w:r>
      <w:r>
        <w:t>(in Section 4)</w:t>
      </w:r>
      <w:r w:rsidRPr="00A544FC">
        <w:t xml:space="preserve">, the factor analysis applied to the data </w:t>
      </w:r>
      <w:r>
        <w:t>collected in this study which also</w:t>
      </w:r>
      <w:r w:rsidRPr="00A544FC">
        <w:t xml:space="preserve"> identified five factors of dyslexia that made sense in university-learning contexts. T</w:t>
      </w:r>
      <w:r>
        <w:t xml:space="preserve">amboer’s </w:t>
      </w:r>
      <w:r w:rsidRPr="00A544FC">
        <w:t>five factors were distinguished as</w:t>
      </w:r>
      <w:r>
        <w:t>:</w:t>
      </w:r>
      <w:r w:rsidRPr="00A544FC">
        <w:t> </w:t>
      </w:r>
      <w:r w:rsidRPr="00CE2608">
        <w:rPr>
          <w:iCs/>
        </w:rPr>
        <w:t>spelling</w:t>
      </w:r>
      <w:r w:rsidRPr="00CE2608">
        <w:t>; </w:t>
      </w:r>
      <w:r w:rsidRPr="00CE2608">
        <w:rPr>
          <w:iCs/>
        </w:rPr>
        <w:t>phonology</w:t>
      </w:r>
      <w:r w:rsidRPr="00CE2608">
        <w:t>; </w:t>
      </w:r>
      <w:r w:rsidRPr="00CE2608">
        <w:rPr>
          <w:iCs/>
        </w:rPr>
        <w:t>short-term memory</w:t>
      </w:r>
      <w:r w:rsidRPr="00CE2608">
        <w:t>; </w:t>
      </w:r>
      <w:r w:rsidRPr="00CE2608">
        <w:rPr>
          <w:iCs/>
        </w:rPr>
        <w:t>confusion</w:t>
      </w:r>
      <w:r w:rsidRPr="00CE2608">
        <w:t>; and </w:t>
      </w:r>
      <w:r w:rsidRPr="00CE2608">
        <w:rPr>
          <w:iCs/>
        </w:rPr>
        <w:t>complexity</w:t>
      </w:r>
      <w:r w:rsidRPr="00CE2608">
        <w:t>;</w:t>
      </w:r>
      <w:r w:rsidRPr="00A544FC">
        <w:t xml:space="preserve"> determined through a reduction of 17 dyslexia dimensions, whereas for the data collected in </w:t>
      </w:r>
      <w:r>
        <w:t xml:space="preserve">this study’s </w:t>
      </w:r>
      <w:r w:rsidRPr="00A544FC">
        <w:t>similar sample of university students (n=166)</w:t>
      </w:r>
      <w:r>
        <w:t>,</w:t>
      </w:r>
      <w:r w:rsidRPr="00A544FC">
        <w:t xml:space="preserve"> the factor analysis reduced 20 dimensions into five factors</w:t>
      </w:r>
      <w:r>
        <w:t xml:space="preserve"> </w:t>
      </w:r>
      <w:r w:rsidRPr="00A544FC">
        <w:t>designated as: </w:t>
      </w:r>
      <w:r w:rsidRPr="00CE2608">
        <w:rPr>
          <w:iCs/>
        </w:rPr>
        <w:t>reading, writing, spelling</w:t>
      </w:r>
      <w:r w:rsidRPr="00CE2608">
        <w:t>;</w:t>
      </w:r>
      <w:r w:rsidRPr="00CE2608">
        <w:rPr>
          <w:iCs/>
        </w:rPr>
        <w:t> verbalizing and scoping</w:t>
      </w:r>
      <w:r w:rsidRPr="00CE2608">
        <w:t>; </w:t>
      </w:r>
      <w:r w:rsidRPr="00CE2608">
        <w:rPr>
          <w:iCs/>
        </w:rPr>
        <w:t>working memory</w:t>
      </w:r>
      <w:r w:rsidRPr="00CE2608">
        <w:t>;</w:t>
      </w:r>
      <w:r w:rsidRPr="00CE2608">
        <w:rPr>
          <w:iCs/>
        </w:rPr>
        <w:t> organization and time-management</w:t>
      </w:r>
      <w:r w:rsidRPr="00CE2608">
        <w:t>; and </w:t>
      </w:r>
      <w:r w:rsidRPr="00CE2608">
        <w:rPr>
          <w:iCs/>
        </w:rPr>
        <w:t>thinking and processing</w:t>
      </w:r>
      <w:r w:rsidRPr="00CE2608">
        <w:t>.</w:t>
      </w:r>
    </w:p>
    <w:p w14:paraId="5BAFCE89" w14:textId="77777777" w:rsidR="007707AB" w:rsidRDefault="007707AB" w:rsidP="007707AB">
      <w:r w:rsidRPr="00A544FC">
        <w:t xml:space="preserve">Further work consolidated these Dutch studies into a dyslexia screening tool designed for use with university students or more widely with adult learners (Tamboer </w:t>
      </w:r>
      <w:r>
        <w:t xml:space="preserve">et al., 2017). The screener </w:t>
      </w:r>
      <w:r w:rsidRPr="00A544FC">
        <w:t>built on the power of factor analysis to generate components of dyslexia which appear to be stable and robust discriminators, and also strongly relied on the contribution of a self-report questionnaire to the final ou</w:t>
      </w:r>
      <w:r>
        <w:t xml:space="preserve">tcome of the screener, which was </w:t>
      </w:r>
      <w:r w:rsidRPr="00A544FC">
        <w:t xml:space="preserve">reported to have a high construct validity and a predictive validity that was even higher than that of the screening tool's </w:t>
      </w:r>
      <w:r>
        <w:t>test</w:t>
      </w:r>
      <w:r w:rsidRPr="00A544FC">
        <w:t>s (ibid).</w:t>
      </w:r>
      <w:r>
        <w:t xml:space="preserve"> </w:t>
      </w:r>
      <w:r w:rsidRPr="00D666DE">
        <w:t>Both of these findings augur</w:t>
      </w:r>
      <w:r>
        <w:t>ed</w:t>
      </w:r>
      <w:r w:rsidRPr="00D666DE">
        <w:t xml:space="preserve"> well for the research design for this current project.</w:t>
      </w:r>
      <w:r>
        <w:t xml:space="preserve"> Significant</w:t>
      </w:r>
      <w:r w:rsidRPr="00AE0016">
        <w:t xml:space="preserve"> </w:t>
      </w:r>
      <w:r>
        <w:t>due to</w:t>
      </w:r>
      <w:r w:rsidRPr="00AE0016">
        <w:t xml:space="preserve"> its similar focus</w:t>
      </w:r>
      <w:r>
        <w:t>,</w:t>
      </w:r>
      <w:r w:rsidRPr="00AE0016">
        <w:t xml:space="preserve"> and also arising out of work with Dutch university students</w:t>
      </w:r>
      <w:r>
        <w:t>,</w:t>
      </w:r>
      <w:r w:rsidRPr="00AE0016">
        <w:t xml:space="preserve"> are other studies which have searched for better screening </w:t>
      </w:r>
      <w:r>
        <w:t>test</w:t>
      </w:r>
      <w:r w:rsidRPr="00AE0016">
        <w:t xml:space="preserve">s for dyslexia in </w:t>
      </w:r>
      <w:r>
        <w:t>HE</w:t>
      </w:r>
      <w:r w:rsidRPr="00AE0016">
        <w:t xml:space="preserve"> contexts. Notable amongst these, Tops </w:t>
      </w:r>
      <w:r>
        <w:t>et al.</w:t>
      </w:r>
      <w:r w:rsidRPr="00AE0016">
        <w:t xml:space="preserve"> (2012) conducted a study which took the novel approach of pairing dyslexic and non-dyslexic students as the means to establish </w:t>
      </w:r>
      <w:r>
        <w:t>Test</w:t>
      </w:r>
      <w:r w:rsidRPr="00AE0016">
        <w:t xml:space="preserve"> and </w:t>
      </w:r>
      <w:r>
        <w:t>Control</w:t>
      </w:r>
      <w:r w:rsidRPr="00AE0016">
        <w:t xml:space="preserve"> group data and </w:t>
      </w:r>
      <w:r>
        <w:t xml:space="preserve">they </w:t>
      </w:r>
      <w:r w:rsidRPr="00AE0016">
        <w:t xml:space="preserve">administered a large number of verbal and non-verbal </w:t>
      </w:r>
      <w:r>
        <w:t>test</w:t>
      </w:r>
      <w:r w:rsidRPr="00AE0016">
        <w:t xml:space="preserve">s to establish comparisons across the student-pairs. The aim was to discover which </w:t>
      </w:r>
      <w:r>
        <w:t>test</w:t>
      </w:r>
      <w:r w:rsidRPr="00AE0016">
        <w:t>s were the most valuable to include in a dyslexia screener by having the most effective discriminative power. Where this is interestin</w:t>
      </w:r>
      <w:r>
        <w:t xml:space="preserve">g and pertinent to this current </w:t>
      </w:r>
      <w:r w:rsidRPr="00AE0016">
        <w:t>study is twofold: firstly, and contrary to the findings of Tamboer's studies reported above, Tops</w:t>
      </w:r>
      <w:r>
        <w:t xml:space="preserve"> and colleagues</w:t>
      </w:r>
      <w:r w:rsidRPr="00AE0016">
        <w:t xml:space="preserve"> arrived at just three sub-</w:t>
      </w:r>
      <w:r>
        <w:t>test</w:t>
      </w:r>
      <w:r w:rsidRPr="00AE0016">
        <w:t xml:space="preserve">s in their proposal for an effective screener which were all components of </w:t>
      </w:r>
      <w:r w:rsidRPr="00AE0016">
        <w:lastRenderedPageBreak/>
        <w:t>reading-writing skills</w:t>
      </w:r>
      <w:r>
        <w:t>:</w:t>
      </w:r>
      <w:r w:rsidRPr="00AE0016">
        <w:t xml:space="preserve"> word reading</w:t>
      </w:r>
      <w:r>
        <w:t>;</w:t>
      </w:r>
      <w:r w:rsidRPr="00AE0016">
        <w:t xml:space="preserve"> word spelling</w:t>
      </w:r>
      <w:r>
        <w:t>;</w:t>
      </w:r>
      <w:r w:rsidRPr="00AE0016">
        <w:t xml:space="preserve"> and phonological awareness</w:t>
      </w:r>
      <w:r>
        <w:t>. S</w:t>
      </w:r>
      <w:r w:rsidRPr="00AE0016">
        <w:t>econdly, the research analysis processes of th</w:t>
      </w:r>
      <w:r>
        <w:t xml:space="preserve">at </w:t>
      </w:r>
      <w:r w:rsidRPr="00AE0016">
        <w:t>study also add</w:t>
      </w:r>
      <w:r>
        <w:t>ed</w:t>
      </w:r>
      <w:r w:rsidRPr="00AE0016">
        <w:t xml:space="preserve"> substance to the research design of this current project</w:t>
      </w:r>
      <w:r>
        <w:t>,</w:t>
      </w:r>
      <w:r w:rsidRPr="00AE0016">
        <w:t xml:space="preserve"> notably because analysis was focused on a correlation matrix of effect sizes</w:t>
      </w:r>
      <w:r>
        <w:t>.</w:t>
      </w:r>
      <w:r w:rsidRPr="00AE0016">
        <w:t xml:space="preserve"> </w:t>
      </w:r>
      <w:r>
        <w:t>A s</w:t>
      </w:r>
      <w:r w:rsidRPr="00AE0016">
        <w:t>imilar</w:t>
      </w:r>
      <w:r>
        <w:t xml:space="preserve"> </w:t>
      </w:r>
      <w:r w:rsidRPr="00AE0016">
        <w:t xml:space="preserve">process has been </w:t>
      </w:r>
      <w:r>
        <w:t>adopted</w:t>
      </w:r>
      <w:r w:rsidRPr="00AE0016">
        <w:t xml:space="preserve"> in this current study</w:t>
      </w:r>
      <w:r>
        <w:t xml:space="preserve">, not least </w:t>
      </w:r>
      <w:r w:rsidRPr="00AE0016">
        <w:t>as a means to understand more clearly the significance of interrelationships between factors of dyslexia and factors of academic</w:t>
      </w:r>
      <w:r>
        <w:t xml:space="preserve"> confidence. Hence, the </w:t>
      </w:r>
      <w:r w:rsidRPr="00AE0016">
        <w:t xml:space="preserve">study </w:t>
      </w:r>
      <w:r>
        <w:t xml:space="preserve">by Tops et al. (op cit) </w:t>
      </w:r>
      <w:r w:rsidRPr="00AE0016">
        <w:t>sets a useful data-analysis precedent and although the sophistication of their statistical processes stretches beyond</w:t>
      </w:r>
      <w:r>
        <w:t xml:space="preserve"> this current study,</w:t>
      </w:r>
      <w:r w:rsidRPr="00AE0016">
        <w:t xml:space="preserve"> it nevertheless indicates that the approach</w:t>
      </w:r>
      <w:r>
        <w:t xml:space="preserve"> being adopted broadly follows a precedent</w:t>
      </w:r>
      <w:r w:rsidRPr="00AE0016">
        <w:t xml:space="preserve">. Finally it should be acknowledged that Tops </w:t>
      </w:r>
      <w:r>
        <w:t>et al.</w:t>
      </w:r>
      <w:r w:rsidRPr="00AE0016">
        <w:t xml:space="preserve"> </w:t>
      </w:r>
      <w:r>
        <w:t xml:space="preserve">emphasized </w:t>
      </w:r>
      <w:r w:rsidRPr="00AE0016">
        <w:t xml:space="preserve">that although the three </w:t>
      </w:r>
      <w:r>
        <w:t>test</w:t>
      </w:r>
      <w:r w:rsidRPr="00AE0016">
        <w:t xml:space="preserve">s their study </w:t>
      </w:r>
      <w:r>
        <w:t>proposed</w:t>
      </w:r>
      <w:r w:rsidRPr="00AE0016">
        <w:t xml:space="preserve"> as sufficient to provide the necessary discriminative power for identifying a possible dyslexia in a university student, th</w:t>
      </w:r>
      <w:r>
        <w:t xml:space="preserve">ey were </w:t>
      </w:r>
      <w:r w:rsidRPr="00AE0016">
        <w:t xml:space="preserve">not suggesting that these were the </w:t>
      </w:r>
      <w:r w:rsidRPr="002D4D07">
        <w:rPr>
          <w:i/>
        </w:rPr>
        <w:t>only</w:t>
      </w:r>
      <w:r w:rsidRPr="00AE0016">
        <w:t xml:space="preserve"> areas where significant differences between dyslexic and non-dyslexic students were apparent in </w:t>
      </w:r>
      <w:r>
        <w:t xml:space="preserve">HE. Nor was their study </w:t>
      </w:r>
      <w:r w:rsidRPr="00AE0016">
        <w:t>pointing to the causes of dyslexia, rather</w:t>
      </w:r>
      <w:r>
        <w:t>,</w:t>
      </w:r>
      <w:r w:rsidRPr="00AE0016">
        <w:t xml:space="preserve"> the focus was on the predictive capacity of the screener. </w:t>
      </w:r>
      <w:r>
        <w:t xml:space="preserve">The stance of the study tacitly questioned </w:t>
      </w:r>
      <w:r w:rsidRPr="00AE0016">
        <w:t>the relevance of a dyslexia-identifying process at university</w:t>
      </w:r>
      <w:r>
        <w:t>,</w:t>
      </w:r>
      <w:r w:rsidRPr="00AE0016">
        <w:t xml:space="preserve"> by leaving </w:t>
      </w:r>
      <w:r>
        <w:t>as ‘</w:t>
      </w:r>
      <w:r w:rsidRPr="00AE0016">
        <w:t>open</w:t>
      </w:r>
      <w:r>
        <w:t>’</w:t>
      </w:r>
      <w:r w:rsidRPr="00AE0016">
        <w:t xml:space="preserve"> the purposeful value of such a process, especially since a substantial proportion of students with dyslexia in their datapool had attributes and characteristics (i.e. deficits) which deviated significantly from the general pattern. </w:t>
      </w:r>
      <w:r>
        <w:t>T</w:t>
      </w:r>
      <w:r w:rsidRPr="00AE0016">
        <w:t xml:space="preserve">his </w:t>
      </w:r>
      <w:r>
        <w:t xml:space="preserve">is </w:t>
      </w:r>
      <w:r w:rsidRPr="00AE0016">
        <w:t xml:space="preserve">concurrent with the continuing challenges that prevail in establishing a concrete definition of what </w:t>
      </w:r>
      <w:r>
        <w:t xml:space="preserve">is meant </w:t>
      </w:r>
      <w:r w:rsidRPr="00AE0016">
        <w:t xml:space="preserve">by 'dyslexia', </w:t>
      </w:r>
      <w:r>
        <w:t>not least because this may be context dependent. I</w:t>
      </w:r>
      <w:r w:rsidRPr="00AE0016">
        <w:t xml:space="preserve">t also alludes to the idea that rather than </w:t>
      </w:r>
      <w:r>
        <w:t xml:space="preserve">persist with a </w:t>
      </w:r>
      <w:r w:rsidRPr="00AE0016">
        <w:t>focus on identifying individuals whose profiles are atypical</w:t>
      </w:r>
      <w:r>
        <w:t xml:space="preserve"> so that</w:t>
      </w:r>
      <w:r w:rsidRPr="00AE0016">
        <w:t xml:space="preserve"> compensatio</w:t>
      </w:r>
      <w:r>
        <w:t xml:space="preserve">ns might mediate their differences, </w:t>
      </w:r>
      <w:r w:rsidRPr="00AE0016">
        <w:t>adjust</w:t>
      </w:r>
      <w:r>
        <w:t>ing</w:t>
      </w:r>
      <w:r w:rsidRPr="00AE0016">
        <w:t xml:space="preserve"> their learning environment in ways which would enable them to be more readily accommodated</w:t>
      </w:r>
      <w:r>
        <w:t xml:space="preserve"> would be preferable.</w:t>
      </w:r>
    </w:p>
    <w:p w14:paraId="02934939" w14:textId="77777777" w:rsidR="007707AB" w:rsidRPr="00E2724C" w:rsidRDefault="007707AB" w:rsidP="007707AB">
      <w:r w:rsidRPr="00E2724C">
        <w:rPr>
          <w:rStyle w:val="Heading4Char"/>
        </w:rPr>
        <w:t>Binding theories of dyslexia together – Frith’s model:</w:t>
      </w:r>
      <w:r w:rsidRPr="00E2724C">
        <w:t xml:space="preserve"> </w:t>
      </w:r>
    </w:p>
    <w:p w14:paraId="7AC60F09" w14:textId="77777777" w:rsidR="009D4EF1" w:rsidRDefault="007707AB" w:rsidP="007707AB">
      <w:r>
        <w:t>B</w:t>
      </w:r>
      <w:r w:rsidRPr="00001523">
        <w:t>efore moving forward to a wider discussion about the impacts of dyslexia on individuals</w:t>
      </w:r>
      <w:r>
        <w:t>,</w:t>
      </w:r>
      <w:r w:rsidRPr="00001523">
        <w:t xml:space="preserve"> and particularly the ways in which the syndrome affects their capabilities to engage </w:t>
      </w:r>
      <w:r>
        <w:t xml:space="preserve">effectively </w:t>
      </w:r>
      <w:r w:rsidRPr="00001523">
        <w:t xml:space="preserve">with learning, it is useful to reflect </w:t>
      </w:r>
      <w:r>
        <w:t xml:space="preserve">briefly </w:t>
      </w:r>
      <w:r w:rsidRPr="00001523">
        <w:t xml:space="preserve">on </w:t>
      </w:r>
      <w:r>
        <w:t xml:space="preserve">Frith’s (1999) causal modelling framework which </w:t>
      </w:r>
      <w:r w:rsidRPr="00E36680">
        <w:t xml:space="preserve">endorsed earlier work </w:t>
      </w:r>
      <w:r>
        <w:t xml:space="preserve">arguing </w:t>
      </w:r>
      <w:r w:rsidRPr="00E36680">
        <w:t xml:space="preserve">that dyslexia </w:t>
      </w:r>
      <w:r>
        <w:t xml:space="preserve">should </w:t>
      </w:r>
      <w:r w:rsidRPr="00E36680">
        <w:t>be</w:t>
      </w:r>
      <w:r>
        <w:t xml:space="preserve"> </w:t>
      </w:r>
      <w:r w:rsidRPr="00E36680">
        <w:t>considered as a syndrome</w:t>
      </w:r>
      <w:r>
        <w:t xml:space="preserve">, </w:t>
      </w:r>
      <w:r w:rsidRPr="00E36680">
        <w:t>characterized by a wide diversity of symptoms, indicators, dysfunctions, differences and challenge</w:t>
      </w:r>
      <w:r>
        <w:t xml:space="preserve">s; these </w:t>
      </w:r>
      <w:r w:rsidRPr="00E36680">
        <w:t>are typically exposed when individuals both young and not-so-young engage in learning</w:t>
      </w:r>
      <w:r>
        <w:t xml:space="preserve"> activities</w:t>
      </w:r>
      <w:r w:rsidRPr="00E36680">
        <w:t xml:space="preserve">. </w:t>
      </w:r>
      <w:r>
        <w:t xml:space="preserve">Taking the standpoint </w:t>
      </w:r>
      <w:r w:rsidRPr="00E36680">
        <w:t>that dyslexia is a neurobiological condition, Frith suggest</w:t>
      </w:r>
      <w:r>
        <w:t>ed</w:t>
      </w:r>
      <w:r w:rsidRPr="00E36680">
        <w:t xml:space="preserve"> that this means blending together three broad churches of theoretical postulation</w:t>
      </w:r>
      <w:r>
        <w:t>:</w:t>
      </w:r>
      <w:r w:rsidRPr="00E36680">
        <w:t xml:space="preserve"> </w:t>
      </w:r>
      <w:r>
        <w:t>1. D</w:t>
      </w:r>
      <w:r w:rsidRPr="00E36680">
        <w:t>yslexia is a biological condition because it has a basis in the brain and that there are genetic, heritable factors which, to some extent, demarcate the dyslexic brain from the non-dyslexic one (</w:t>
      </w:r>
      <w:r>
        <w:t xml:space="preserve">also: </w:t>
      </w:r>
      <w:r w:rsidRPr="00E36680">
        <w:t>Pennington, 1990</w:t>
      </w:r>
      <w:r>
        <w:t>;</w:t>
      </w:r>
      <w:r w:rsidRPr="00E36680">
        <w:t xml:space="preserve"> Ohlson </w:t>
      </w:r>
      <w:r>
        <w:t>et al.</w:t>
      </w:r>
      <w:r w:rsidRPr="00E36680">
        <w:t>, 2014</w:t>
      </w:r>
      <w:r>
        <w:t>;</w:t>
      </w:r>
      <w:r w:rsidRPr="00E36680">
        <w:t xml:space="preserve"> Swagerman </w:t>
      </w:r>
      <w:r>
        <w:t>et al., 2017). 2. D</w:t>
      </w:r>
      <w:r w:rsidRPr="00E36680">
        <w:t xml:space="preserve">yslexia is representative of cognitive </w:t>
      </w:r>
      <w:r w:rsidRPr="00E36680">
        <w:lastRenderedPageBreak/>
        <w:t>differences which are frequently demonstrated by measurable anomalies in information-processing capabilities in comparison to standardized norms, for example in assessments of working memory (e.g.: Jeffries &amp; Evera</w:t>
      </w:r>
      <w:r>
        <w:t>tt</w:t>
      </w:r>
      <w:r w:rsidRPr="00E36680">
        <w:t xml:space="preserve">, 2004) </w:t>
      </w:r>
      <w:r>
        <w:t>however</w:t>
      </w:r>
      <w:r w:rsidRPr="00E36680">
        <w:t xml:space="preserve"> it has been shown that understanding the impact of dyslexia on working memory is complex</w:t>
      </w:r>
      <w:r>
        <w:t>,</w:t>
      </w:r>
      <w:r w:rsidRPr="00E36680">
        <w:t xml:space="preserve"> not least because it depends on which domains of memory capabilities are assessed (Pickering, 2012), or of phonological skills (e.g.: Rack, 2017) when compared with the range of competencies observa</w:t>
      </w:r>
      <w:r>
        <w:t>ble in the majority of people. 3. D</w:t>
      </w:r>
      <w:r w:rsidRPr="00E36680">
        <w:t xml:space="preserve">yslexia may be evidenced principally by </w:t>
      </w:r>
      <w:r>
        <w:t>early learning-</w:t>
      </w:r>
      <w:r w:rsidRPr="00E36680">
        <w:t>behaviour</w:t>
      </w:r>
      <w:r>
        <w:t xml:space="preserve"> </w:t>
      </w:r>
      <w:r w:rsidRPr="00E36680">
        <w:t>di</w:t>
      </w:r>
      <w:r>
        <w:t>fferences, not least delay</w:t>
      </w:r>
      <w:r w:rsidRPr="00E36680">
        <w:t xml:space="preserve"> in </w:t>
      </w:r>
      <w:r>
        <w:t xml:space="preserve">acquiring </w:t>
      </w:r>
      <w:r w:rsidRPr="00E36680">
        <w:t>early reading skills in comparison to peers</w:t>
      </w:r>
      <w:r>
        <w:t>,</w:t>
      </w:r>
      <w:r w:rsidRPr="00E36680">
        <w:t xml:space="preserve"> and by </w:t>
      </w:r>
      <w:r>
        <w:t xml:space="preserve">associated </w:t>
      </w:r>
      <w:r w:rsidRPr="00E36680">
        <w:t>weak spelling competencies</w:t>
      </w:r>
      <w:r>
        <w:t xml:space="preserve"> (e.g.: Stanovich, 1994).</w:t>
      </w:r>
    </w:p>
    <w:p w14:paraId="0EFCF753" w14:textId="64879488" w:rsidR="009D4EF1" w:rsidRDefault="007707AB" w:rsidP="007707AB">
      <w:r>
        <w:t>T</w:t>
      </w:r>
      <w:r w:rsidRPr="00E36680">
        <w:t>hese three levels of Frith's framework are suggested to be</w:t>
      </w:r>
      <w:r>
        <w:t>,</w:t>
      </w:r>
      <w:r w:rsidRPr="00E36680">
        <w:t xml:space="preserve"> if not bound together</w:t>
      </w:r>
      <w:r>
        <w:t xml:space="preserve"> by</w:t>
      </w:r>
      <w:r w:rsidRPr="00E36680">
        <w:t>, then at least linked by environmental factors</w:t>
      </w:r>
      <w:r>
        <w:t>,</w:t>
      </w:r>
      <w:r w:rsidRPr="00E36680">
        <w:t xml:space="preserve"> which can both contribute to and be influenced by each or all of the biological, cognitive and behavioural factors. For example, in supporting a university student to develop an effective strategy for </w:t>
      </w:r>
      <w:r>
        <w:t xml:space="preserve">becoming more systematic in searching </w:t>
      </w:r>
      <w:r w:rsidRPr="00E36680">
        <w:t>for information resource</w:t>
      </w:r>
      <w:r>
        <w:t>s</w:t>
      </w:r>
      <w:r w:rsidRPr="00E36680">
        <w:t>, although this may become a mechanism to facilitate greater methodical effectiveness</w:t>
      </w:r>
      <w:r>
        <w:t>,</w:t>
      </w:r>
      <w:r w:rsidRPr="00E36680">
        <w:t xml:space="preserve"> it </w:t>
      </w:r>
      <w:r>
        <w:t xml:space="preserve">may also </w:t>
      </w:r>
      <w:r w:rsidRPr="00E36680">
        <w:t xml:space="preserve">be a remediation of the </w:t>
      </w:r>
      <w:r w:rsidRPr="008D143B">
        <w:rPr>
          <w:i/>
        </w:rPr>
        <w:t>symptom</w:t>
      </w:r>
      <w:r w:rsidRPr="00E36680">
        <w:t xml:space="preserve"> of being muddled and disorganized rather than a 'cure' for the underlying difficulty</w:t>
      </w:r>
      <w:r>
        <w:t xml:space="preserve">, which </w:t>
      </w:r>
      <w:r w:rsidRPr="00E36680">
        <w:t xml:space="preserve">may have its roots in the student's dyslexia. </w:t>
      </w:r>
      <w:r>
        <w:t>Conversely</w:t>
      </w:r>
      <w:r w:rsidRPr="00E36680">
        <w:t xml:space="preserve">, </w:t>
      </w:r>
      <w:r>
        <w:t xml:space="preserve">an explanation for </w:t>
      </w:r>
      <w:r w:rsidRPr="00E36680">
        <w:t>a child who is a poor reader</w:t>
      </w:r>
      <w:r>
        <w:t xml:space="preserve"> might be attributed </w:t>
      </w:r>
      <w:r w:rsidRPr="00E36680">
        <w:t>to elements in the child's socio-cultural bac</w:t>
      </w:r>
      <w:r>
        <w:t xml:space="preserve">kground such that </w:t>
      </w:r>
      <w:r w:rsidRPr="00E36680">
        <w:t>the typical early comprehension of the alphabe</w:t>
      </w:r>
      <w:r>
        <w:t xml:space="preserve">t may have been delayed, being </w:t>
      </w:r>
      <w:r w:rsidRPr="00E36680">
        <w:t>an environmental factor and nothing to do with dyslexia at all. The most important idea to emerge out of Frith's analysis is that to focus on any one of the three levels to the exclusion of the others in an attempt to explain dyslexia would be erroneous and unscientific, flying in the face of substantial evidence accumulated from a range of studies of dyslexia at all three levels</w:t>
      </w:r>
      <w:r w:rsidRPr="006D5C21">
        <w:t xml:space="preserve">. </w:t>
      </w:r>
      <w:r w:rsidRPr="00E36680">
        <w:t>Ramus (2004) extend</w:t>
      </w:r>
      <w:r>
        <w:t>ed</w:t>
      </w:r>
      <w:r w:rsidRPr="00E36680">
        <w:t xml:space="preserve"> Frith's framework by carefully reconsidering earlier neurobiological data to suggest that not only can the model be used to bring together the phonological and magnocellular </w:t>
      </w:r>
      <w:r>
        <w:t xml:space="preserve">(vision differences) </w:t>
      </w:r>
      <w:r w:rsidRPr="00E36680">
        <w:t>theories of dyslexia</w:t>
      </w:r>
      <w:r>
        <w:t>,</w:t>
      </w:r>
      <w:r w:rsidRPr="00E36680">
        <w:t xml:space="preserve"> but that it may also be applicable to other functional differences observed</w:t>
      </w:r>
      <w:r>
        <w:t>,</w:t>
      </w:r>
      <w:r w:rsidRPr="00E36680">
        <w:t xml:space="preserve"> for example</w:t>
      </w:r>
      <w:r>
        <w:t>,</w:t>
      </w:r>
      <w:r w:rsidRPr="00E36680">
        <w:t xml:space="preserve"> in developmental dyscalculia and in ADHD. Fletcher </w:t>
      </w:r>
      <w:r>
        <w:t>et al.</w:t>
      </w:r>
      <w:r w:rsidRPr="00E36680">
        <w:t xml:space="preserve"> (2007) appear to have adapted Frith's model to visualize the competing/contributory factors that can constitute a dyslexic profile by focusing on not only the integrability of Frith's earlier </w:t>
      </w:r>
      <w:r w:rsidR="009D4EF1">
        <w:t>three factors, but also heightening the bidirectional relationship between the neurobiological and environmental factors (Figure 2). Fletcher's adjustments to Frith's model indicate the view that cognitive processes and behavioural and psychosocial factors are within the envelope of the neurobiology of dyslexia, with 'the environment' as more discretely related.</w:t>
      </w:r>
    </w:p>
    <w:p w14:paraId="676CAEF3" w14:textId="405A03AB" w:rsidR="007707AB" w:rsidRDefault="00AF3135" w:rsidP="007707AB">
      <w:r>
        <w:lastRenderedPageBreak/>
        <w:t>T</w:t>
      </w:r>
      <w:r w:rsidRPr="002C3CF3">
        <w:t xml:space="preserve">his is a only a subtle re-interpretation, </w:t>
      </w:r>
      <w:r>
        <w:t xml:space="preserve">as </w:t>
      </w:r>
      <w:r w:rsidRPr="002C3CF3">
        <w:t xml:space="preserve">Frith's original model implies these to be sequentially </w:t>
      </w:r>
      <w:r>
        <w:t>organized strata which were</w:t>
      </w:r>
      <w:r w:rsidRPr="002C3CF3">
        <w:t xml:space="preserve"> placeholders for the various component parts of a dyslexia causation process. For example</w:t>
      </w:r>
      <w:r>
        <w:t>,</w:t>
      </w:r>
      <w:r w:rsidRPr="002C3CF3">
        <w:t xml:space="preserve"> in describing dyslexia as a phonological deficit, the causal chain </w:t>
      </w:r>
      <w:r>
        <w:t xml:space="preserve">may </w:t>
      </w:r>
      <w:r w:rsidRPr="002C3CF3">
        <w:t>start in the 'biological' layer by suggesting a left</w:t>
      </w:r>
      <w:r>
        <w:t>-</w:t>
      </w:r>
      <w:r w:rsidRPr="002C3CF3">
        <w:t>brain</w:t>
      </w:r>
      <w:r w:rsidRPr="00E36680">
        <w:t xml:space="preserve"> </w:t>
      </w:r>
      <w:r w:rsidRPr="002C3CF3">
        <w:t xml:space="preserve">hemisphere disconnection as the root, leading to a phonological deficit in the cognitive </w:t>
      </w:r>
      <w:r>
        <w:rPr>
          <w:noProof/>
          <w:lang w:eastAsia="en-GB"/>
        </w:rPr>
        <mc:AlternateContent>
          <mc:Choice Requires="wps">
            <w:drawing>
              <wp:anchor distT="0" distB="0" distL="114300" distR="114300" simplePos="0" relativeHeight="251703296" behindDoc="0" locked="0" layoutInCell="1" allowOverlap="1" wp14:anchorId="637A5176" wp14:editId="173EBF63">
                <wp:simplePos x="0" y="0"/>
                <wp:positionH relativeFrom="column">
                  <wp:posOffset>30480</wp:posOffset>
                </wp:positionH>
                <wp:positionV relativeFrom="paragraph">
                  <wp:posOffset>3497079</wp:posOffset>
                </wp:positionV>
                <wp:extent cx="5270500" cy="569595"/>
                <wp:effectExtent l="0" t="0" r="0" b="1905"/>
                <wp:wrapTopAndBottom/>
                <wp:docPr id="28" name="Text Box 28"/>
                <wp:cNvGraphicFramePr/>
                <a:graphic xmlns:a="http://schemas.openxmlformats.org/drawingml/2006/main">
                  <a:graphicData uri="http://schemas.microsoft.com/office/word/2010/wordprocessingShape">
                    <wps:wsp>
                      <wps:cNvSpPr txBox="1"/>
                      <wps:spPr>
                        <a:xfrm>
                          <a:off x="0" y="0"/>
                          <a:ext cx="5270500" cy="569595"/>
                        </a:xfrm>
                        <a:prstGeom prst="rect">
                          <a:avLst/>
                        </a:prstGeom>
                        <a:solidFill>
                          <a:prstClr val="white"/>
                        </a:solidFill>
                        <a:ln>
                          <a:noFill/>
                        </a:ln>
                      </wps:spPr>
                      <wps:txbx>
                        <w:txbxContent>
                          <w:p w14:paraId="1DC024DE" w14:textId="205709F9" w:rsidR="00533FBF" w:rsidRPr="002D623C" w:rsidRDefault="00533FBF" w:rsidP="00AF3135">
                            <w:pPr>
                              <w:pStyle w:val="Subtitle"/>
                              <w:rPr>
                                <w:rFonts w:ascii="Muli" w:hAnsi="Muli"/>
                                <w:sz w:val="20"/>
                              </w:rPr>
                            </w:pPr>
                            <w:bookmarkStart w:id="48" w:name="_Toc9796116"/>
                            <w:bookmarkStart w:id="49" w:name="_Toc9796196"/>
                            <w:bookmarkStart w:id="50" w:name="_Toc56495221"/>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w:t>
                            </w:r>
                            <w:r>
                              <w:tab/>
                              <w:t>Competing/contributing factors which may constitute a dyslexic profile (adapted from Fletcher, 2009, p511)</w:t>
                            </w:r>
                            <w:bookmarkEnd w:id="48"/>
                            <w:bookmarkEnd w:id="49"/>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37A5176" id="Text Box 28" o:spid="_x0000_s1027" type="#_x0000_t202" style="position:absolute;margin-left:2.4pt;margin-top:275.35pt;width:415pt;height:44.8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" stroked="f">
                <v:textbox style="mso-fit-shape-to-text:t" inset="0,0,0,0">
                  <w:txbxContent>
                    <w:p w14:paraId="1DC024DE" w14:textId="205709F9" w:rsidR="00533FBF" w:rsidRPr="002D623C" w:rsidRDefault="00533FBF" w:rsidP="00AF3135">
                      <w:pPr>
                        <w:pStyle w:val="Subtitle"/>
                        <w:rPr>
                          <w:rFonts w:ascii="Muli" w:hAnsi="Muli"/>
                          <w:sz w:val="20"/>
                        </w:rPr>
                      </w:pPr>
                      <w:bookmarkStart w:id="54" w:name="_Toc9796116"/>
                      <w:bookmarkStart w:id="55" w:name="_Toc9796196"/>
                      <w:bookmarkStart w:id="56" w:name="_Toc56495221"/>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w:t>
                      </w:r>
                      <w:r>
                        <w:tab/>
                        <w:t>Competing/contributing factors which may constitute a dyslexic profile (adapted from Fletcher, 2009, p511)</w:t>
                      </w:r>
                      <w:bookmarkEnd w:id="54"/>
                      <w:bookmarkEnd w:id="55"/>
                      <w:bookmarkEnd w:id="56"/>
                    </w:p>
                  </w:txbxContent>
                </v:textbox>
                <w10:wrap type="topAndBottom"/>
              </v:shape>
            </w:pict>
          </mc:Fallback>
        </mc:AlternateContent>
      </w:r>
      <w:r w:rsidRPr="002C3CF3">
        <w:t>layer which generates poor phoneme awareness as one of the behavioural characteristics</w:t>
      </w:r>
      <w:r>
        <w:t xml:space="preserve">. It is acknowledged that there is more to it than this, notably that genetic disorders are said to account for the biological level in the model having only one node (Morton &amp; Frith, 1995). </w:t>
      </w:r>
      <w:r w:rsidRPr="002C3CF3">
        <w:t xml:space="preserve">Embracing this causal chain are environmental factors such as teaching methods and literacy </w:t>
      </w:r>
      <w:r>
        <w:t xml:space="preserve">values (Frith, 1999, p203). Fletcher’s interpretation is useful because it directly indicates the outcome of the causal factors as academic skills deficits that be be observed in dyslexic learners. </w:t>
      </w:r>
      <w:r>
        <w:rPr>
          <w:noProof/>
          <w:lang w:eastAsia="en-GB"/>
        </w:rPr>
        <w:drawing>
          <wp:anchor distT="0" distB="0" distL="114300" distR="114300" simplePos="0" relativeHeight="251696128" behindDoc="0" locked="0" layoutInCell="1" allowOverlap="1" wp14:anchorId="4F625C48" wp14:editId="5D40E745">
            <wp:simplePos x="0" y="0"/>
            <wp:positionH relativeFrom="column">
              <wp:posOffset>-14541</wp:posOffset>
            </wp:positionH>
            <wp:positionV relativeFrom="paragraph">
              <wp:posOffset>56270</wp:posOffset>
            </wp:positionV>
            <wp:extent cx="5313600" cy="3441600"/>
            <wp:effectExtent l="0" t="0" r="0" b="635"/>
            <wp:wrapSquare wrapText="bothSides"/>
            <wp:docPr id="46" name="Picture 46" descr="fletcher's visualization of dyslex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letcher's visualization of dyslexia"/>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3600" cy="344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8096AA" w14:textId="16A06B1F" w:rsidR="007707AB" w:rsidRDefault="007707AB" w:rsidP="007707AB">
      <w:r>
        <w:t xml:space="preserve">Finally, </w:t>
      </w:r>
      <w:r w:rsidRPr="00B70EBD">
        <w:t xml:space="preserve">it is of note that attempts have been made to compare and contrast the competing theories of dyslexia with an intention to explore whether they may be conjoined into a single, broad explanation for dyslexia rather than to favour one theory at the expense of the others. For example, Ramus </w:t>
      </w:r>
      <w:r>
        <w:t>et al.</w:t>
      </w:r>
      <w:r w:rsidRPr="00B70EBD">
        <w:t xml:space="preserve"> (2003) conducted an intriguing case study with a small group of 17 dyslexic university students </w:t>
      </w:r>
      <w:r>
        <w:t>and</w:t>
      </w:r>
      <w:r w:rsidRPr="00B70EBD">
        <w:t xml:space="preserve"> a control group of 17 students with no indications of dyslexia. The aim of the study was to evaluate dyslexia from all of the major theoretical perspectives to explore associations or dissociations which may imply causal relationships between the characteristics widely observable in individuals with dyslexia. A significant factor of the research design was the recruit</w:t>
      </w:r>
      <w:r>
        <w:t>ment of</w:t>
      </w:r>
      <w:r w:rsidRPr="00B70EBD">
        <w:t xml:space="preserve"> </w:t>
      </w:r>
      <w:r w:rsidRPr="00B70EBD">
        <w:lastRenderedPageBreak/>
        <w:t>academically capable adults as research participants</w:t>
      </w:r>
      <w:r>
        <w:t>. Al</w:t>
      </w:r>
      <w:r w:rsidRPr="00B70EBD">
        <w:t>though such individuals are not likely to be representative of the wider population of adults with dyslexia, by virtue of their intelligence, likely resourcefulness</w:t>
      </w:r>
      <w:r>
        <w:t>,</w:t>
      </w:r>
      <w:r w:rsidRPr="00B70EBD">
        <w:t xml:space="preserve"> possible social privilege</w:t>
      </w:r>
      <w:r>
        <w:t>,</w:t>
      </w:r>
      <w:r w:rsidRPr="00B70EBD">
        <w:t xml:space="preserve"> </w:t>
      </w:r>
      <w:r>
        <w:t xml:space="preserve">and that they may </w:t>
      </w:r>
      <w:r w:rsidRPr="00B70EBD">
        <w:t>have benefited from good quality help with</w:t>
      </w:r>
      <w:r>
        <w:t xml:space="preserve"> their </w:t>
      </w:r>
      <w:r w:rsidRPr="00B70EBD">
        <w:t>early reading difficulties</w:t>
      </w:r>
      <w:r>
        <w:t xml:space="preserve">, the research is relevant to this current study due to its focus on university students as the participants. </w:t>
      </w:r>
      <w:r w:rsidRPr="00B70EBD">
        <w:t xml:space="preserve">The tests </w:t>
      </w:r>
      <w:r>
        <w:t xml:space="preserve">used in the study </w:t>
      </w:r>
      <w:r w:rsidRPr="00B70EBD">
        <w:t>were extensive</w:t>
      </w:r>
      <w:r w:rsidR="008D0258">
        <w:t xml:space="preserve">, </w:t>
      </w:r>
      <w:r w:rsidRPr="00B70EBD">
        <w:t>and devised to generate a comprehensive neur</w:t>
      </w:r>
      <w:r>
        <w:t xml:space="preserve">opsychological profile of </w:t>
      </w:r>
      <w:r w:rsidRPr="00B70EBD">
        <w:t xml:space="preserve">the participants by cataloguing the outcomes of psychometric, phonological, auditory, visual and cerebellar evaluations. </w:t>
      </w:r>
      <w:r>
        <w:t xml:space="preserve">However, the results revealed </w:t>
      </w:r>
      <w:r w:rsidRPr="00B70EBD">
        <w:t>no significant relationship between auditory and phonological deficits despite a strong correlation between these domains' data. In the dyslexic group a greater diversity of outcomes was recorded in auditory assessments</w:t>
      </w:r>
      <w:r>
        <w:t>,</w:t>
      </w:r>
      <w:r w:rsidRPr="00B70EBD">
        <w:t xml:space="preserve"> whereas more uniform results were obtained across the group in the phonological tests</w:t>
      </w:r>
      <w:r>
        <w:t>.</w:t>
      </w:r>
      <w:r w:rsidRPr="00B70EBD">
        <w:t xml:space="preserve"> </w:t>
      </w:r>
      <w:r>
        <w:t>T</w:t>
      </w:r>
      <w:r w:rsidRPr="00B70EBD">
        <w:t xml:space="preserve">he conclusion was that auditory performance is not a predictor of phonological performance. </w:t>
      </w:r>
      <w:r>
        <w:t>Overall, t</w:t>
      </w:r>
      <w:r w:rsidRPr="00B70EBD">
        <w:t>he study re-affirmed the widely held view that the most significant issue for individuals with dyslexia is in phonological skills with impaired capabilities being observed in all of the students with dyslexia. The incidence of deficits in the other components were variously observed in the dyslexic students in the sample</w:t>
      </w:r>
      <w:r>
        <w:t>,</w:t>
      </w:r>
      <w:r w:rsidRPr="00B70EBD">
        <w:t xml:space="preserve"> leading to a conclusion that some of these are not so much causes of phonological deficits but may aggravate them.</w:t>
      </w:r>
      <w:r>
        <w:t xml:space="preserve"> </w:t>
      </w:r>
      <w:r w:rsidRPr="00C57720">
        <w:t>Thus</w:t>
      </w:r>
      <w:r>
        <w:t>,</w:t>
      </w:r>
      <w:r w:rsidRPr="00C57720">
        <w:t xml:space="preserve"> this study is </w:t>
      </w:r>
      <w:r>
        <w:t xml:space="preserve">important </w:t>
      </w:r>
      <w:r w:rsidRPr="00C57720">
        <w:t xml:space="preserve">partly due to the significance of its research design as a comparator of the major theories of dyslexia but also because </w:t>
      </w:r>
      <w:r>
        <w:t xml:space="preserve">it </w:t>
      </w:r>
      <w:r w:rsidRPr="00C57720">
        <w:t>deliberately took dyslexia in university students as the focus which resonates with the project being reported in this thesis.</w:t>
      </w:r>
      <w:bookmarkStart w:id="51" w:name="dddd"/>
      <w:bookmarkEnd w:id="51"/>
    </w:p>
    <w:p w14:paraId="707CA511" w14:textId="77777777" w:rsidR="007707AB" w:rsidRPr="00ED09D1" w:rsidRDefault="007707AB" w:rsidP="007707AB">
      <w:pPr>
        <w:pStyle w:val="Heading3"/>
      </w:pPr>
      <w:bookmarkStart w:id="52" w:name="_Toc9795731"/>
      <w:bookmarkStart w:id="53" w:name="_Toc57035895"/>
      <w:r>
        <w:t>III</w:t>
      </w:r>
      <w:r>
        <w:tab/>
        <w:t>Equitability in learning systems – accommodating dyslexia?</w:t>
      </w:r>
      <w:bookmarkEnd w:id="52"/>
      <w:bookmarkEnd w:id="53"/>
    </w:p>
    <w:p w14:paraId="78D567DF" w14:textId="77777777" w:rsidR="007707AB" w:rsidRDefault="007707AB" w:rsidP="007707AB">
      <w:r>
        <w:t>From sketching out an overview of the main theories about dyslexia, this sub-section now considers briefly how students with dyslexia are accommodated in learning systems. This is important because by first understanding more about how such students are ‘managed’ at university, this leads to a discussion (below) about the impact and stigma of learning differences labelling, and how this, and the processes used for identifying dyslexia may impact on those students being assessed.</w:t>
      </w:r>
    </w:p>
    <w:p w14:paraId="2DFEC907" w14:textId="77777777" w:rsidR="007707AB" w:rsidRPr="00BC38E7" w:rsidRDefault="007707AB" w:rsidP="007707AB">
      <w:r w:rsidRPr="008B4F19">
        <w:t>Both 'difficulty' and 'disorder' are loaded with negative connotations that imply deficit, particularly within the framework of tradition</w:t>
      </w:r>
      <w:r>
        <w:t>al human learning experiences and</w:t>
      </w:r>
      <w:r w:rsidRPr="008B4F19">
        <w:t xml:space="preserve"> curriculum delivery environments that remain </w:t>
      </w:r>
      <w:r>
        <w:t>predominantly</w:t>
      </w:r>
      <w:r w:rsidRPr="008B4F19">
        <w:t xml:space="preserve"> 'text-based'. This is despite the last decade or two of very rapid development of alternative, technology or media-based delivery platforms</w:t>
      </w:r>
      <w:r>
        <w:t xml:space="preserve">, </w:t>
      </w:r>
      <w:r w:rsidRPr="008B4F19">
        <w:t>embraced by an information society that sees news, advertising, entertainment and 'gaming', government and infrastructure services</w:t>
      </w:r>
      <w:r>
        <w:t xml:space="preserve"> - </w:t>
      </w:r>
      <w:r w:rsidRPr="008B4F19">
        <w:t xml:space="preserve">almost all aspects of human interaction with information </w:t>
      </w:r>
      <w:r>
        <w:t xml:space="preserve">- </w:t>
      </w:r>
      <w:r w:rsidRPr="008B4F19">
        <w:t>being delivered through electronic mediums. And yet forma</w:t>
      </w:r>
      <w:r>
        <w:t xml:space="preserve">l processes of education </w:t>
      </w:r>
      <w:r w:rsidRPr="008B4F19">
        <w:t>large</w:t>
      </w:r>
      <w:r>
        <w:t>ly</w:t>
      </w:r>
      <w:r w:rsidRPr="008B4F19">
        <w:t xml:space="preserve"> remain steadfastly text-based which, although now broadly delivered electronically, still demand a conventional ability to properly and </w:t>
      </w:r>
      <w:r w:rsidRPr="008B4F19">
        <w:lastRenderedPageBreak/>
        <w:t>effectively engage with the printed word, both to consume knowledge and also to create it or to demonstrate understanding. This persistently puts learners with dyslexia - in the broadest context - and with dyslexia-like learning profiles at a disadvantage and hence is inherently unj</w:t>
      </w:r>
      <w:r>
        <w:t xml:space="preserve">ust. Cavanagh (2013) </w:t>
      </w:r>
      <w:r w:rsidRPr="008B4F19">
        <w:t xml:space="preserve">highlights this tardiness in the delivery of education and learning to keep up with developments in information diversity </w:t>
      </w:r>
      <w:r>
        <w:t xml:space="preserve">by </w:t>
      </w:r>
      <w:r w:rsidRPr="008B4F19">
        <w:t>candidly observ</w:t>
      </w:r>
      <w:r>
        <w:t>ing</w:t>
      </w:r>
      <w:r w:rsidRPr="008B4F19">
        <w:t xml:space="preserve"> that the field</w:t>
      </w:r>
      <w:r>
        <w:t>s</w:t>
      </w:r>
      <w:r w:rsidRPr="008B4F19">
        <w:t xml:space="preserve"> of pedagogy and andragogy should recognize that, rather than l</w:t>
      </w:r>
      <w:r>
        <w:t>earners, it is curricula that are</w:t>
      </w:r>
      <w:r w:rsidRPr="008B4F19">
        <w:t xml:space="preserve"> disabled</w:t>
      </w:r>
      <w:r>
        <w:t>,</w:t>
      </w:r>
      <w:r w:rsidRPr="008B4F19">
        <w:t xml:space="preserve"> and hence need be </w:t>
      </w:r>
      <w:r>
        <w:t>adjusted</w:t>
      </w:r>
      <w:r w:rsidRPr="008B4F19">
        <w:t>.</w:t>
      </w:r>
    </w:p>
    <w:p w14:paraId="6AC1425F" w14:textId="77777777" w:rsidR="00384145" w:rsidRDefault="007707AB" w:rsidP="007707AB">
      <w:r w:rsidRPr="0046708C">
        <w:t>Cavanagh is one of the more recent proponents of a forward-facing, inclusive vision of the barrier-free learning environment which is the Universal Design for Learning (UDL) (Rose &amp; Meyer, 2000). UDL is attempting to tackle issues of justice in learning in ways that would declare dyslexia as at worst, a learning difference amongst a plethora of others, rather than a learning deficit, difficulty or disability</w:t>
      </w:r>
      <w:r>
        <w:t>. A</w:t>
      </w:r>
      <w:r w:rsidRPr="0046708C">
        <w:t xml:space="preserve">s such, </w:t>
      </w:r>
      <w:r>
        <w:t xml:space="preserve">it </w:t>
      </w:r>
      <w:r w:rsidRPr="0046708C">
        <w:t>is aligned with the construction of dyslexia as an example of</w:t>
      </w:r>
      <w:r>
        <w:t xml:space="preserve"> neurodiversity outlined briefly above (sub-section 2.1(II)). </w:t>
      </w:r>
      <w:r w:rsidRPr="00770BE3">
        <w:t>With its roots in the domain of architecture and universal accessibility to buildings and structures, the core focus of UDL is that the learning requirements of all learners are factored into curriculum development and delivery so that every student's range of skills, talents, competencies and challenges are recognized and accommodated without recourse to any kind of differentiated treatment to 'make allowances'. Hence it becomes the norm for learning environments to be much more easily adaptable to learners' needs rather than the other way around. This will ultimately mean that the text-related issues, difficulties and challenges that are undoubtedly due to deficits in some individuals and which can adversely impact on their successful engagement with conventional learning systems</w:t>
      </w:r>
      <w:r>
        <w:t>,</w:t>
      </w:r>
      <w:r w:rsidRPr="00770BE3">
        <w:t xml:space="preserve"> will cease to have much impact in a UDL environment. There is an increasing body of evidence to support this </w:t>
      </w:r>
      <w:r>
        <w:t>transition</w:t>
      </w:r>
      <w:r w:rsidRPr="00770BE3">
        <w:t xml:space="preserve"> in learning </w:t>
      </w:r>
      <w:r>
        <w:t xml:space="preserve">design, not least through </w:t>
      </w:r>
      <w:r w:rsidRPr="00770BE3">
        <w:t xml:space="preserve">attention </w:t>
      </w:r>
      <w:r>
        <w:t xml:space="preserve">being focused on </w:t>
      </w:r>
      <w:r w:rsidRPr="00770BE3">
        <w:t xml:space="preserve"> the learning-environment challenges facing different learners</w:t>
      </w:r>
      <w:r>
        <w:t>. This ranges</w:t>
      </w:r>
      <w:r w:rsidRPr="00770BE3">
        <w:t xml:space="preserve"> from </w:t>
      </w:r>
      <w:r>
        <w:t xml:space="preserve">building in </w:t>
      </w:r>
      <w:r w:rsidRPr="00770BE3">
        <w:t xml:space="preserve">equitable accommodation </w:t>
      </w:r>
      <w:r>
        <w:t xml:space="preserve">of learning difference </w:t>
      </w:r>
      <w:r w:rsidRPr="00770BE3">
        <w:t>into the exciting new emphasis on developing STEM education (e.g.: Basham &amp; Marino, 2013)</w:t>
      </w:r>
      <w:r>
        <w:t>,</w:t>
      </w:r>
      <w:r w:rsidRPr="00770BE3">
        <w:t xml:space="preserve"> to designing learning processes for including all students into health professions courses (e.g.: Heelan, </w:t>
      </w:r>
      <w:r>
        <w:t>et al.</w:t>
      </w:r>
      <w:r w:rsidRPr="00770BE3">
        <w:t>, 2015).</w:t>
      </w:r>
    </w:p>
    <w:p w14:paraId="77947731" w14:textId="77777777" w:rsidR="00384145" w:rsidRDefault="007707AB" w:rsidP="007707AB">
      <w:r w:rsidRPr="00770BE3">
        <w:t>However</w:t>
      </w:r>
      <w:r>
        <w:t>,</w:t>
      </w:r>
      <w:r w:rsidRPr="00770BE3">
        <w:t xml:space="preserve"> other measures remain necessary to ensure an element of equitability in learning systems that fail to recognize and accommodate learning diversity</w:t>
      </w:r>
      <w:r>
        <w:t>. O</w:t>
      </w:r>
      <w:r w:rsidRPr="00770BE3">
        <w:t>ne route that outwardly seems attractive</w:t>
      </w:r>
      <w:r>
        <w:t>,</w:t>
      </w:r>
      <w:r w:rsidRPr="00770BE3">
        <w:t xml:space="preserve"> draws on the idea that matching teaching approaches to students' learning preferences has merit. Extensive earlier, and recently revisited research on learning styles has demonstrated that when teaching styles are aligned with student learning styles, the acquisition</w:t>
      </w:r>
      <w:r>
        <w:t xml:space="preserve">, </w:t>
      </w:r>
      <w:r w:rsidRPr="00770BE3">
        <w:t xml:space="preserve">retention </w:t>
      </w:r>
      <w:r>
        <w:t xml:space="preserve">and later re-application </w:t>
      </w:r>
      <w:r w:rsidRPr="00770BE3">
        <w:t>of knowledge, can be more effective</w:t>
      </w:r>
      <w:r>
        <w:t xml:space="preserve">, </w:t>
      </w:r>
      <w:r w:rsidRPr="00770BE3">
        <w:t>foster</w:t>
      </w:r>
      <w:r>
        <w:t xml:space="preserve">ing </w:t>
      </w:r>
      <w:r w:rsidRPr="00770BE3">
        <w:t>better learning engagement (Felder, 1988</w:t>
      </w:r>
      <w:r>
        <w:t>;</w:t>
      </w:r>
      <w:r w:rsidRPr="00770BE3">
        <w:t xml:space="preserve"> Zhou, 2011</w:t>
      </w:r>
      <w:r>
        <w:t>;</w:t>
      </w:r>
      <w:r w:rsidRPr="00770BE3">
        <w:t xml:space="preserve"> Tuan, 2011</w:t>
      </w:r>
      <w:r>
        <w:t>;</w:t>
      </w:r>
      <w:r w:rsidRPr="00770BE3">
        <w:t xml:space="preserve"> Gilakjani, 2012)</w:t>
      </w:r>
      <w:r>
        <w:t>. Moreover,</w:t>
      </w:r>
      <w:r w:rsidRPr="00770BE3">
        <w:t xml:space="preserve"> a mismatch between teaching</w:t>
      </w:r>
      <w:r>
        <w:t>,</w:t>
      </w:r>
      <w:r w:rsidRPr="00770BE3">
        <w:t xml:space="preserve"> and learning styles can </w:t>
      </w:r>
      <w:r w:rsidRPr="00770BE3">
        <w:lastRenderedPageBreak/>
        <w:t>cause learning failure, frustration and demotivation (Reid, 1987</w:t>
      </w:r>
      <w:r>
        <w:t>;</w:t>
      </w:r>
      <w:r w:rsidRPr="00770BE3">
        <w:t xml:space="preserve"> Peacock, 2001). </w:t>
      </w:r>
      <w:r>
        <w:t>However</w:t>
      </w:r>
      <w:r w:rsidR="008D0258">
        <w:t>,</w:t>
      </w:r>
      <w:r>
        <w:t xml:space="preserve"> the conclusions of </w:t>
      </w:r>
      <w:r w:rsidRPr="00770BE3">
        <w:t xml:space="preserve">studies </w:t>
      </w:r>
      <w:r>
        <w:t xml:space="preserve">that </w:t>
      </w:r>
      <w:r w:rsidRPr="00770BE3">
        <w:t xml:space="preserve">have explored relationships between dyslexia and learning styles </w:t>
      </w:r>
      <w:r>
        <w:t>have lacked consistency</w:t>
      </w:r>
      <w:r w:rsidRPr="00770BE3">
        <w:t xml:space="preserve">. For example, in </w:t>
      </w:r>
      <w:r>
        <w:t>a</w:t>
      </w:r>
      <w:r w:rsidRPr="00770BE3">
        <w:t xml:space="preserve"> cohort of 117 university students with dyslexia, no link was established between any preference for visuo-spatial learning styles and dyslexia </w:t>
      </w:r>
      <w:r>
        <w:t xml:space="preserve">(Mortimore, 2003); this </w:t>
      </w:r>
      <w:r w:rsidRPr="00770BE3">
        <w:t xml:space="preserve">may seem unexpected in the light of </w:t>
      </w:r>
      <w:r>
        <w:t xml:space="preserve">later research demonstrating a preference in dyslexic students for knowledge to be presented visually (Mortimore, 2008), and </w:t>
      </w:r>
      <w:r w:rsidRPr="00770BE3">
        <w:t xml:space="preserve">other research suggesting that one of the characterising aspects of dyslexia can be elevated visuo-spatial abilities in certain circumstances (Attree </w:t>
      </w:r>
      <w:r>
        <w:t>et al.</w:t>
      </w:r>
      <w:r w:rsidRPr="00770BE3">
        <w:t>, 2009</w:t>
      </w:r>
      <w:r>
        <w:t>; Brunswick et al., 2010)</w:t>
      </w:r>
      <w:r w:rsidRPr="00770BE3">
        <w:t xml:space="preserve">. </w:t>
      </w:r>
      <w:r w:rsidRPr="00632D5B">
        <w:t>Indeed</w:t>
      </w:r>
      <w:r>
        <w:t>,</w:t>
      </w:r>
      <w:r w:rsidRPr="00632D5B">
        <w:t xml:space="preserve"> professional practice in university level support for dyslexic students regularly advocates</w:t>
      </w:r>
      <w:r>
        <w:t>,</w:t>
      </w:r>
      <w:r w:rsidRPr="00632D5B">
        <w:t xml:space="preserve"> and </w:t>
      </w:r>
      <w:r>
        <w:t xml:space="preserve">subsequently </w:t>
      </w:r>
      <w:r w:rsidRPr="00632D5B">
        <w:t xml:space="preserve">provides assistive learning technologies such as concept-mapping tools that are designed to make learning more accessible for those with visual learning strengths (Draffan </w:t>
      </w:r>
      <w:r>
        <w:t>et al.</w:t>
      </w:r>
      <w:r w:rsidRPr="00632D5B">
        <w:t>, 2014)</w:t>
      </w:r>
      <w:r>
        <w:t>.</w:t>
      </w:r>
    </w:p>
    <w:p w14:paraId="2272E47E" w14:textId="3AD0CEA6" w:rsidR="007707AB" w:rsidRDefault="007707AB" w:rsidP="007707AB">
      <w:r>
        <w:t>T</w:t>
      </w:r>
      <w:r w:rsidRPr="00632D5B">
        <w:t>his continues to be a central provision of technology support for dyslexic students in receipt of the (UK) Disabled Students' Allowance</w:t>
      </w:r>
      <w:r>
        <w:t>,</w:t>
      </w:r>
      <w:r w:rsidRPr="00632D5B">
        <w:t xml:space="preserve"> despite evidence suggesting that some alternative means to provide easier access to learning for dyslexic students appears to have equal learning value to both dyslexic and non-dyslexic students (Taylor </w:t>
      </w:r>
      <w:r>
        <w:t>et al.</w:t>
      </w:r>
      <w:r w:rsidRPr="00632D5B">
        <w:t>, 2009).</w:t>
      </w:r>
      <w:r w:rsidRPr="00BC38E7">
        <w:t> </w:t>
      </w:r>
      <w:r w:rsidRPr="00511CD1">
        <w:t>Indeed</w:t>
      </w:r>
      <w:r>
        <w:t>,</w:t>
      </w:r>
      <w:r w:rsidRPr="00511CD1">
        <w:t xml:space="preserve"> whether it is desirable to integrate student learning style preferences, however these may be categorized or defined, into pedagogic design has attracted mixed support, although </w:t>
      </w:r>
      <w:r>
        <w:t xml:space="preserve">the more recent </w:t>
      </w:r>
      <w:r w:rsidRPr="00511CD1">
        <w:t xml:space="preserve">move towards a mass </w:t>
      </w:r>
      <w:r>
        <w:t>HE</w:t>
      </w:r>
      <w:r w:rsidRPr="00511CD1">
        <w:t xml:space="preserve"> system </w:t>
      </w:r>
      <w:r>
        <w:t xml:space="preserve">appears to have generated a </w:t>
      </w:r>
      <w:r w:rsidRPr="00511CD1">
        <w:t>renewed interest in learning styles, not least as means to accommodate the much wider diversity of student communities at university (Smith, 2002).</w:t>
      </w:r>
    </w:p>
    <w:p w14:paraId="684D81C2" w14:textId="2399D2B7" w:rsidR="007707AB" w:rsidRPr="00BC38E7" w:rsidRDefault="007707AB" w:rsidP="007707AB">
      <w:r w:rsidRPr="00511CD1">
        <w:t>The later advent of social media as a learning device</w:t>
      </w:r>
      <w:r>
        <w:t>,</w:t>
      </w:r>
      <w:r w:rsidRPr="00511CD1">
        <w:t xml:space="preserve"> or at least as a learning enabling device</w:t>
      </w:r>
      <w:r>
        <w:t>,</w:t>
      </w:r>
      <w:r w:rsidRPr="00511CD1">
        <w:t xml:space="preserve"> </w:t>
      </w:r>
      <w:r>
        <w:t>may have reduced</w:t>
      </w:r>
      <w:r w:rsidRPr="00511CD1">
        <w:t xml:space="preserve"> interest in analysing learning styles per se</w:t>
      </w:r>
      <w:r>
        <w:t xml:space="preserve">. This is </w:t>
      </w:r>
      <w:r w:rsidRPr="00511CD1">
        <w:t xml:space="preserve">because the more personal nature of accessing learning resources that is permitted in, for example, multimodal, mobile cloud computing technologies has enabled students with dyslexia to engage with their learning resources in ways to suit their individual learning preferences (Alghabban </w:t>
      </w:r>
      <w:r>
        <w:t>et al.</w:t>
      </w:r>
      <w:r w:rsidRPr="00511CD1">
        <w:t>, 2017)</w:t>
      </w:r>
      <w:r>
        <w:t>. This</w:t>
      </w:r>
      <w:r w:rsidRPr="00511CD1">
        <w:t xml:space="preserve"> may be </w:t>
      </w:r>
      <w:r>
        <w:t xml:space="preserve">especially the case where such learning resources have been </w:t>
      </w:r>
      <w:r w:rsidRPr="00511CD1">
        <w:t>access</w:t>
      </w:r>
      <w:r>
        <w:t>ed</w:t>
      </w:r>
      <w:r w:rsidRPr="00511CD1">
        <w:t xml:space="preserve"> through social media portals</w:t>
      </w:r>
      <w:r>
        <w:t>, possibly lessening responses to improving learning access at institutional levels</w:t>
      </w:r>
      <w:r w:rsidRPr="00511CD1">
        <w:t>. Hence</w:t>
      </w:r>
      <w:r>
        <w:t>,</w:t>
      </w:r>
      <w:r w:rsidRPr="00511CD1">
        <w:t xml:space="preserve"> adapting teaching to suit learners is being achieved without recourse to finding out in detail how learners prefer to learn. </w:t>
      </w:r>
      <w:r>
        <w:t>T</w:t>
      </w:r>
      <w:r w:rsidRPr="00D36F5D">
        <w:t>his approach to presenting more personalized learning experiences is enshrined through the advent of Smart Learning Environments (SLEs)</w:t>
      </w:r>
      <w:r>
        <w:t xml:space="preserve">, echoing the </w:t>
      </w:r>
      <w:r w:rsidRPr="00D36F5D">
        <w:t>ethos of UDL</w:t>
      </w:r>
      <w:r>
        <w:t>. An</w:t>
      </w:r>
      <w:r w:rsidRPr="00D36F5D">
        <w:t xml:space="preserve"> SLE </w:t>
      </w:r>
      <w:r>
        <w:t xml:space="preserve">has been defined </w:t>
      </w:r>
      <w:r w:rsidRPr="00D36F5D">
        <w:t>as a learning place which features widespread incorporation of innovative technologies to permit greater flexibility, adaptation, engagement and feedback for learners (Spector, 2014)</w:t>
      </w:r>
      <w:r>
        <w:t xml:space="preserve">; </w:t>
      </w:r>
      <w:r w:rsidRPr="00D36F5D">
        <w:t xml:space="preserve">these are learning environments which, by turning around the idea of curriculum delivery into curriculum uptake, foster student engagement at a highly </w:t>
      </w:r>
      <w:r w:rsidRPr="00D36F5D">
        <w:lastRenderedPageBreak/>
        <w:t>personalized level. For those with learning differences in whatever form, this approach is likely to ameliorate many of the</w:t>
      </w:r>
      <w:r>
        <w:t>ir</w:t>
      </w:r>
      <w:r w:rsidRPr="00D36F5D">
        <w:t xml:space="preserve"> current challenges</w:t>
      </w:r>
      <w:r>
        <w:t xml:space="preserve"> </w:t>
      </w:r>
      <w:r w:rsidRPr="00D36F5D">
        <w:t>(Lenz</w:t>
      </w:r>
      <w:r>
        <w:t xml:space="preserve"> et al.,</w:t>
      </w:r>
      <w:r w:rsidRPr="00D36F5D">
        <w:t xml:space="preserve"> 2016)</w:t>
      </w:r>
      <w:r>
        <w:t>,</w:t>
      </w:r>
      <w:r w:rsidRPr="00D36F5D">
        <w:t xml:space="preserve"> and hence make learning fairer and more equitable so that 'difference', 'disorder', 'difficulty', </w:t>
      </w:r>
      <w:r>
        <w:t xml:space="preserve">and </w:t>
      </w:r>
      <w:r w:rsidRPr="00D36F5D">
        <w:t>'deficit' will have much reduced relevance in a such a learning environment.</w:t>
      </w:r>
    </w:p>
    <w:p w14:paraId="0077CB58" w14:textId="4D9C331A" w:rsidR="007707AB" w:rsidRPr="00BC38E7" w:rsidRDefault="007707AB" w:rsidP="007707AB">
      <w:pPr>
        <w:pStyle w:val="Heading3"/>
      </w:pPr>
      <w:bookmarkStart w:id="54" w:name="_Toc9795732"/>
      <w:bookmarkStart w:id="55" w:name="_Toc57035896"/>
      <w:r>
        <w:t>IV</w:t>
      </w:r>
      <w:r w:rsidR="00E2724C">
        <w:tab/>
      </w:r>
      <w:r w:rsidRPr="00BC38E7">
        <w:t>Labels, categories, dilemmas of difference, inclusivity</w:t>
      </w:r>
      <w:bookmarkEnd w:id="54"/>
      <w:bookmarkEnd w:id="55"/>
    </w:p>
    <w:p w14:paraId="0EC0969C" w14:textId="77777777" w:rsidR="007707AB" w:rsidRDefault="007707AB" w:rsidP="007707AB">
      <w:r>
        <w:t>The</w:t>
      </w:r>
      <w:r w:rsidRPr="00510535">
        <w:t xml:space="preserve"> issue of difference has a long history both in education and in society more generally. Amongst communities of learning, educationalists and practitioners have agonized about how </w:t>
      </w:r>
      <w:r>
        <w:t xml:space="preserve">best </w:t>
      </w:r>
      <w:r w:rsidRPr="00510535">
        <w:t xml:space="preserve">to deal with learners who are 'different' without stigmatizing them on the basis of their difference. It </w:t>
      </w:r>
      <w:r>
        <w:t xml:space="preserve">should be taken as a ‘given’, </w:t>
      </w:r>
      <w:r w:rsidRPr="00510535">
        <w:t>that education and learning should inhabit a space in which prejudice is absent, in which everyone is treated fairly and non-judgmentally, where discrimination is not tolerated</w:t>
      </w:r>
      <w:r>
        <w:t>,</w:t>
      </w:r>
      <w:r w:rsidRPr="00510535">
        <w:t xml:space="preserve"> </w:t>
      </w:r>
      <w:r>
        <w:t>especially</w:t>
      </w:r>
      <w:r w:rsidRPr="00510535">
        <w:t xml:space="preserve"> where equality of opportunity underpins educational provision. </w:t>
      </w:r>
      <w:r>
        <w:t>Nevertheless,</w:t>
      </w:r>
      <w:r w:rsidRPr="00510535">
        <w:t xml:space="preserve"> identifying a trait of difference</w:t>
      </w:r>
      <w:r>
        <w:t xml:space="preserve"> - </w:t>
      </w:r>
      <w:r w:rsidRPr="00510535">
        <w:t xml:space="preserve"> where this is established by a dominant, majority group </w:t>
      </w:r>
      <w:r>
        <w:t xml:space="preserve">- </w:t>
      </w:r>
      <w:r w:rsidRPr="00510535">
        <w:t>will risk emboldening a conceptual</w:t>
      </w:r>
      <w:r>
        <w:t xml:space="preserve"> separation based on that trait; c</w:t>
      </w:r>
      <w:r w:rsidRPr="00510535">
        <w:t>onversely, non-identification of minority groups or a non-acknowledgement of difference equally risks discrimination through the application of majority norms and perspectives without regard for the possible alternative needs of a minority (Minow, 1985). Such is the dilemma of difference which has driven the inclusion/exclusion debate in education since it was recognized that not all learners learn in the same ways</w:t>
      </w:r>
      <w:r>
        <w:t>,</w:t>
      </w:r>
      <w:r w:rsidRPr="00510535">
        <w:t xml:space="preserve"> and hence that traditional, conventional teaching and curriculum delivery may not be suited to </w:t>
      </w:r>
      <w:r>
        <w:t>all learners</w:t>
      </w:r>
      <w:r w:rsidRPr="00510535">
        <w:t>.</w:t>
      </w:r>
      <w:r>
        <w:t xml:space="preserve"> </w:t>
      </w:r>
      <w:r w:rsidRPr="004200A9">
        <w:t>However</w:t>
      </w:r>
      <w:r>
        <w:t>,</w:t>
      </w:r>
      <w:r w:rsidRPr="004200A9">
        <w:t xml:space="preserve"> inclusion is variously conceptualised in educational contexts (Messiou, 2017) ranging from being primarily concerned with disability and special education needs</w:t>
      </w:r>
      <w:r>
        <w:t>,</w:t>
      </w:r>
      <w:r w:rsidRPr="004200A9">
        <w:t xml:space="preserve"> to defining inclusion as an objectively sta</w:t>
      </w:r>
      <w:r>
        <w:t>ndardizing approach to education and society</w:t>
      </w:r>
      <w:r w:rsidRPr="004200A9">
        <w:t xml:space="preserve"> through the adoption of values such as equity and respect for diversity (Ainscow </w:t>
      </w:r>
      <w:r>
        <w:t>et al.</w:t>
      </w:r>
      <w:r w:rsidRPr="004200A9">
        <w:t>, 2006).</w:t>
      </w:r>
      <w:r>
        <w:t xml:space="preserve"> </w:t>
      </w:r>
      <w:r w:rsidRPr="00A961F2">
        <w:t>Mess</w:t>
      </w:r>
      <w:r>
        <w:t>iou focuses on Ainscow’s</w:t>
      </w:r>
      <w:r w:rsidRPr="00A961F2">
        <w:t xml:space="preserve"> principled approach to defining inclusion adding that in practice, this means more than talking about the facilitation of active involvement and participation in learning contexts because it should embrace the wider concepts of presence and achievement as well as 'where' and 'how' children are educated. In other words, focusing on all students rather than on differentiated groups (op cit), which implies that to do otherwise may lead to marginalization and feelings of 'otherness' (French &amp; Herrington, 2008</w:t>
      </w:r>
      <w:r>
        <w:t>;</w:t>
      </w:r>
      <w:r w:rsidRPr="00A961F2">
        <w:t xml:space="preserve"> Mortimore, 2013).</w:t>
      </w:r>
    </w:p>
    <w:p w14:paraId="0D5E9586" w14:textId="43C597CC" w:rsidR="007707AB" w:rsidRDefault="007707AB" w:rsidP="007707AB">
      <w:r w:rsidRPr="0046708C">
        <w:t xml:space="preserve">In the face of this being quite a convincing social justice perspective on inclusivity in education, by taking </w:t>
      </w:r>
      <w:r>
        <w:t xml:space="preserve">a reactionary and critical </w:t>
      </w:r>
      <w:r w:rsidRPr="0046708C">
        <w:t>standpoint</w:t>
      </w:r>
      <w:r>
        <w:t>,</w:t>
      </w:r>
      <w:r w:rsidRPr="0046708C">
        <w:t xml:space="preserve"> it might be argued that there is an alternative, well-rehearsed polemic that has sought to justify the categorization of learners as a convenient exercise in expediency. </w:t>
      </w:r>
      <w:r w:rsidRPr="00A961F2">
        <w:t>That is, as essential for establishing rights to differentiated 'support', this being considered the most efficacious form of intervention as a mechanism which outwardly at least, is</w:t>
      </w:r>
      <w:r>
        <w:t xml:space="preserve"> </w:t>
      </w:r>
      <w:r w:rsidRPr="00A961F2">
        <w:t xml:space="preserve">designed to meet the different learning needs of minority groups (Elliott &amp; Gibbs, 2008). This is support which aims metaphorically </w:t>
      </w:r>
      <w:r>
        <w:t xml:space="preserve">to </w:t>
      </w:r>
      <w:r w:rsidRPr="00A961F2">
        <w:lastRenderedPageBreak/>
        <w:t>shoe-horn a learner labelled with 'special needs' into a conventional learning box</w:t>
      </w:r>
      <w:r>
        <w:t>. I</w:t>
      </w:r>
      <w:r w:rsidRPr="00A961F2">
        <w:t xml:space="preserve">n </w:t>
      </w:r>
      <w:r>
        <w:t>HE</w:t>
      </w:r>
      <w:r w:rsidRPr="00A961F2">
        <w:t xml:space="preserve"> context</w:t>
      </w:r>
      <w:r>
        <w:t>s</w:t>
      </w:r>
      <w:r w:rsidRPr="00A961F2">
        <w:t xml:space="preserve">, this </w:t>
      </w:r>
      <w:r>
        <w:t xml:space="preserve">may </w:t>
      </w:r>
      <w:r w:rsidRPr="00A961F2">
        <w:t>be through the application of 'reasonable adjustments' to curriculum access as a remedi</w:t>
      </w:r>
      <w:r w:rsidR="008D0258">
        <w:t>al</w:t>
      </w:r>
      <w:r w:rsidRPr="00A961F2">
        <w:t xml:space="preserve"> process to compensate for learning challenges</w:t>
      </w:r>
      <w:r>
        <w:t xml:space="preserve"> purportedly</w:t>
      </w:r>
      <w:r w:rsidRPr="00A961F2">
        <w:t xml:space="preserve"> attributed to these individuals' apparent learning disabilities. Outwardly, this is neat, usually well-meaning, ticks boxes, appears to match learner-need to institutional provision, and ostensibly </w:t>
      </w:r>
      <w:r>
        <w:t xml:space="preserve">levels the </w:t>
      </w:r>
      <w:r w:rsidRPr="00A961F2">
        <w:t xml:space="preserve">academic playing field so </w:t>
      </w:r>
      <w:r>
        <w:t xml:space="preserve">that </w:t>
      </w:r>
      <w:r w:rsidRPr="00A961F2">
        <w:t xml:space="preserve">such learners </w:t>
      </w:r>
      <w:r>
        <w:t>can</w:t>
      </w:r>
      <w:r w:rsidRPr="00A961F2">
        <w:t xml:space="preserve"> 'perform' in a fair and comparable way with their peers. </w:t>
      </w:r>
      <w:r>
        <w:t>An a</w:t>
      </w:r>
      <w:r w:rsidRPr="00F559AF">
        <w:t xml:space="preserve">nalysis of datasets provided by </w:t>
      </w:r>
      <w:r>
        <w:t>the Higher Education Statistics Agency (</w:t>
      </w:r>
      <w:r w:rsidRPr="00F559AF">
        <w:t>HESA</w:t>
      </w:r>
      <w:r>
        <w:t>)</w:t>
      </w:r>
      <w:r w:rsidRPr="00F559AF">
        <w:t xml:space="preserve"> </w:t>
      </w:r>
      <w:r>
        <w:t xml:space="preserve">showed </w:t>
      </w:r>
      <w:r w:rsidRPr="00F559AF">
        <w:t xml:space="preserve">that this appears to work for most categories of disabled learners in </w:t>
      </w:r>
      <w:r>
        <w:t>HE</w:t>
      </w:r>
      <w:r w:rsidRPr="00F559AF">
        <w:t>, also demonstrating that where some groups did appear to be under-performing, this was due to confounding factors</w:t>
      </w:r>
      <w:r>
        <w:t xml:space="preserve"> </w:t>
      </w:r>
      <w:r w:rsidRPr="00F559AF">
        <w:t>unrelated to their disabilities</w:t>
      </w:r>
      <w:r>
        <w:t xml:space="preserve"> (Richardson, 2009)</w:t>
      </w:r>
      <w:r w:rsidRPr="00F559AF">
        <w:t>. However</w:t>
      </w:r>
      <w:r>
        <w:t>,</w:t>
      </w:r>
      <w:r w:rsidRPr="00F559AF">
        <w:t xml:space="preserve"> even setting aside the undesirability of such solutions in the context of a properly inclusive practice, </w:t>
      </w:r>
      <w:r>
        <w:t xml:space="preserve">it is possible that </w:t>
      </w:r>
      <w:r w:rsidRPr="00F559AF">
        <w:t xml:space="preserve">such accommodations may positively discriminate </w:t>
      </w:r>
      <w:r>
        <w:t xml:space="preserve">against </w:t>
      </w:r>
      <w:r w:rsidRPr="00F559AF">
        <w:t>learners who present 'differences' leading to unfair academic advantage because the 'reasonable adjustments' that have been made were somewhat arbitrarily determined and lack scientific justification (Williams &amp; Ceci, 1999). Indeed it has been reported that some students, witnessing their friends and peers in possession of newly-provided laptops, study-skills support tutorials and extra time to complete their exams</w:t>
      </w:r>
      <w:r>
        <w:t>,</w:t>
      </w:r>
      <w:r w:rsidRPr="00F559AF">
        <w:t xml:space="preserve"> all of which has been provided through support funding, go to some lengths to feign difficulties in order to gain what they perceive to be an equivalent-to-their-friends, but better-than-equal academic advantage over others not deemed smart enough to play the system (Harrison </w:t>
      </w:r>
      <w:r>
        <w:t>et al.</w:t>
      </w:r>
      <w:r w:rsidRPr="00F559AF">
        <w:t>, 2008</w:t>
      </w:r>
      <w:r>
        <w:t>;</w:t>
      </w:r>
      <w:r w:rsidRPr="00F559AF">
        <w:t xml:space="preserve"> Lindstrom </w:t>
      </w:r>
      <w:r>
        <w:t>et al.</w:t>
      </w:r>
      <w:r w:rsidRPr="00F559AF">
        <w:t>, 2011).</w:t>
      </w:r>
    </w:p>
    <w:p w14:paraId="009AF32A" w14:textId="77777777" w:rsidR="007707AB" w:rsidRDefault="007707AB" w:rsidP="007707AB">
      <w:r>
        <w:t>For dyslexia, t</w:t>
      </w:r>
      <w:r w:rsidRPr="003363F7">
        <w:t xml:space="preserve">here is some argument to suggest that, contrary to being associated with persistent failure (Tanner, 2009), attaching the label of dyslexia </w:t>
      </w:r>
      <w:r>
        <w:t xml:space="preserve">(however defined) </w:t>
      </w:r>
      <w:r w:rsidRPr="003363F7">
        <w:t>to a learner can be an enabling and empowering process at university</w:t>
      </w:r>
      <w:r>
        <w:t>,</w:t>
      </w:r>
      <w:r w:rsidRPr="003363F7">
        <w:t xml:space="preserve"> exactly because it opens access to support and additional aids, especially </w:t>
      </w:r>
      <w:r>
        <w:t xml:space="preserve">assistive </w:t>
      </w:r>
      <w:r w:rsidRPr="003363F7">
        <w:t xml:space="preserve">technology which </w:t>
      </w:r>
      <w:r>
        <w:t xml:space="preserve">can </w:t>
      </w:r>
      <w:r w:rsidRPr="003363F7">
        <w:t xml:space="preserve">have a significantly positive impact on study (Draffan </w:t>
      </w:r>
      <w:r>
        <w:t>et al.</w:t>
      </w:r>
      <w:r w:rsidRPr="003363F7">
        <w:t xml:space="preserve">, 2007). It has been demonstrated that the psychosocial impacts of being designated as dyslexic have led some individuals to embrace their dyslexia and to identify and use many personal strengths in striving for success, in whatever field (Nalavany </w:t>
      </w:r>
      <w:r>
        <w:t>et al.</w:t>
      </w:r>
      <w:r w:rsidRPr="003363F7">
        <w:t xml:space="preserve">, 2011). </w:t>
      </w:r>
      <w:r w:rsidRPr="00B9760B">
        <w:t>Outwardly this seems to be strongly aligned with the neurodiversity approach</w:t>
      </w:r>
      <w:r>
        <w:t>;</w:t>
      </w:r>
      <w:r w:rsidRPr="00B9760B">
        <w:t xml:space="preserve"> however Grant (2009) points out that neurocognitive profiles are complicated and that the identification of a specific learning difference might inadvertently be obfuscated by a diagnostic label, citing dyslexia and dyspraxia as being very different</w:t>
      </w:r>
      <w:r>
        <w:t xml:space="preserve">, </w:t>
      </w:r>
      <w:r w:rsidRPr="00B9760B">
        <w:t>but which share many, perhaps confusing similarit</w:t>
      </w:r>
      <w:r>
        <w:t>ies at the neurocognitive level</w:t>
      </w:r>
      <w:r w:rsidRPr="003363F7">
        <w:t>. Ho (2004) argued that despite the 'learning disability' label being a prerequisite for access to differentiated provision in learning environments and indeed, civil rights protections, these directives and legislations have typically provided a highly expedient route for the tacit adoption</w:t>
      </w:r>
      <w:r>
        <w:t xml:space="preserve"> of</w:t>
      </w:r>
      <w:r w:rsidRPr="003363F7">
        <w:t xml:space="preserve"> the medical model of learning disabilities by official channels and processes</w:t>
      </w:r>
      <w:r>
        <w:t>. This is</w:t>
      </w:r>
      <w:r w:rsidRPr="003363F7">
        <w:t xml:space="preserve"> where disability is considered as the disabled </w:t>
      </w:r>
      <w:r w:rsidRPr="003363F7">
        <w:lastRenderedPageBreak/>
        <w:t>individual's</w:t>
      </w:r>
      <w:r>
        <w:t xml:space="preserve"> </w:t>
      </w:r>
      <w:r w:rsidRPr="003363F7">
        <w:t xml:space="preserve">fault - and hence </w:t>
      </w:r>
      <w:r>
        <w:t xml:space="preserve">enables institutions to </w:t>
      </w:r>
      <w:r w:rsidRPr="003363F7">
        <w:t xml:space="preserve">pay less attention or even ignore completely </w:t>
      </w:r>
      <w:r>
        <w:t xml:space="preserve">their </w:t>
      </w:r>
      <w:r w:rsidRPr="003363F7">
        <w:t>challen</w:t>
      </w:r>
      <w:r>
        <w:t>ges in educational systems. O</w:t>
      </w:r>
      <w:r w:rsidRPr="003363F7">
        <w:t>ne conclusion that may be drawn here is that</w:t>
      </w:r>
      <w:r>
        <w:t xml:space="preserve"> </w:t>
      </w:r>
      <w:r w:rsidRPr="003363F7">
        <w:t>wherever schools</w:t>
      </w:r>
      <w:r>
        <w:t xml:space="preserve"> </w:t>
      </w:r>
      <w:r w:rsidRPr="003363F7">
        <w:t xml:space="preserve">and universities persist in relying heavily on reading to impart and subsequently to gain knowledge, and require writing to be the principal medium </w:t>
      </w:r>
      <w:r>
        <w:t xml:space="preserve">through which </w:t>
      </w:r>
      <w:r w:rsidRPr="003363F7">
        <w:t xml:space="preserve">learners </w:t>
      </w:r>
      <w:r>
        <w:t xml:space="preserve">can express their ideas and be assessed, </w:t>
      </w:r>
      <w:r w:rsidRPr="003363F7">
        <w:t>explaining the poor performance of some groups by pathologizing them may enable institutions to avoid examining their own failures (Chanock, 2007).</w:t>
      </w:r>
      <w:r>
        <w:t xml:space="preserve"> </w:t>
      </w:r>
      <w:r w:rsidRPr="00C50A30">
        <w:t>Although this might be viewed as a stinging appraisal of well-intentioned attempts to accommodate differences</w:t>
      </w:r>
      <w:r>
        <w:t>,</w:t>
      </w:r>
      <w:r w:rsidRPr="00C50A30">
        <w:t xml:space="preserve"> it cuts to the quick of how the agendas of inclusivity </w:t>
      </w:r>
      <w:r>
        <w:t xml:space="preserve">ought to </w:t>
      </w:r>
      <w:r w:rsidRPr="00C50A30">
        <w:t xml:space="preserve">be both designed and </w:t>
      </w:r>
      <w:r>
        <w:t xml:space="preserve">properly </w:t>
      </w:r>
      <w:r w:rsidRPr="00C50A30">
        <w:t xml:space="preserve">implemented in learning institutions to </w:t>
      </w:r>
      <w:r>
        <w:t xml:space="preserve">ensure that </w:t>
      </w:r>
      <w:r w:rsidRPr="00C50A30">
        <w:t xml:space="preserve">equitable learning opportunities </w:t>
      </w:r>
      <w:r>
        <w:t xml:space="preserve">are provided </w:t>
      </w:r>
      <w:r w:rsidRPr="00C50A30">
        <w:t>for all</w:t>
      </w:r>
      <w:r>
        <w:t>.</w:t>
      </w:r>
    </w:p>
    <w:p w14:paraId="536F33F0" w14:textId="1EBB92F8" w:rsidR="007707AB" w:rsidRDefault="007707AB" w:rsidP="007707AB">
      <w:r>
        <w:t>Further</w:t>
      </w:r>
      <w:r w:rsidRPr="006E1208">
        <w:t xml:space="preserve"> arguments focus on stigmatization associated with 'difference': On the disability agenda, the relationship between disability and stigma </w:t>
      </w:r>
      <w:r>
        <w:t xml:space="preserve">is examined, </w:t>
      </w:r>
      <w:r w:rsidRPr="006E1208">
        <w:t xml:space="preserve">with several </w:t>
      </w:r>
      <w:r>
        <w:t xml:space="preserve">studies </w:t>
      </w:r>
      <w:r w:rsidRPr="006E1208">
        <w:t>drawing on soc</w:t>
      </w:r>
      <w:r>
        <w:t>ial identity theory. O</w:t>
      </w:r>
      <w:r w:rsidRPr="006E1208">
        <w:t xml:space="preserve">riginally theorized by Tajfel </w:t>
      </w:r>
      <w:r>
        <w:t>and</w:t>
      </w:r>
      <w:r w:rsidRPr="006E1208">
        <w:t xml:space="preserve"> Turner (1979)</w:t>
      </w:r>
      <w:r>
        <w:t>,</w:t>
      </w:r>
      <w:r w:rsidRPr="006E1208">
        <w:t xml:space="preserve"> </w:t>
      </w:r>
      <w:r>
        <w:t xml:space="preserve">it was </w:t>
      </w:r>
      <w:r w:rsidRPr="006E1208">
        <w:t>suggested that part of an individual's concept of who they are, their self-identity, comes from their sense of belonging to a particular group, hence their social identity. Moreover, that as part of their group, individuals align themselves with group identity, norms, attitudes</w:t>
      </w:r>
      <w:r>
        <w:t>,</w:t>
      </w:r>
      <w:r w:rsidRPr="006E1208">
        <w:t xml:space="preserve"> and behaviours (Tajfel, 1982). </w:t>
      </w:r>
      <w:r>
        <w:t>I</w:t>
      </w:r>
      <w:r w:rsidRPr="006E1208">
        <w:t xml:space="preserve">n a </w:t>
      </w:r>
      <w:r>
        <w:t xml:space="preserve">later </w:t>
      </w:r>
      <w:r w:rsidRPr="006E1208">
        <w:t>study about disability identification</w:t>
      </w:r>
      <w:r>
        <w:t xml:space="preserve">, </w:t>
      </w:r>
      <w:r w:rsidRPr="006E1208">
        <w:t xml:space="preserve">Nario-Redmond </w:t>
      </w:r>
      <w:r>
        <w:t>et al.</w:t>
      </w:r>
      <w:r w:rsidRPr="006E1208">
        <w:t xml:space="preserve"> (2012) </w:t>
      </w:r>
      <w:r>
        <w:t xml:space="preserve">supported the view </w:t>
      </w:r>
      <w:r w:rsidRPr="006E1208">
        <w:t>that individuals may cope with stigma by applying strategies that seek to minimize stigmatized attributes</w:t>
      </w:r>
      <w:r>
        <w:t>,</w:t>
      </w:r>
      <w:r w:rsidRPr="006E1208">
        <w:t xml:space="preserve"> often accompanied by active membership of stigmatized groups in order to enjoy the benefit of collective strategies as a means of self-protection</w:t>
      </w:r>
      <w:r>
        <w:t xml:space="preserve">. </w:t>
      </w:r>
      <w:r w:rsidRPr="008D4E09">
        <w:t>A</w:t>
      </w:r>
      <w:r>
        <w:t xml:space="preserve">n </w:t>
      </w:r>
      <w:r w:rsidRPr="008D4E09">
        <w:t xml:space="preserve">earlier study </w:t>
      </w:r>
      <w:r>
        <w:t xml:space="preserve">had </w:t>
      </w:r>
      <w:r w:rsidRPr="008D4E09">
        <w:t>identified the self-protective dimension of group attachments</w:t>
      </w:r>
      <w:r>
        <w:t>,</w:t>
      </w:r>
      <w:r w:rsidRPr="008D4E09">
        <w:t xml:space="preserve"> especially where the group is representative of individuals marginalized by the wider society as a result of their difference, whether this be through disability or any other minority characteristic judged to be worthy of exclusion by the conformist majority (Crocker &amp; Major, 1989). Social stigma itself can be disabling and the social stigma attached to disability is particularly so, not least due to a historical attribution of disability to the individual themselves - that is, adopting the medical model of disability which considers a disabling condition pathologically (Burch &amp; Sutherland, 2006). </w:t>
      </w:r>
      <w:r>
        <w:t>However</w:t>
      </w:r>
      <w:r w:rsidRPr="00BC38E7">
        <w:t xml:space="preserve">, there is a significant body of research that identifies disadvantages in all walks of life that result from the stigmatization of disabilities (e.g.: McLaughlin, </w:t>
      </w:r>
      <w:r>
        <w:t>et al.</w:t>
      </w:r>
      <w:r w:rsidRPr="00BC38E7">
        <w:t>, 2004</w:t>
      </w:r>
      <w:r>
        <w:t>;</w:t>
      </w:r>
      <w:r w:rsidRPr="00BC38E7">
        <w:t xml:space="preserve"> Morris &amp; Turnbill, 2007</w:t>
      </w:r>
      <w:r>
        <w:t>;</w:t>
      </w:r>
      <w:r w:rsidRPr="00BC38E7">
        <w:t xml:space="preserve"> Trammel, 2009). Even in educational contexts and when the term is arguably softened to 'difficulties' or even more so to 'differences', the picture remains far from clear with one study (Riddick, 2000) suggesting that stigmatization may already exist in advance of labelling, or even in the absence of labelling at all</w:t>
      </w:r>
      <w:r>
        <w:t xml:space="preserve">, or that </w:t>
      </w:r>
      <w:r w:rsidRPr="00BC38E7">
        <w:t xml:space="preserve">there is not necessarily a connection between labels of so-called impairment and the categorization of those who require additional or different provision (Norwich, 1999). </w:t>
      </w:r>
      <w:r>
        <w:t>Sometimes a</w:t>
      </w:r>
      <w:r w:rsidRPr="002033B9">
        <w:t xml:space="preserve"> stigma is more associated with </w:t>
      </w:r>
      <w:r>
        <w:t xml:space="preserve">the </w:t>
      </w:r>
      <w:r w:rsidRPr="002033B9">
        <w:t xml:space="preserve">additional, and sometimes highly visible, learning support designed to ameliorate some learning challenges (Mortimore, 2013) - </w:t>
      </w:r>
      <w:r w:rsidRPr="002033B9">
        <w:lastRenderedPageBreak/>
        <w:t>students accompanied by note-takers for example - with some studies reporting a measurable social bias against individuals with learning disabilities who were perceived less favourably than their non-disabled peers (e</w:t>
      </w:r>
      <w:r>
        <w:t>.</w:t>
      </w:r>
      <w:r w:rsidRPr="002033B9">
        <w:t>g</w:t>
      </w:r>
      <w:r>
        <w:t>.</w:t>
      </w:r>
      <w:r w:rsidRPr="002033B9">
        <w:t>: Tanner, 2009</w:t>
      </w:r>
      <w:r>
        <w:t>;</w:t>
      </w:r>
      <w:r w:rsidRPr="002033B9">
        <w:t xml:space="preserve"> Valas,</w:t>
      </w:r>
      <w:r>
        <w:t xml:space="preserve"> 1999). S</w:t>
      </w:r>
      <w:r w:rsidRPr="002033B9">
        <w:t>imilar evidence relating to this kind of social bias was recorded in a study exploring the disclosure of dyslexia in cohorts of students who successfully entered university to train as nurses</w:t>
      </w:r>
      <w:r>
        <w:t>,</w:t>
      </w:r>
      <w:r w:rsidRPr="002033B9">
        <w:t xml:space="preserve"> which highlighted the unease of these student-nurses about their local learning communities becoming aware of their dyslexia (Morris &amp; Turnbill, 2007)</w:t>
      </w:r>
      <w:r>
        <w:t>. I</w:t>
      </w:r>
      <w:r w:rsidRPr="002033B9">
        <w:t>t is possible</w:t>
      </w:r>
      <w:r>
        <w:t xml:space="preserve"> however,</w:t>
      </w:r>
      <w:r w:rsidRPr="002033B9">
        <w:t xml:space="preserve"> this may have been confounded by nurses' awareness of workplace regulations relating to fitness to practice</w:t>
      </w:r>
      <w:r>
        <w:t>,</w:t>
      </w:r>
      <w:r w:rsidRPr="002033B9">
        <w:t xml:space="preserve"> and how their dyslexia may very significantly reduce their likelihood of gaining employment. It has also been recorded that the dyslexia (learning disability) label might even produce a differential perception of future life success and other attributes such as attractiveness or emotional stability despite such a label presenting no indication whatsoever about any of these attributes or characteristics (Lisle &amp; Wade, 201</w:t>
      </w:r>
      <w:r>
        <w:t>3</w:t>
      </w:r>
      <w:r w:rsidRPr="002033B9">
        <w:t xml:space="preserve">). Perhaps </w:t>
      </w:r>
      <w:r>
        <w:t>of greater concern</w:t>
      </w:r>
      <w:r w:rsidRPr="002033B9">
        <w:t>, is evidence that parents and teachers may have lower academic expectations of young people attributed with learning disabilities or dyslexia based on a perceived predictive notion attached to the label (Shifrer, 2013</w:t>
      </w:r>
      <w:r>
        <w:t>;</w:t>
      </w:r>
      <w:r w:rsidRPr="002033B9">
        <w:t xml:space="preserve"> Hornstra </w:t>
      </w:r>
      <w:r>
        <w:t>et al.</w:t>
      </w:r>
      <w:r w:rsidRPr="002033B9">
        <w:t>, 2014) and that in some cases, institutional processes have been reported to contribute</w:t>
      </w:r>
      <w:r>
        <w:t xml:space="preserve"> significantly</w:t>
      </w:r>
      <w:r w:rsidRPr="002033B9">
        <w:t xml:space="preserve"> to students labelled as 'learning-disabled'</w:t>
      </w:r>
      <w:r>
        <w:t>,</w:t>
      </w:r>
      <w:r w:rsidRPr="002033B9">
        <w:t xml:space="preserve"> choosing study options broadly perceived to be less academic (Shifrer </w:t>
      </w:r>
      <w:r>
        <w:t>et al.</w:t>
      </w:r>
      <w:r w:rsidRPr="002033B9">
        <w:t>, 2013).</w:t>
      </w:r>
    </w:p>
    <w:p w14:paraId="7CEE80AB" w14:textId="77777777" w:rsidR="00384145" w:rsidRDefault="007707AB" w:rsidP="007707AB">
      <w:r w:rsidRPr="00BC38E7">
        <w:t>Stanovich has written extensively on dyslexia, on inclusivity and the impact of the labelling of differen</w:t>
      </w:r>
      <w:r>
        <w:t>ces (e.g.: Stanovich, 1988; 1996; 1999; 2005). His position firstly is to promote</w:t>
      </w:r>
      <w:r w:rsidRPr="00BC38E7">
        <w:t xml:space="preserve"> debate about whether dyslexia per se exists, a viewpoint that has emerged from the research and scientific difficulties that he claims arise from attempts to differentiate dyslexia from other poor lit</w:t>
      </w:r>
      <w:r>
        <w:t xml:space="preserve">eracy skills; and secondly, </w:t>
      </w:r>
      <w:r w:rsidRPr="00BC38E7">
        <w:t>given that dyslexia in some definition or another is quantifiable, argues that as long as the learning disability agenda remains attached to aptitude-achievement discrepancy measurement and fails to be more self-critical about its own claims, (Stanovich, 1999), its home in the field of research will advance only slowly. Indeed</w:t>
      </w:r>
      <w:r>
        <w:t>,</w:t>
      </w:r>
      <w:r w:rsidRPr="00BC38E7">
        <w:t xml:space="preserve"> a short time later he described the learning disabilities field as </w:t>
      </w:r>
      <w:r>
        <w:rPr>
          <w:iCs/>
        </w:rPr>
        <w:t>“</w:t>
      </w:r>
      <w:r w:rsidRPr="00CE3CF8">
        <w:rPr>
          <w:iCs/>
        </w:rPr>
        <w:t>not ... on a scientific footing and continu[ing] to operate on the borders of pseudoscience</w:t>
      </w:r>
      <w:r>
        <w:t>”</w:t>
      </w:r>
      <w:r w:rsidRPr="00BC38E7">
        <w:t xml:space="preserve"> (Stanovich, 2005, p103). </w:t>
      </w:r>
      <w:r>
        <w:t xml:space="preserve">This position clearly </w:t>
      </w:r>
      <w:r w:rsidRPr="00BC38E7">
        <w:t xml:space="preserve">advocates a more inclusive definition of learning disabilities </w:t>
      </w:r>
      <w:r>
        <w:t xml:space="preserve">to </w:t>
      </w:r>
      <w:r w:rsidRPr="00BC38E7">
        <w:t xml:space="preserve">one which effectively discards the term entirely because it is </w:t>
      </w:r>
      <w:r>
        <w:t>“</w:t>
      </w:r>
      <w:r w:rsidRPr="00A47921">
        <w:t>redundant and semantically confusing</w:t>
      </w:r>
      <w:r>
        <w:t>”</w:t>
      </w:r>
      <w:r w:rsidRPr="00BC38E7">
        <w:t xml:space="preserve"> (op cit, p350) a persistent argument that others echo.</w:t>
      </w:r>
    </w:p>
    <w:p w14:paraId="5A51EFAA" w14:textId="77777777" w:rsidR="00384145" w:rsidRDefault="007707AB" w:rsidP="007707AB">
      <w:r w:rsidRPr="00BC38E7">
        <w:t xml:space="preserve">Lauchlan </w:t>
      </w:r>
      <w:r>
        <w:t>and</w:t>
      </w:r>
      <w:r w:rsidRPr="00BC38E7">
        <w:t xml:space="preserve"> Boyle (2007) broadly question the use of labels in special education, concluding that aside from being necessary in order to gain access for support and funding related to disability legislation, the negative effects on the individual can be considerable and may include stigmatization, bullying, reduced opportunities in life and </w:t>
      </w:r>
      <w:r w:rsidRPr="00BC38E7">
        <w:lastRenderedPageBreak/>
        <w:t>perhaps more significantly, lowered expectations about what a 'labelled' individual can achieve (i</w:t>
      </w:r>
      <w:r>
        <w:t>bid)</w:t>
      </w:r>
      <w:r w:rsidRPr="00BC38E7">
        <w:t xml:space="preserve">. Norwich (1999, 2008, 2010) has written extensively about the connotations of labelling, persistently arguing for a cleaner understanding of differences in educational contexts because labels are all too frequently stigmatizing and themselves disabling, referring to the 'dilemma of difference' in relation to arguments 'for' and 'against' curriculum commonality/differentiation for best meeting the educational needs of differently-abled learners. Armstrong </w:t>
      </w:r>
      <w:r>
        <w:t>and</w:t>
      </w:r>
      <w:r w:rsidRPr="00BC38E7">
        <w:t xml:space="preserve"> Humphrey (2008) suggest a 'resistance-accommodation' model to explain psychological reactions to a 'formal' identification of dyslexia, the 'resistance' side of which is typically characterized by a disinclination to absorb the idea of dyslexia into the self-concept, </w:t>
      </w:r>
      <w:r>
        <w:t xml:space="preserve">possibly resulting from </w:t>
      </w:r>
      <w:r w:rsidRPr="00BC38E7">
        <w:t>more often, negatively vicarious experiences of the stigmatization attached to 'difference', whereas the 'accommodation' side is suggested to take a broadly positive view by making a greater effort to focus and build on the strengths that accompany a dyslexic profile</w:t>
      </w:r>
      <w:r>
        <w:t>,</w:t>
      </w:r>
      <w:r w:rsidRPr="00BC38E7">
        <w:t xml:space="preserve"> rather than dwell on difficulties and challenges.</w:t>
      </w:r>
      <w:r>
        <w:t xml:space="preserve"> </w:t>
      </w:r>
      <w:r w:rsidRPr="00BC38E7">
        <w:t xml:space="preserve">McPhail </w:t>
      </w:r>
      <w:r>
        <w:t>and</w:t>
      </w:r>
      <w:r w:rsidRPr="00BC38E7">
        <w:t xml:space="preserve"> Freeman (2005) have an interesting perspective on tackling the challenges of transforming learning environments and pedagogical practices into genuinely more inclusive ones by exploring the 'colonizing discourses' that disenfranchise learners with disabilities or differences throug</w:t>
      </w:r>
      <w:r>
        <w:t xml:space="preserve">h a process of being 'othered', or </w:t>
      </w:r>
      <w:r w:rsidRPr="00194800">
        <w:t>how difference or disability is a separatist construction that is then the submissive party in societal power and control relationships.</w:t>
      </w:r>
      <w:r>
        <w:t xml:space="preserve"> </w:t>
      </w:r>
      <w:r w:rsidRPr="00BC38E7">
        <w:t xml:space="preserve">Their conclusions broadly urge educationalists to have the </w:t>
      </w:r>
      <w:r>
        <w:t>“</w:t>
      </w:r>
      <w:r w:rsidRPr="00BC38E7">
        <w:t>courage to confront educational ideas and practices that limit the rights of many student groups</w:t>
      </w:r>
      <w:r>
        <w:t>”</w:t>
      </w:r>
      <w:r w:rsidRPr="00BC38E7">
        <w:t xml:space="preserve"> (ibid, p284).</w:t>
      </w:r>
    </w:p>
    <w:p w14:paraId="639EE7F3" w14:textId="602DDBB1" w:rsidR="007707AB" w:rsidRPr="00BC38E7" w:rsidRDefault="007707AB" w:rsidP="007707AB">
      <w:r w:rsidRPr="00BC38E7">
        <w:t>Pollak (2005) reports that one of the prejudicious aspects of describing the capabilities of individuals under assessment is the common use of norm-referenced comparisons. This idea is inherently derived from the long-established process of aligning measurements of learning competencies to dubious evaluations of 'intelligence', standardized as these might be (for example Wechsler Intelligence Scale assessments</w:t>
      </w:r>
      <w:r>
        <w:t xml:space="preserve"> (Weschler, 1974)) although it is acknowledged that whereas an absolute score achieved in a test might be arbitrary, taking account of where this score falls in the wider distribution of similar results can be more meaningful. However</w:t>
      </w:r>
      <w:r w:rsidR="008D0258">
        <w:t>,</w:t>
      </w:r>
      <w:r>
        <w:t xml:space="preserve"> it might argued that such assessments generally </w:t>
      </w:r>
      <w:r w:rsidRPr="00BC38E7">
        <w:t xml:space="preserve">fail to accommodate </w:t>
      </w:r>
      <w:r>
        <w:t xml:space="preserve">evaluations of </w:t>
      </w:r>
      <w:r w:rsidRPr="00BC38E7">
        <w:t xml:space="preserve">competencies and strengths </w:t>
      </w:r>
      <w:r>
        <w:t>that</w:t>
      </w:r>
      <w:r w:rsidRPr="00BC38E7">
        <w:t xml:space="preserve"> fall outside the conventional framework of 'normal' learning capabilities - that is, in accordance with liter</w:t>
      </w:r>
      <w:r>
        <w:t>acy-dominant education systems, which is consistent with Stanovich’s position on the limitations of intelligence-based aptitude competency assessments. However, ‘c</w:t>
      </w:r>
      <w:r w:rsidRPr="000C34CD">
        <w:t>apabilities' in the context of 'special educational needs', is less than ideal</w:t>
      </w:r>
      <w:r>
        <w:t xml:space="preserve"> as a descriptor (Norwich, 2013)</w:t>
      </w:r>
      <w:r w:rsidRPr="000C34CD">
        <w:t xml:space="preserve">. The 'capability approach' has its roots in the field of welfare economics, particularly in relation to the assessment of personal well-being and advantage (Sen, 1999) where the thesis is about individuals' capabilities to function. Norwich (op cit) puts the capability approach into an educational context by highlighting focus on diversity as a </w:t>
      </w:r>
      <w:r w:rsidRPr="000C34CD">
        <w:lastRenderedPageBreak/>
        <w:t xml:space="preserve">framework for human development viewed through the lens of social justice which is an interesting parallel to Cooper's thesis on diversity taken from a neurological perspective as discussed </w:t>
      </w:r>
      <w:r>
        <w:t>earlier (sub-section 2.1(II))</w:t>
      </w:r>
      <w:r w:rsidRPr="000C34CD">
        <w:t xml:space="preserve">. This all has considerable relevance to disability in general but particularly to disability in education where the emphasis on everyone becoming more functionally able (Hughes, 2010) is clearly aligned with the </w:t>
      </w:r>
      <w:r>
        <w:t>principles</w:t>
      </w:r>
      <w:r w:rsidRPr="000C34CD">
        <w:t xml:space="preserve"> of inclusivity and the equal accommodation of difference</w:t>
      </w:r>
      <w:r>
        <w:t>,</w:t>
      </w:r>
      <w:r w:rsidRPr="000C34CD">
        <w:t xml:space="preserve"> because the focus is inherently positive as opposed to dwelling on deficits,</w:t>
      </w:r>
      <w:r>
        <w:t xml:space="preserve"> which connects </w:t>
      </w:r>
      <w:r w:rsidRPr="000C34CD">
        <w:t>well with the principles of Universal Design for Learning outlined above.</w:t>
      </w:r>
      <w:r w:rsidRPr="00BC38E7">
        <w:t> </w:t>
      </w:r>
    </w:p>
    <w:p w14:paraId="62354C56" w14:textId="3942A22B" w:rsidR="007707AB" w:rsidRPr="00BC38E7" w:rsidRDefault="007707AB" w:rsidP="007707AB">
      <w:pPr>
        <w:pStyle w:val="Heading3"/>
      </w:pPr>
      <w:bookmarkStart w:id="56" w:name="_Toc9795733"/>
      <w:bookmarkStart w:id="57" w:name="_Toc57035897"/>
      <w:r>
        <w:t>V</w:t>
      </w:r>
      <w:r w:rsidR="00E2724C">
        <w:tab/>
      </w:r>
      <w:r w:rsidRPr="00BC38E7">
        <w:t>Impact of the process of identificatio</w:t>
      </w:r>
      <w:r>
        <w:t>n</w:t>
      </w:r>
      <w:bookmarkEnd w:id="56"/>
      <w:bookmarkEnd w:id="57"/>
    </w:p>
    <w:p w14:paraId="7E5D38B8" w14:textId="77777777" w:rsidR="00384145" w:rsidRDefault="007707AB" w:rsidP="007707AB">
      <w:r w:rsidRPr="00143609">
        <w:t>Exploring the immediate emotional and affective impact that the process of evidencing and documenting a learner's study difficulties has on the individual under scrutiny is a pertinent and emerging research field. (Armstrong &amp; Humphrey, 2008). Perhaps as an indication of an increasing awareness of the value of finding out more about how an individual with dyslexia feels about their dyslexia, studies that relate life or learning histories of individuals with dyslexia</w:t>
      </w:r>
      <w:r>
        <w:t xml:space="preserve"> are becoming more widespread</w:t>
      </w:r>
      <w:r w:rsidRPr="00143609">
        <w:t xml:space="preserve">. For example, Dale </w:t>
      </w:r>
      <w:r>
        <w:t>and</w:t>
      </w:r>
      <w:r w:rsidRPr="00143609">
        <w:t xml:space="preserve"> Taylor (2001) found that one group of adult dyslexic learners attending a focus group seeking feedback about a short adult learning study-skills awareness course</w:t>
      </w:r>
      <w:r>
        <w:t>,</w:t>
      </w:r>
      <w:r w:rsidRPr="00143609">
        <w:t xml:space="preserve"> were citing the non-recognition of their dyslexia in earlier schooling as inherently disabling; Burden </w:t>
      </w:r>
      <w:r>
        <w:t>and</w:t>
      </w:r>
      <w:r w:rsidRPr="00143609">
        <w:t xml:space="preserve"> Burdett (2007) asked 50 adolescents to construct mind-picture images of what dyslexia meant to each of them to explore the affective dimension of dyslexia</w:t>
      </w:r>
      <w:r>
        <w:t>. T</w:t>
      </w:r>
      <w:r w:rsidRPr="00143609">
        <w:t xml:space="preserve">he outcome </w:t>
      </w:r>
      <w:r>
        <w:t xml:space="preserve">was </w:t>
      </w:r>
      <w:r w:rsidRPr="00143609">
        <w:t>that most described it as an insurmountable barrier</w:t>
      </w:r>
      <w:r>
        <w:t xml:space="preserve"> -</w:t>
      </w:r>
      <w:r w:rsidRPr="00143609">
        <w:t xml:space="preserve"> in learning contexts at least; Evans (2013) explored how student nurses constructed their dyslexic identity</w:t>
      </w:r>
      <w:r>
        <w:t>,</w:t>
      </w:r>
      <w:r w:rsidRPr="00143609">
        <w:t xml:space="preserve"> finding that being made to feel stupid was linked to dyslexia both in historical learning contexts as well as in their current learning interactions</w:t>
      </w:r>
      <w:r>
        <w:t>.</w:t>
      </w:r>
      <w:r w:rsidRPr="00143609">
        <w:t xml:space="preserve"> </w:t>
      </w:r>
      <w:r>
        <w:t>I</w:t>
      </w:r>
      <w:r w:rsidRPr="00143609">
        <w:t>n these individuals</w:t>
      </w:r>
      <w:r>
        <w:t xml:space="preserve"> this </w:t>
      </w:r>
      <w:r w:rsidRPr="00143609">
        <w:t xml:space="preserve">widely led to their dyslexia not being disclosed in their workplaces; Cameron </w:t>
      </w:r>
      <w:r>
        <w:t>and</w:t>
      </w:r>
      <w:r w:rsidRPr="00143609">
        <w:t xml:space="preserve"> Billington (2015</w:t>
      </w:r>
      <w:r>
        <w:t>a</w:t>
      </w:r>
      <w:r w:rsidRPr="00143609">
        <w:t>) looked at how a small group of university students with dyslexia constructed their dyslexic identity with signi</w:t>
      </w:r>
      <w:r>
        <w:t>ficant</w:t>
      </w:r>
      <w:r w:rsidRPr="00143609">
        <w:t xml:space="preserve"> themes emerging: firstly</w:t>
      </w:r>
      <w:r>
        <w:t>,</w:t>
      </w:r>
      <w:r w:rsidRPr="00143609">
        <w:t xml:space="preserve"> how these students had internalized </w:t>
      </w:r>
      <w:r>
        <w:t>the power of assessment grading</w:t>
      </w:r>
      <w:r w:rsidRPr="00143609">
        <w:t xml:space="preserve"> as </w:t>
      </w:r>
      <w:r>
        <w:t xml:space="preserve">a </w:t>
      </w:r>
      <w:r w:rsidRPr="00143609">
        <w:t>marker of worth</w:t>
      </w:r>
      <w:r>
        <w:t xml:space="preserve">, and how they perceived this to interact </w:t>
      </w:r>
      <w:r w:rsidRPr="00143609">
        <w:t>with the status of their dyslexic label; secondly</w:t>
      </w:r>
      <w:r>
        <w:t>,</w:t>
      </w:r>
      <w:r w:rsidRPr="00143609">
        <w:t xml:space="preserve"> about the tensions between the idea of high levels of literacy being aspirational</w:t>
      </w:r>
      <w:r>
        <w:t>,</w:t>
      </w:r>
      <w:r w:rsidRPr="00143609">
        <w:t xml:space="preserve"> and acknowledging their challenges in reading, writing and spelling; and lastly</w:t>
      </w:r>
      <w:r>
        <w:t>,</w:t>
      </w:r>
      <w:r w:rsidRPr="00143609">
        <w:t xml:space="preserve"> an uncertainty about whether or not dyslexia was a morally valuable label to be given. In a similar, </w:t>
      </w:r>
      <w:r>
        <w:t>HE</w:t>
      </w:r>
      <w:r w:rsidRPr="00143609">
        <w:t xml:space="preserve"> context, Cameron's later (2016) study exploring the day-to-day experiences of students with dyslexia identified several consistent themes. These included challenges in translating thoughts into coherently expressed ideas, especially when presenting these to peers and lecturers where feelings of not being good enough through being not properly understood increased negative feeling</w:t>
      </w:r>
      <w:r>
        <w:t xml:space="preserve">s of self-worth, and difficulties with </w:t>
      </w:r>
      <w:r w:rsidRPr="00143609">
        <w:t xml:space="preserve">not feeling welcome in academic learning spaces due to experiences of being perceived by peers as 'different'. </w:t>
      </w:r>
    </w:p>
    <w:p w14:paraId="720702C9" w14:textId="617FC95F" w:rsidR="007707AB" w:rsidRPr="00BC38E7" w:rsidRDefault="007707AB" w:rsidP="007707AB">
      <w:r w:rsidRPr="00143609">
        <w:lastRenderedPageBreak/>
        <w:t>One intriguing study attempt</w:t>
      </w:r>
      <w:r>
        <w:t>ed</w:t>
      </w:r>
      <w:r w:rsidRPr="00143609">
        <w:t xml:space="preserve"> to tease out meaning and understanding through the medium of social media (Thomson </w:t>
      </w:r>
      <w:r>
        <w:t>et al.</w:t>
      </w:r>
      <w:r w:rsidRPr="00143609">
        <w:t>, 2015) where anonymous 'postings' to an online discussion board hosted by a dyslexia support group resulted in three, distinct categories of learning identities being established: learning-disabled, differently-enabled, and societally-disabled. It was observed from these postings that while some contributors took on a mantle of 'difference' rather than 'disability' hence expressing positiv</w:t>
      </w:r>
      <w:r>
        <w:t>ity</w:t>
      </w:r>
      <w:r w:rsidRPr="00143609">
        <w:t xml:space="preserve"> about their dyslexia-related strengths, most appeared to be indicating more negative feelings about their dyslexia, with some suggesting that their 'disability identity' had been imposed on them (ibid, p1339) not least through societal norms for literacy. </w:t>
      </w:r>
      <w:r w:rsidRPr="00BC38E7">
        <w:t>It may be through a collective study (in the future) of others' research in this area that conclusions can be drawn relating to the immediate impact on individuals when they learn of their dyslexia. However</w:t>
      </w:r>
      <w:r>
        <w:t>,</w:t>
      </w:r>
      <w:r w:rsidRPr="00BC38E7">
        <w:t xml:space="preserve"> in the absence of any such meta-analysis being </w:t>
      </w:r>
      <w:r>
        <w:t>found so far</w:t>
      </w:r>
      <w:r w:rsidRPr="00BC38E7">
        <w:t>, even a cursory inspection of many of the learning histories presented in studies to date generally reveals a variety of broadly negative and highly self-conscious feelings when individuals learn of their dyslexia. Although such reports</w:t>
      </w:r>
      <w:r>
        <w:t xml:space="preserve"> are in the majority it is acknowledged that there is some evidence of positive experiences associated with learning about one's dyslexia in</w:t>
      </w:r>
      <w:r w:rsidRPr="00BC38E7">
        <w:t xml:space="preserve"> </w:t>
      </w:r>
      <w:r>
        <w:t>studies which have identified</w:t>
      </w:r>
      <w:r w:rsidRPr="00BC38E7">
        <w:t xml:space="preserve"> learners who claimed a sense of relief that the 'problem' has been 'diagnosed' or that an explanation has been attributed to remediate their feelings of stupidity as experienced throughout earlier schooling</w:t>
      </w:r>
      <w:r w:rsidR="008D0258">
        <w:t xml:space="preserve"> (e.g.: Tanner, 2009</w:t>
      </w:r>
      <w:r w:rsidR="00A11667">
        <w:t>; Glazzard &amp; Dale, 2013; Loveland-Armour, 2018</w:t>
      </w:r>
      <w:r w:rsidR="008D0258">
        <w:t>)</w:t>
      </w:r>
      <w:r>
        <w:t>. However, most examples suggest that many learners with dyslexia feel emotionally burdened or troubled by their dyslexia, and that they perceive it to be disabling in many ways, particularly so in learning spaces where feelings of differences or anxiety related to their dyslexia being ‘discovered’ may inhibit their engagement with their learning and their confidence in approaching their studies effectively.</w:t>
      </w:r>
    </w:p>
    <w:p w14:paraId="1202C645" w14:textId="0B014187" w:rsidR="007707AB" w:rsidRPr="00BC38E7" w:rsidRDefault="007707AB" w:rsidP="007707AB">
      <w:pPr>
        <w:pStyle w:val="Heading3"/>
      </w:pPr>
      <w:bookmarkStart w:id="58" w:name="_Toc9795734"/>
      <w:bookmarkStart w:id="59" w:name="_Toc57035898"/>
      <w:r>
        <w:t>VI</w:t>
      </w:r>
      <w:r w:rsidR="00CC5358">
        <w:tab/>
      </w:r>
      <w:r>
        <w:t>To identify or not to identify</w:t>
      </w:r>
      <w:r w:rsidRPr="00BC38E7">
        <w:t xml:space="preserve"> - Is that the question?</w:t>
      </w:r>
      <w:bookmarkEnd w:id="58"/>
      <w:bookmarkEnd w:id="59"/>
    </w:p>
    <w:p w14:paraId="5B6BA395" w14:textId="77777777" w:rsidR="00384145" w:rsidRDefault="007707AB" w:rsidP="007707AB">
      <w:r>
        <w:t>Hence a</w:t>
      </w:r>
      <w:r w:rsidRPr="004B2E50">
        <w:t xml:space="preserve"> dilemma arises about whether or not to (somehow) identify dyslexic learning differences. On the one hand, there is a clear and </w:t>
      </w:r>
      <w:r>
        <w:t xml:space="preserve">compelling </w:t>
      </w:r>
      <w:r w:rsidRPr="004B2E50">
        <w:t>argument that favours progressively changing the system of education and learning so that difference becomes increasingly irrelevant</w:t>
      </w:r>
      <w:r>
        <w:t>. O</w:t>
      </w:r>
      <w:r w:rsidRPr="004B2E50">
        <w:t xml:space="preserve">n the other, the pragmatists argue that taking such an approach is idealistic and unachievable and that efforts should be focused on finding better and more adaptable ways to 'fix' </w:t>
      </w:r>
      <w:r>
        <w:t>such minority</w:t>
      </w:r>
      <w:r w:rsidRPr="004B2E50">
        <w:t xml:space="preserve"> learner</w:t>
      </w:r>
      <w:r>
        <w:t>s so that they are able to comply more effectively with existing learning-and-teaching norms</w:t>
      </w:r>
      <w:r w:rsidRPr="004B2E50">
        <w:t>. In the short term at least</w:t>
      </w:r>
      <w:r>
        <w:t>,</w:t>
      </w:r>
      <w:r w:rsidRPr="004B2E50">
        <w:t xml:space="preserve"> the pragmatists' approach is the more likely to persist but in doing so, constructing an identification process for learning differences that attributes positi</w:t>
      </w:r>
      <w:r>
        <w:t>vity</w:t>
      </w:r>
      <w:r w:rsidRPr="004B2E50">
        <w:t xml:space="preserve"> onto the learning identity of </w:t>
      </w:r>
      <w:r>
        <w:t xml:space="preserve">dyslexic </w:t>
      </w:r>
      <w:r w:rsidRPr="004B2E50">
        <w:t>individual</w:t>
      </w:r>
      <w:r>
        <w:t>s</w:t>
      </w:r>
      <w:r w:rsidRPr="004B2E50">
        <w:t xml:space="preserve"> rather than burdens them with negative perceptions of the reality of difference</w:t>
      </w:r>
      <w:r>
        <w:t>,</w:t>
      </w:r>
      <w:r w:rsidRPr="004B2E50">
        <w:t xml:space="preserve"> would seem to be </w:t>
      </w:r>
      <w:r>
        <w:t>preferable</w:t>
      </w:r>
      <w:r w:rsidRPr="004B2E50">
        <w:t>.</w:t>
      </w:r>
    </w:p>
    <w:p w14:paraId="0F7CF240" w14:textId="50189DD4" w:rsidR="007707AB" w:rsidRDefault="007707AB" w:rsidP="007707AB">
      <w:r w:rsidRPr="004B2E50">
        <w:lastRenderedPageBreak/>
        <w:t>This is important for many reasons, not the least of which is that an assessment/identification/diagnosis that focuses on deficit or makes the 'subject' feel inadequate or incompetent is likely to be problematic</w:t>
      </w:r>
      <w:r>
        <w:t>,</w:t>
      </w:r>
      <w:r w:rsidRPr="004B2E50">
        <w:t xml:space="preserve"> however skilfully it may be disguised as a more </w:t>
      </w:r>
      <w:r>
        <w:t>neutral process. D</w:t>
      </w:r>
      <w:r w:rsidRPr="004B2E50">
        <w:t>espite some evidence to the contrary</w:t>
      </w:r>
      <w:r>
        <w:t>,</w:t>
      </w:r>
      <w:r w:rsidRPr="004B2E50">
        <w:t xml:space="preserve"> this may be due to the lasting, negative perception that an identification of dyslexia often brings, commonly resulting in higher levels of anxiety, depressive symptoms, feelings of inadequacy and other negative-emotion experiences</w:t>
      </w:r>
      <w:r>
        <w:t>,</w:t>
      </w:r>
      <w:r w:rsidRPr="004B2E50">
        <w:t xml:space="preserve"> which are widely reported (e</w:t>
      </w:r>
      <w:r>
        <w:t>.</w:t>
      </w:r>
      <w:r w:rsidRPr="004B2E50">
        <w:t>g</w:t>
      </w:r>
      <w:r>
        <w:t>.</w:t>
      </w:r>
      <w:r w:rsidRPr="004B2E50">
        <w:t xml:space="preserve">: Carroll &amp; Iles, 2006, Ackerman </w:t>
      </w:r>
      <w:r>
        <w:t>et al.</w:t>
      </w:r>
      <w:r w:rsidRPr="004B2E50">
        <w:t xml:space="preserve">, 2007, Snowling </w:t>
      </w:r>
      <w:r>
        <w:t>et al.</w:t>
      </w:r>
      <w:r w:rsidRPr="004B2E50">
        <w:t>, 2007). This is especially important to consider in the design of self-report questionnaire</w:t>
      </w:r>
      <w:r>
        <w:t>s</w:t>
      </w:r>
      <w:r w:rsidRPr="004B2E50">
        <w:t xml:space="preserve"> </w:t>
      </w:r>
      <w:r>
        <w:t xml:space="preserve">that may form part of an assessment, </w:t>
      </w:r>
      <w:r w:rsidRPr="004B2E50">
        <w:t xml:space="preserve">where replies are likely to be more reliable if the respondents feel that the responses they provide are not necessarily portraying them poorly, particularly so in the self-reporting of sensitive information that may be adversely affected by social influences and which can impact on response honesty (Rasinski </w:t>
      </w:r>
      <w:r>
        <w:t>et al.</w:t>
      </w:r>
      <w:r w:rsidRPr="004B2E50">
        <w:t>, 2004).</w:t>
      </w:r>
    </w:p>
    <w:p w14:paraId="1BEDBF53" w14:textId="77777777" w:rsidR="00384145" w:rsidRDefault="007707AB" w:rsidP="007707AB">
      <w:r>
        <w:t>Thus it would appear that</w:t>
      </w:r>
      <w:r w:rsidRPr="001E2CC9">
        <w:t xml:space="preserve"> identifying dyslexia through a binary process is not especially helpful</w:t>
      </w:r>
      <w:r>
        <w:t>,</w:t>
      </w:r>
      <w:r w:rsidRPr="001E2CC9">
        <w:t xml:space="preserve"> because dyslexia is most recently being constructed as a multifactorial or multidimensional situation, as outlined above in s</w:t>
      </w:r>
      <w:r>
        <w:t xml:space="preserve">ub-section 2.1(I) .Recall that this is </w:t>
      </w:r>
      <w:r w:rsidRPr="001E2CC9">
        <w:t>where dyslexic individuals present a wide range of characteristics and attributes that reflect both skills and talents</w:t>
      </w:r>
      <w:r>
        <w:t>,</w:t>
      </w:r>
      <w:r w:rsidRPr="001E2CC9">
        <w:t xml:space="preserve"> as well as difficulties and challenges, all to varying degrees. Hence devising a process for gauging the </w:t>
      </w:r>
      <w:r>
        <w:t>‘</w:t>
      </w:r>
      <w:r w:rsidRPr="001E2CC9">
        <w:t>level of dyslexia</w:t>
      </w:r>
      <w:r>
        <w:t>’</w:t>
      </w:r>
      <w:r w:rsidRPr="001E2CC9">
        <w:t xml:space="preserve"> that an individual may present can have value in an educational context</w:t>
      </w:r>
      <w:r>
        <w:t>,</w:t>
      </w:r>
      <w:r w:rsidRPr="001E2CC9">
        <w:t xml:space="preserve"> because it might encourage a better alignment of learning strategies to learning strengths whilst at the same time identifying ideas for </w:t>
      </w:r>
      <w:r>
        <w:t>reducing</w:t>
      </w:r>
      <w:r w:rsidRPr="001E2CC9">
        <w:t xml:space="preserve"> the impact of difficulties and weaknesses</w:t>
      </w:r>
      <w:r>
        <w:t>. This may be</w:t>
      </w:r>
      <w:r w:rsidRPr="001E2CC9">
        <w:t xml:space="preserve"> especially </w:t>
      </w:r>
      <w:r>
        <w:t xml:space="preserve">true </w:t>
      </w:r>
      <w:r w:rsidRPr="001E2CC9">
        <w:t>in literacy-based learning activities where the dyslexic student, intellectually capable as they are</w:t>
      </w:r>
      <w:r>
        <w:t xml:space="preserve"> likely to be</w:t>
      </w:r>
      <w:r w:rsidRPr="001E2CC9">
        <w:t>, may still experience some challenges when engaging with an academic environment.</w:t>
      </w:r>
    </w:p>
    <w:p w14:paraId="47664908" w14:textId="7B5B8092" w:rsidR="007707AB" w:rsidRPr="00BC38E7" w:rsidRDefault="007707AB" w:rsidP="007707AB">
      <w:r>
        <w:t>G</w:t>
      </w:r>
      <w:r w:rsidRPr="001E2CC9">
        <w:t xml:space="preserve">auging dyslexia as the </w:t>
      </w:r>
      <w:r>
        <w:t>‘</w:t>
      </w:r>
      <w:r w:rsidRPr="001E2CC9">
        <w:t>severity of dyslexia</w:t>
      </w:r>
      <w:r>
        <w:t>’</w:t>
      </w:r>
      <w:r w:rsidRPr="001E2CC9">
        <w:t xml:space="preserve"> is not</w:t>
      </w:r>
      <w:r>
        <w:t xml:space="preserve"> consistent with the stance of this current study</w:t>
      </w:r>
      <w:r w:rsidRPr="001E2CC9">
        <w:t xml:space="preserve"> because one of the underlying strands is to try to approach the dyslexic condition </w:t>
      </w:r>
      <w:r>
        <w:t xml:space="preserve">from </w:t>
      </w:r>
      <w:r w:rsidRPr="001E2CC9">
        <w:t xml:space="preserve">a positive </w:t>
      </w:r>
      <w:r>
        <w:t>perspective</w:t>
      </w:r>
      <w:r w:rsidRPr="001E2CC9">
        <w:t xml:space="preserve">. To contextualize the level of dyslexia as the </w:t>
      </w:r>
      <w:r w:rsidRPr="002D5DFE">
        <w:rPr>
          <w:i/>
        </w:rPr>
        <w:t>severity</w:t>
      </w:r>
      <w:r w:rsidRPr="001E2CC9">
        <w:t xml:space="preserve"> of dyslexia implies the opposite, as the argument thence has tried to present, not least because to do so aligns dyslexia with the deficit/discrepancy model and worse, when dyslexia is diagnosed, alludes to it being a disabling illness which needs treatment</w:t>
      </w:r>
      <w:r>
        <w:t>,</w:t>
      </w:r>
      <w:r w:rsidRPr="001E2CC9">
        <w:t xml:space="preserve"> </w:t>
      </w:r>
      <w:r>
        <w:t xml:space="preserve">cognate to </w:t>
      </w:r>
      <w:r w:rsidRPr="001E2CC9">
        <w:t>the now outdated medical model of disability. However</w:t>
      </w:r>
      <w:r>
        <w:t>,</w:t>
      </w:r>
      <w:r w:rsidRPr="001E2CC9">
        <w:t xml:space="preserve"> it has already been established (</w:t>
      </w:r>
      <w:r>
        <w:t>in sub-section 2.1(I)</w:t>
      </w:r>
      <w:r w:rsidRPr="001E2CC9">
        <w:t>) that in the current climate, labelling a learner with a measurable learning challenge such as dyslexia, which</w:t>
      </w:r>
      <w:r>
        <w:t>,</w:t>
      </w:r>
      <w:r w:rsidRPr="001E2CC9">
        <w:t xml:space="preserve"> under the terms and descriptors of the Equality Act 2010</w:t>
      </w:r>
      <w:r>
        <w:t>,</w:t>
      </w:r>
      <w:r w:rsidRPr="001E2CC9">
        <w:t xml:space="preserve"> is classified as a disability (in the UK), open</w:t>
      </w:r>
      <w:r>
        <w:t>s</w:t>
      </w:r>
      <w:r w:rsidRPr="001E2CC9">
        <w:t xml:space="preserve"> access to learning support services</w:t>
      </w:r>
      <w:r>
        <w:t>.</w:t>
      </w:r>
      <w:r w:rsidRPr="001E2CC9">
        <w:t xml:space="preserve"> </w:t>
      </w:r>
      <w:r>
        <w:t xml:space="preserve">These </w:t>
      </w:r>
      <w:r w:rsidRPr="001E2CC9">
        <w:t xml:space="preserve">are designed to scaffold the </w:t>
      </w:r>
      <w:r>
        <w:t>‘</w:t>
      </w:r>
      <w:r w:rsidRPr="001E2CC9">
        <w:t>reasonable adjustments</w:t>
      </w:r>
      <w:r>
        <w:t>’</w:t>
      </w:r>
      <w:r w:rsidRPr="001E2CC9">
        <w:t xml:space="preserve"> and other accessibility constructs that are offered by higher institutions </w:t>
      </w:r>
      <w:r>
        <w:t>for compliance</w:t>
      </w:r>
      <w:r w:rsidRPr="001E2CC9">
        <w:t xml:space="preserve"> with </w:t>
      </w:r>
      <w:r w:rsidRPr="001E2CC9">
        <w:lastRenderedPageBreak/>
        <w:t>disability legislation</w:t>
      </w:r>
      <w:r>
        <w:t>,</w:t>
      </w:r>
      <w:r w:rsidRPr="001E2CC9">
        <w:t xml:space="preserve"> to try to ensure equal learning opportuni</w:t>
      </w:r>
      <w:r>
        <w:t>ties for disabled students. T</w:t>
      </w:r>
      <w:r w:rsidRPr="001E2CC9">
        <w:t>his at least is one justification for devising mechanisms for assessing firstly whether an individual is dyslexic or not, but also</w:t>
      </w:r>
      <w:r>
        <w:t xml:space="preserve"> for</w:t>
      </w:r>
      <w:r w:rsidRPr="001E2CC9">
        <w:t xml:space="preserve"> determining the </w:t>
      </w:r>
      <w:r w:rsidRPr="00384145">
        <w:rPr>
          <w:iCs/>
        </w:rPr>
        <w:t>extent</w:t>
      </w:r>
      <w:r w:rsidR="00384145">
        <w:t xml:space="preserve">, that is, the magnitude of influence, </w:t>
      </w:r>
      <w:r w:rsidRPr="001E2CC9">
        <w:t xml:space="preserve">of the dyslexic learning differences </w:t>
      </w:r>
      <w:r>
        <w:t xml:space="preserve">so that </w:t>
      </w:r>
      <w:r w:rsidRPr="001E2CC9">
        <w:t xml:space="preserve">the required range of learning support provisions </w:t>
      </w:r>
      <w:r>
        <w:t xml:space="preserve">might be established </w:t>
      </w:r>
      <w:r w:rsidRPr="001E2CC9">
        <w:t>to enable this student to function more equally in the predominantly non-dyslexic learning environment of university.</w:t>
      </w:r>
      <w:hyperlink r:id="rId24" w:anchor="top" w:history="1"/>
    </w:p>
    <w:p w14:paraId="3A0C9232" w14:textId="69D17A12" w:rsidR="007707AB" w:rsidRPr="00BC38E7" w:rsidRDefault="007707AB" w:rsidP="007707AB">
      <w:pPr>
        <w:pStyle w:val="Heading3"/>
      </w:pPr>
      <w:bookmarkStart w:id="60" w:name="_Toc9795735"/>
      <w:bookmarkStart w:id="61" w:name="_Toc57035899"/>
      <w:r>
        <w:t>VII</w:t>
      </w:r>
      <w:r w:rsidR="00CC5358">
        <w:tab/>
      </w:r>
      <w:r w:rsidRPr="00BC38E7">
        <w:t xml:space="preserve">Measuring dyslexia - </w:t>
      </w:r>
      <w:r w:rsidRPr="00384145">
        <w:rPr>
          <w:b w:val="0"/>
          <w:bCs/>
        </w:rPr>
        <w:t>"How 'dyslexic' am I?"</w:t>
      </w:r>
      <w:bookmarkEnd w:id="60"/>
      <w:bookmarkEnd w:id="61"/>
    </w:p>
    <w:p w14:paraId="6DA5D6F9" w14:textId="77777777" w:rsidR="00384145" w:rsidRDefault="007707AB" w:rsidP="007707AB">
      <w:r>
        <w:t>Thus i</w:t>
      </w:r>
      <w:r w:rsidRPr="005C4C45">
        <w:t>t might be thought that 'measuring dyslexia' is a natural consequence of 'identifying dyslexia' and although commonly used dyslexia screening tools such as the Lucid Adult Dyslexia Screener (LADS)</w:t>
      </w:r>
      <w:r>
        <w:t xml:space="preserve"> (Singleton &amp; Thomas, 2002)</w:t>
      </w:r>
      <w:r w:rsidRPr="005C4C45">
        <w:t xml:space="preserve"> or the Dyslexia Adult Screening Test (DAST) </w:t>
      </w:r>
      <w:r>
        <w:t xml:space="preserve">(Fawcett &amp; Nicholson, 1998) </w:t>
      </w:r>
      <w:r w:rsidRPr="005C4C45">
        <w:t>offer comprehensive outputs from a range of tests and assessments, these all require interpretation</w:t>
      </w:r>
      <w:r>
        <w:t>. I</w:t>
      </w:r>
      <w:r w:rsidRPr="005C4C45">
        <w:t>n UK universities this is usually the task of a Disability Needs Assessor</w:t>
      </w:r>
      <w:r>
        <w:t xml:space="preserve"> and because the outputs from the tests and assessments tend to be quite ‘technical’, this professional interpretation forms an important part of guiding a dyslexic student towards more clearly understanding their dyslexia and how it may impact on their studies at university</w:t>
      </w:r>
      <w:r w:rsidRPr="005C4C45">
        <w:t>.</w:t>
      </w:r>
    </w:p>
    <w:p w14:paraId="0F515D49" w14:textId="08F30224" w:rsidR="007707AB" w:rsidRDefault="007707AB" w:rsidP="007707AB">
      <w:r w:rsidRPr="005C4C45">
        <w:t xml:space="preserve">An indication of dyslexia that results from a screening </w:t>
      </w:r>
      <w:r>
        <w:t xml:space="preserve">is </w:t>
      </w:r>
      <w:r w:rsidRPr="005C4C45">
        <w:t xml:space="preserve">generally </w:t>
      </w:r>
      <w:r>
        <w:t xml:space="preserve">accompanied by </w:t>
      </w:r>
      <w:r w:rsidRPr="005C4C45">
        <w:t xml:space="preserve">a recommendation for a 'full assessment' which, in the UK at least, </w:t>
      </w:r>
      <w:r>
        <w:t xml:space="preserve">is </w:t>
      </w:r>
      <w:r w:rsidRPr="005C4C45">
        <w:t xml:space="preserve">conducted by an </w:t>
      </w:r>
      <w:r>
        <w:t>appropriately qualified and register</w:t>
      </w:r>
      <w:r w:rsidR="00E95780">
        <w:t>e</w:t>
      </w:r>
      <w:r>
        <w:t xml:space="preserve">d </w:t>
      </w:r>
      <w:r w:rsidRPr="005C4C45">
        <w:t>psychologist</w:t>
      </w:r>
      <w:r>
        <w:t xml:space="preserve"> or specialist teacher/assessor</w:t>
      </w:r>
      <w:r w:rsidRPr="005C4C45">
        <w:t>. However</w:t>
      </w:r>
      <w:r>
        <w:t>,</w:t>
      </w:r>
      <w:r w:rsidRPr="005C4C45">
        <w:t xml:space="preserve"> </w:t>
      </w:r>
      <w:r>
        <w:t xml:space="preserve">it might be argued that </w:t>
      </w:r>
      <w:r w:rsidRPr="005C4C45">
        <w:t xml:space="preserve">even such a comprehensive and </w:t>
      </w:r>
      <w:r>
        <w:t xml:space="preserve">possibly </w:t>
      </w:r>
      <w:r w:rsidRPr="005C4C45">
        <w:t xml:space="preserve">daunting 'examination' does not produce much of a useful </w:t>
      </w:r>
      <w:r w:rsidRPr="003612BD">
        <w:rPr>
          <w:i/>
        </w:rPr>
        <w:t>combined</w:t>
      </w:r>
      <w:r w:rsidRPr="005C4C45">
        <w:t xml:space="preserve"> measurement to describe the </w:t>
      </w:r>
      <w:r w:rsidRPr="003612BD">
        <w:rPr>
          <w:i/>
        </w:rPr>
        <w:t>extent</w:t>
      </w:r>
      <w:r w:rsidRPr="005C4C45">
        <w:t xml:space="preserve"> of the dyslexic difference identified, </w:t>
      </w:r>
      <w:r>
        <w:t>because</w:t>
      </w:r>
      <w:r w:rsidRPr="005C4C45">
        <w:t xml:space="preserve"> the collective outputs from the batteries of assessments </w:t>
      </w:r>
      <w:r>
        <w:t xml:space="preserve">are generally interpreted into </w:t>
      </w:r>
      <w:r w:rsidRPr="005C4C45">
        <w:t>broad descriptors of 'mild', 'moderate' or 'seve</w:t>
      </w:r>
      <w:r>
        <w:t>re' to indicate how dyslexic an</w:t>
      </w:r>
      <w:r w:rsidRPr="005C4C45">
        <w:t xml:space="preserve"> individual is. </w:t>
      </w:r>
      <w:r>
        <w:t>Al</w:t>
      </w:r>
      <w:r w:rsidRPr="005C4C45">
        <w:t>though these assessment tools do provide scores obtained o</w:t>
      </w:r>
      <w:r>
        <w:t xml:space="preserve">n </w:t>
      </w:r>
      <w:r w:rsidRPr="005C4C45">
        <w:t>the tests that are commonly administered, these are generally of use only to specialist practitioners and not usually presented in a format that is very accessible</w:t>
      </w:r>
      <w:r>
        <w:t xml:space="preserve"> </w:t>
      </w:r>
      <w:r w:rsidRPr="005C4C45">
        <w:t>to the student</w:t>
      </w:r>
      <w:r>
        <w:t xml:space="preserve"> </w:t>
      </w:r>
      <w:r w:rsidRPr="005C4C45">
        <w:t>being assessed. For example, in this researcher's own experience of working with students with dyslexia at university</w:t>
      </w:r>
      <w:r>
        <w:t>,</w:t>
      </w:r>
      <w:r w:rsidRPr="005C4C45">
        <w:t xml:space="preserve"> one student recounted that on receiving the assessment indication of his dyslexic learning difference he asked </w:t>
      </w:r>
      <w:r w:rsidRPr="003612BD">
        <w:rPr>
          <w:i/>
        </w:rPr>
        <w:t>how dyslexic</w:t>
      </w:r>
      <w:r w:rsidRPr="005C4C45">
        <w:t xml:space="preserve"> he was, to be told that is was mild to moderate, leaving him none-the-wiser (respondent</w:t>
      </w:r>
      <w:r>
        <w:t xml:space="preserve"> #9, Dykes, 2008, p95).</w:t>
      </w:r>
    </w:p>
    <w:p w14:paraId="23922E07" w14:textId="77777777" w:rsidR="00384145" w:rsidRDefault="007707AB" w:rsidP="007707AB">
      <w:r>
        <w:t>I</w:t>
      </w:r>
      <w:r w:rsidRPr="005C4C45">
        <w:t>n addition to facilitating a route towards focused but differentiated study skills support interventions</w:t>
      </w:r>
      <w:r>
        <w:t>,</w:t>
      </w:r>
      <w:r w:rsidRPr="005C4C45">
        <w:t xml:space="preserve"> this identifying or assessment process is an essential component for any claim to the Disabled Students' Allowance (DSA)</w:t>
      </w:r>
      <w:r>
        <w:t>,</w:t>
      </w:r>
      <w:r w:rsidRPr="005C4C45">
        <w:t xml:space="preserve"> although ironically</w:t>
      </w:r>
      <w:r>
        <w:t>,</w:t>
      </w:r>
      <w:r w:rsidRPr="005C4C45">
        <w:t xml:space="preserve"> the assessment has to be financed by the student and is not recoverable as part of any subsequent award. </w:t>
      </w:r>
      <w:r w:rsidRPr="003B329D">
        <w:t>This in itself may be a barrier to formal assessment</w:t>
      </w:r>
      <w:r>
        <w:t>,</w:t>
      </w:r>
      <w:r w:rsidRPr="003B329D">
        <w:t xml:space="preserve"> </w:t>
      </w:r>
      <w:r>
        <w:t xml:space="preserve">a conjecture possibly supported </w:t>
      </w:r>
      <w:r>
        <w:lastRenderedPageBreak/>
        <w:t>because</w:t>
      </w:r>
      <w:r w:rsidRPr="003B329D">
        <w:t xml:space="preserve"> it is acknowledged that university communities are likely to include a significant proportion of unidentified dyslexic students (Tops </w:t>
      </w:r>
      <w:r>
        <w:t>et al.</w:t>
      </w:r>
      <w:r w:rsidRPr="003B329D">
        <w:t>, 2012</w:t>
      </w:r>
      <w:r>
        <w:t>;</w:t>
      </w:r>
      <w:r w:rsidRPr="003B329D">
        <w:t xml:space="preserve"> Lindgren, 2012</w:t>
      </w:r>
      <w:r>
        <w:t>;</w:t>
      </w:r>
      <w:r w:rsidRPr="003B329D">
        <w:t xml:space="preserve"> Belger &amp; Chelin, 2013), </w:t>
      </w:r>
      <w:r>
        <w:t>Thus, for t</w:t>
      </w:r>
      <w:r w:rsidRPr="003B329D">
        <w:t xml:space="preserve">hose who have become aware that dyslexia </w:t>
      </w:r>
      <w:r>
        <w:t xml:space="preserve">might </w:t>
      </w:r>
      <w:r w:rsidRPr="003B329D">
        <w:t xml:space="preserve">account for their </w:t>
      </w:r>
      <w:r>
        <w:t xml:space="preserve">academic </w:t>
      </w:r>
      <w:r w:rsidRPr="003B329D">
        <w:t>difficulties</w:t>
      </w:r>
      <w:r>
        <w:t>, or may even have been told as much by tutors or perhaps their peers,</w:t>
      </w:r>
      <w:r w:rsidRPr="003B329D">
        <w:t xml:space="preserve"> the costs of an assessment to confirm </w:t>
      </w:r>
      <w:r>
        <w:t>dyslexia or not could deter them from undertaking one</w:t>
      </w:r>
      <w:r w:rsidRPr="003B329D">
        <w:t>.</w:t>
      </w:r>
      <w:r>
        <w:t xml:space="preserve"> C</w:t>
      </w:r>
      <w:r w:rsidRPr="00853422">
        <w:t>ertainly for school-aged learners, identifying dyslexia is rooted in establishing capabilities that place them outside the 'norm' in assessments of competencies in phonological decoding and automaticity in word recognition</w:t>
      </w:r>
      <w:r>
        <w:t>,</w:t>
      </w:r>
      <w:r w:rsidRPr="00853422">
        <w:t xml:space="preserve"> and in other significantly reading-based evaluations as has been broadly outlined </w:t>
      </w:r>
      <w:r>
        <w:t>earlier (sub-section 2.1(II))</w:t>
      </w:r>
      <w:r w:rsidRPr="00853422">
        <w:t>. Sometimes these include assessments of working memory such as the digit span test, which has relevance to dyslexia because working memory abilities have clear relationships with com</w:t>
      </w:r>
      <w:r>
        <w:t>prehension. If a reader arrives at</w:t>
      </w:r>
      <w:r w:rsidRPr="00853422">
        <w:t xml:space="preserve"> the end of a long or complex sentence but fails to remember the words at the beginning long enough to connect with the words at the end</w:t>
      </w:r>
      <w:r>
        <w:t>,</w:t>
      </w:r>
      <w:r w:rsidRPr="00853422">
        <w:t xml:space="preserve"> this </w:t>
      </w:r>
      <w:r>
        <w:t xml:space="preserve">is likely to </w:t>
      </w:r>
      <w:r w:rsidRPr="00853422">
        <w:t>compromise understanding.</w:t>
      </w:r>
    </w:p>
    <w:p w14:paraId="0D702D82" w14:textId="77777777" w:rsidR="00384145" w:rsidRDefault="007707AB" w:rsidP="007707AB">
      <w:r w:rsidRPr="00853422">
        <w:t>All of these identifiers carry useful, quantifiable measures of assessment</w:t>
      </w:r>
      <w:r>
        <w:t>,</w:t>
      </w:r>
      <w:r w:rsidRPr="00853422">
        <w:t xml:space="preserve"> although they are discretely determined</w:t>
      </w:r>
      <w:r>
        <w:t>,</w:t>
      </w:r>
      <w:r w:rsidRPr="00853422">
        <w:t xml:space="preserve"> and not coalesced into an overall score or value</w:t>
      </w:r>
      <w:r>
        <w:t xml:space="preserve">. Nevertheless, </w:t>
      </w:r>
      <w:r w:rsidRPr="00853422">
        <w:t xml:space="preserve">at early-learning levels </w:t>
      </w:r>
      <w:r>
        <w:t xml:space="preserve">these processes </w:t>
      </w:r>
      <w:r w:rsidRPr="00853422">
        <w:t xml:space="preserve">have proved to be sufficient </w:t>
      </w:r>
      <w:r>
        <w:t xml:space="preserve">for educators to establish </w:t>
      </w:r>
      <w:r w:rsidRPr="00853422">
        <w:t>dyslexia in children. However</w:t>
      </w:r>
      <w:r>
        <w:t>,</w:t>
      </w:r>
      <w:r w:rsidRPr="00853422">
        <w:t xml:space="preserve"> evidence suggests that identifiers used for catching the dyslexic learner at school do not scale up very effectively for use with adults (e</w:t>
      </w:r>
      <w:r>
        <w:t>.</w:t>
      </w:r>
      <w:r w:rsidRPr="00853422">
        <w:t>g</w:t>
      </w:r>
      <w:r>
        <w:t>.</w:t>
      </w:r>
      <w:r w:rsidRPr="00853422">
        <w:t xml:space="preserve">: Singleton </w:t>
      </w:r>
      <w:r>
        <w:t>et al.</w:t>
      </w:r>
      <w:r w:rsidRPr="00853422">
        <w:t xml:space="preserve">, 2009). This may be especially true for the academically able learners that one might expect to encounter at university who can, either actively or not, mask their difficulties (Casale, 2015) or even feign them if they perceive advantage to be gained (Harrison </w:t>
      </w:r>
      <w:r>
        <w:t>et al.</w:t>
      </w:r>
      <w:r w:rsidRPr="00853422">
        <w:t xml:space="preserve">, 2008). </w:t>
      </w:r>
      <w:r>
        <w:t xml:space="preserve">But </w:t>
      </w:r>
      <w:r w:rsidRPr="00853422">
        <w:t>recent studies continue to reinforce the idea that dyslexia is a set of quantifiable cognitive characteristics (Cameron, 2016) which extend beyond the common idea that dyslexia is mostly about poor reading, writing and spelling, certainly in the university environment</w:t>
      </w:r>
      <w:r>
        <w:t>.</w:t>
      </w:r>
      <w:r w:rsidRPr="00853422">
        <w:t xml:space="preserve"> </w:t>
      </w:r>
      <w:r>
        <w:t>I</w:t>
      </w:r>
      <w:r w:rsidRPr="00853422">
        <w:t xml:space="preserve">t is acknowledged that difficulties associated with compromised literacy skills </w:t>
      </w:r>
      <w:r>
        <w:t xml:space="preserve">can be common in university students </w:t>
      </w:r>
      <w:r w:rsidRPr="00853422">
        <w:t>because dyslexia in one form or another persists into adulthood (Hanley, 1997</w:t>
      </w:r>
      <w:r>
        <w:t>;</w:t>
      </w:r>
      <w:r w:rsidRPr="00853422">
        <w:t xml:space="preserve"> Elbro </w:t>
      </w:r>
      <w:r>
        <w:t>et al.</w:t>
      </w:r>
      <w:r w:rsidRPr="00853422">
        <w:t>, 1994</w:t>
      </w:r>
      <w:r>
        <w:t>;</w:t>
      </w:r>
      <w:r w:rsidRPr="00853422">
        <w:t xml:space="preserve"> Kirby </w:t>
      </w:r>
      <w:r>
        <w:t>et al.</w:t>
      </w:r>
      <w:r w:rsidRPr="00853422">
        <w:t>, 2008)</w:t>
      </w:r>
      <w:r>
        <w:t>.</w:t>
      </w:r>
    </w:p>
    <w:p w14:paraId="06E71C9A" w14:textId="77777777" w:rsidR="00384145" w:rsidRDefault="007707AB" w:rsidP="007707AB">
      <w:r>
        <w:t xml:space="preserve">Evidence for this </w:t>
      </w:r>
      <w:r w:rsidRPr="00853422">
        <w:t xml:space="preserve">is especially apparent in studies that focus on the impact of phonological awareness on reading ability (Shaywitz </w:t>
      </w:r>
      <w:r>
        <w:t>et al.</w:t>
      </w:r>
      <w:r w:rsidRPr="00853422">
        <w:t>, 1999</w:t>
      </w:r>
      <w:r>
        <w:t>;</w:t>
      </w:r>
      <w:r w:rsidRPr="00853422">
        <w:t xml:space="preserve"> Svensson </w:t>
      </w:r>
      <w:r>
        <w:t>et al.</w:t>
      </w:r>
      <w:r w:rsidRPr="00853422">
        <w:t xml:space="preserve">, 2003). It is also evident that identifying dyslexia in adults is more complicated than in children, especially in broadly well-educated adults attending university because many of the early difficulties associated with dyslexia </w:t>
      </w:r>
      <w:r>
        <w:t xml:space="preserve">may </w:t>
      </w:r>
      <w:r w:rsidRPr="00853422">
        <w:t>have receded as part of the</w:t>
      </w:r>
      <w:r>
        <w:t>ir</w:t>
      </w:r>
      <w:r w:rsidRPr="00853422">
        <w:t xml:space="preserve"> progression into adulthood (Kemp </w:t>
      </w:r>
      <w:r>
        <w:t>et al.</w:t>
      </w:r>
      <w:r w:rsidRPr="00853422">
        <w:t>, 200</w:t>
      </w:r>
      <w:r>
        <w:t>9;</w:t>
      </w:r>
      <w:r w:rsidRPr="00853422">
        <w:t xml:space="preserve"> Undheim, 2009)</w:t>
      </w:r>
      <w:r>
        <w:t xml:space="preserve">. This may have been </w:t>
      </w:r>
      <w:r w:rsidRPr="00853422">
        <w:t>either as a result of early support</w:t>
      </w:r>
      <w:r>
        <w:t>,</w:t>
      </w:r>
      <w:r w:rsidRPr="00853422">
        <w:t xml:space="preserve"> or through self-developed strategies to overcome </w:t>
      </w:r>
      <w:r>
        <w:t>early-learning difficulties</w:t>
      </w:r>
      <w:r w:rsidRPr="00853422">
        <w:t xml:space="preserve">. Such individuals have come to be regarded as 'as compensated adult dyslexics' in some studies </w:t>
      </w:r>
      <w:r w:rsidRPr="00853422">
        <w:lastRenderedPageBreak/>
        <w:t>(e</w:t>
      </w:r>
      <w:r>
        <w:t>.</w:t>
      </w:r>
      <w:r w:rsidRPr="00853422">
        <w:t>g</w:t>
      </w:r>
      <w:r>
        <w:t>.</w:t>
      </w:r>
      <w:r w:rsidRPr="00853422">
        <w:t>: Lefly &amp; Pennington, 1991</w:t>
      </w:r>
      <w:r>
        <w:t>; Brunswick et al., 1999; Miller-Shaul, 2005; Beidas et al., 2013;</w:t>
      </w:r>
      <w:r w:rsidRPr="00853422">
        <w:t>), at least in regard to their phonological processing skills</w:t>
      </w:r>
      <w:r>
        <w:t>,</w:t>
      </w:r>
      <w:r w:rsidRPr="00853422">
        <w:t xml:space="preserve"> and hence reading, writing and spelling abilities. The research is far from conclusive about the reasons for dyslexia compensation, so it is of significant interest to note that very recent research concerning the abilities of dyslexic university students to overcome the persistent phonological deficits which have essentially characterized the identification of their dyslexia, suggests that this may be achieved through their development of morphological knowledge in reading (Cavalli </w:t>
      </w:r>
      <w:r>
        <w:t>et al.</w:t>
      </w:r>
      <w:r w:rsidRPr="00853422">
        <w:t xml:space="preserve">, 2017). In </w:t>
      </w:r>
      <w:r>
        <w:t>linguistics, morphology concerns</w:t>
      </w:r>
      <w:r w:rsidRPr="00853422">
        <w:t xml:space="preserve"> the structure of words in ter</w:t>
      </w:r>
      <w:r>
        <w:t xml:space="preserve">ms of morphemes as </w:t>
      </w:r>
      <w:r w:rsidRPr="00853422">
        <w:t>the smallest indivisible elements of words</w:t>
      </w:r>
      <w:r>
        <w:t xml:space="preserve"> which take or indicate meaning;</w:t>
      </w:r>
      <w:r w:rsidRPr="00853422">
        <w:t xml:space="preserve"> for example</w:t>
      </w:r>
      <w:r>
        <w:t>,</w:t>
      </w:r>
      <w:r w:rsidRPr="00853422">
        <w:t xml:space="preserve"> in 'unhappy' the 'un' indicates 'not', or in 'teacher' the 'er' indicates one who teaches. Hence morphemes are more related to meaning</w:t>
      </w:r>
      <w:r>
        <w:t>,</w:t>
      </w:r>
      <w:r w:rsidRPr="00853422">
        <w:t xml:space="preserve"> whereas phonemes are related to auditory correspondences in work construction.</w:t>
      </w:r>
    </w:p>
    <w:p w14:paraId="3F747A2F" w14:textId="2F0FA985" w:rsidR="007707AB" w:rsidRDefault="007707AB" w:rsidP="007707AB">
      <w:r w:rsidRPr="00853422">
        <w:t>Many languages but particularly English, tend to be comprised of morphemes as well as phonemes and this may explain why although phonological awareness may be a good indicator of reading skills</w:t>
      </w:r>
      <w:r>
        <w:t>,</w:t>
      </w:r>
      <w:r w:rsidRPr="00853422">
        <w:t xml:space="preserve"> it is not infallible because sensitivity to each of these word units might be significant in decoding abilities (Singson </w:t>
      </w:r>
      <w:r>
        <w:t>et al.</w:t>
      </w:r>
      <w:r w:rsidRPr="00853422">
        <w:t xml:space="preserve">, 2000). The Cavalli </w:t>
      </w:r>
      <w:r>
        <w:t>et al.</w:t>
      </w:r>
      <w:r w:rsidRPr="00853422">
        <w:t xml:space="preserve"> study revealed that in the higher-functioning adults that comprised their sample of university students (n=40) there was a significant disassociation between the development </w:t>
      </w:r>
      <w:r>
        <w:t xml:space="preserve">of </w:t>
      </w:r>
      <w:r w:rsidRPr="00853422">
        <w:t>morphological abilities and phonological ones</w:t>
      </w:r>
      <w:r>
        <w:t>,</w:t>
      </w:r>
      <w:r w:rsidRPr="00853422">
        <w:t xml:space="preserve"> and that the magnitude of this disassociation correlated with reading ability (ibid). This result was in keeping with an earlier study (Martin </w:t>
      </w:r>
      <w:r>
        <w:t>et al.</w:t>
      </w:r>
      <w:r w:rsidRPr="00853422">
        <w:t xml:space="preserve">, 2014) which also suggested that this development </w:t>
      </w:r>
      <w:r>
        <w:t>of</w:t>
      </w:r>
      <w:r w:rsidRPr="00853422">
        <w:t xml:space="preserve"> strong morphological awareness could be a significant compensation in the development of literacy skills for dyslexic students</w:t>
      </w:r>
      <w:r>
        <w:t>,</w:t>
      </w:r>
      <w:r w:rsidRPr="00853422">
        <w:t xml:space="preserve"> with both of these studies building on a</w:t>
      </w:r>
      <w:r>
        <w:t xml:space="preserve"> </w:t>
      </w:r>
      <w:r w:rsidRPr="00853422">
        <w:t>body of research that is exploring which aspects of the reading ability required in university students have been compensated in those with dyslexia</w:t>
      </w:r>
      <w:r>
        <w:t>,</w:t>
      </w:r>
      <w:r w:rsidRPr="00853422">
        <w:t xml:space="preserve"> and how this compensation has been executed (e</w:t>
      </w:r>
      <w:r>
        <w:t>.</w:t>
      </w:r>
      <w:r w:rsidRPr="00853422">
        <w:t>g</w:t>
      </w:r>
      <w:r>
        <w:t>.</w:t>
      </w:r>
      <w:r w:rsidRPr="00853422">
        <w:t xml:space="preserve">: Parrila &amp; Georgiou, 2008). </w:t>
      </w:r>
    </w:p>
    <w:p w14:paraId="72802D8B" w14:textId="6B40E5C8" w:rsidR="007707AB" w:rsidRDefault="007707AB" w:rsidP="007707AB">
      <w:r w:rsidRPr="00853422">
        <w:t>Wha</w:t>
      </w:r>
      <w:r>
        <w:t xml:space="preserve">t emerges from this </w:t>
      </w:r>
      <w:r w:rsidRPr="00853422">
        <w:t>overview</w:t>
      </w:r>
      <w:r>
        <w:t>,</w:t>
      </w:r>
      <w:r w:rsidRPr="00853422">
        <w:t xml:space="preserve"> is evidence that at university, other dimen</w:t>
      </w:r>
      <w:r>
        <w:t xml:space="preserve">sions of dyslexia </w:t>
      </w:r>
      <w:r w:rsidRPr="00853422">
        <w:t>aside from reading ability and phonological processing</w:t>
      </w:r>
      <w:r>
        <w:t>,</w:t>
      </w:r>
      <w:r w:rsidRPr="00853422">
        <w:t xml:space="preserve"> may be more </w:t>
      </w:r>
      <w:r>
        <w:t xml:space="preserve">significant </w:t>
      </w:r>
      <w:r w:rsidRPr="00853422">
        <w:t>characteristic</w:t>
      </w:r>
      <w:r>
        <w:t>s</w:t>
      </w:r>
      <w:r w:rsidRPr="00853422">
        <w:t xml:space="preserve"> of many dyslexic university students' learning needs</w:t>
      </w:r>
      <w:r>
        <w:t>.</w:t>
      </w:r>
      <w:r w:rsidRPr="00853422">
        <w:t xml:space="preserve"> </w:t>
      </w:r>
      <w:r>
        <w:t xml:space="preserve">This may be because these adults can have </w:t>
      </w:r>
      <w:r w:rsidRPr="00853422">
        <w:t>developed strong strategies for dealing with earlier reading w</w:t>
      </w:r>
      <w:r>
        <w:t>eaknesses. H</w:t>
      </w:r>
      <w:r w:rsidRPr="00853422">
        <w:t>ence, identification and assessment processes that have literacy and decoding skills at their core</w:t>
      </w:r>
      <w:r>
        <w:t>,</w:t>
      </w:r>
      <w:r w:rsidRPr="00853422">
        <w:t xml:space="preserve"> are</w:t>
      </w:r>
      <w:r>
        <w:t>,</w:t>
      </w:r>
      <w:r w:rsidRPr="00853422">
        <w:t xml:space="preserve"> not so much less relevant than such tests may have been for earlier-years learners</w:t>
      </w:r>
      <w:r>
        <w:t xml:space="preserve">, but that other, dyslexia-inherent issues </w:t>
      </w:r>
      <w:r w:rsidRPr="00853422">
        <w:t>are likely to be more significant in university learning contexts.</w:t>
      </w:r>
    </w:p>
    <w:p w14:paraId="33BC1F72" w14:textId="77777777" w:rsidR="00384145" w:rsidRPr="00BC38E7" w:rsidRDefault="00384145" w:rsidP="007707AB"/>
    <w:p w14:paraId="3A6030D9" w14:textId="77777777" w:rsidR="007707AB" w:rsidRPr="00474F0B" w:rsidRDefault="007707AB" w:rsidP="007707AB">
      <w:pPr>
        <w:pStyle w:val="Heading4"/>
      </w:pPr>
      <w:r w:rsidRPr="00474F0B">
        <w:lastRenderedPageBreak/>
        <w:t>Adult dyslexia assessments</w:t>
      </w:r>
    </w:p>
    <w:p w14:paraId="5F7260B6" w14:textId="77777777" w:rsidR="00384145" w:rsidRDefault="007707AB" w:rsidP="007707AB">
      <w:r w:rsidRPr="00E47B2B">
        <w:t>The last two decades or so have seen the development of a number of assessments and screening tests that aim to identify – but not specifically measure - dyslexia in adults</w:t>
      </w:r>
      <w:r>
        <w:t>.</w:t>
      </w:r>
      <w:r w:rsidRPr="00E47B2B">
        <w:t xml:space="preserve"> </w:t>
      </w:r>
      <w:r>
        <w:t xml:space="preserve">This has emerged </w:t>
      </w:r>
      <w:r w:rsidRPr="00E47B2B">
        <w:t xml:space="preserve">particularly in </w:t>
      </w:r>
      <w:r>
        <w:t>HE</w:t>
      </w:r>
      <w:r w:rsidRPr="00E47B2B">
        <w:t xml:space="preserve"> contexts as a response to the increasing number of students with dyslexia attending university (HESA, 2018</w:t>
      </w:r>
      <w:r>
        <w:t>;</w:t>
      </w:r>
      <w:r w:rsidRPr="00E47B2B">
        <w:t xml:space="preserve"> Dobson, 2018). An early example of a screening assessment for adults is the Dyslexia Adult Screening Test (DAST) </w:t>
      </w:r>
      <w:r>
        <w:t>(Nicholson &amp; Fawcett, 1997)</w:t>
      </w:r>
      <w:r w:rsidRPr="00E47B2B">
        <w:t>. This is a modified version of an earlier screening tool used with school-aged learners</w:t>
      </w:r>
      <w:r>
        <w:t>,</w:t>
      </w:r>
      <w:r w:rsidRPr="00E47B2B">
        <w:t xml:space="preserve"> but which followed similar assess</w:t>
      </w:r>
      <w:r>
        <w:t xml:space="preserve">ment principles, </w:t>
      </w:r>
      <w:r w:rsidRPr="00E47B2B">
        <w:t>mostly based on literacy criteria</w:t>
      </w:r>
      <w:r>
        <w:t>,</w:t>
      </w:r>
      <w:r w:rsidRPr="00E47B2B">
        <w:t xml:space="preserve"> alt</w:t>
      </w:r>
      <w:r>
        <w:t>hough the DAST does include</w:t>
      </w:r>
      <w:r w:rsidRPr="00E47B2B">
        <w:t xml:space="preserve"> a backward digit span test</w:t>
      </w:r>
      <w:r>
        <w:t>,</w:t>
      </w:r>
      <w:r w:rsidRPr="00E47B2B">
        <w:t xml:space="preserve"> a non-verbal reasoning test</w:t>
      </w:r>
      <w:r>
        <w:t>,</w:t>
      </w:r>
      <w:r w:rsidRPr="00E47B2B">
        <w:t xml:space="preserve"> and a posture stability test.</w:t>
      </w:r>
    </w:p>
    <w:p w14:paraId="563D8942" w14:textId="77777777" w:rsidR="00384145" w:rsidRDefault="007707AB" w:rsidP="007707AB">
      <w:r>
        <w:t xml:space="preserve">One limitation </w:t>
      </w:r>
      <w:r w:rsidRPr="00E47B2B">
        <w:t xml:space="preserve">of the DAST to accurately identify students with </w:t>
      </w:r>
      <w:r>
        <w:t>dyslexia was evidenced by an appraisal suggesting inadequate validation and standardization (</w:t>
      </w:r>
      <w:r w:rsidRPr="00E47B2B">
        <w:t xml:space="preserve">Harrison </w:t>
      </w:r>
      <w:r>
        <w:t xml:space="preserve">&amp; </w:t>
      </w:r>
      <w:r w:rsidRPr="00E47B2B">
        <w:t>Nichols</w:t>
      </w:r>
      <w:r>
        <w:t xml:space="preserve">, </w:t>
      </w:r>
      <w:r w:rsidRPr="00E47B2B">
        <w:t xml:space="preserve">2005) </w:t>
      </w:r>
      <w:r>
        <w:t>although other studies to corroborate this have not been found</w:t>
      </w:r>
      <w:r w:rsidRPr="00E47B2B">
        <w:t>. Computerized screening tools have been available for some time, such as the</w:t>
      </w:r>
      <w:r>
        <w:t xml:space="preserve"> </w:t>
      </w:r>
      <w:r w:rsidRPr="00E47B2B">
        <w:t>Lucid Adult Dyslexia Screening</w:t>
      </w:r>
      <w:r>
        <w:t xml:space="preserve"> (LADS)</w:t>
      </w:r>
      <w:r w:rsidRPr="00E47B2B">
        <w:t xml:space="preserve"> (Lucid Innovations, 2015)</w:t>
      </w:r>
      <w:r>
        <w:t>,</w:t>
      </w:r>
      <w:r w:rsidRPr="00E47B2B">
        <w:t xml:space="preserve"> which generate</w:t>
      </w:r>
      <w:r>
        <w:t>s</w:t>
      </w:r>
      <w:r w:rsidRPr="00E47B2B">
        <w:t xml:space="preserve"> a graphical report </w:t>
      </w:r>
      <w:r>
        <w:t xml:space="preserve">indicating that </w:t>
      </w:r>
      <w:r w:rsidRPr="00E47B2B">
        <w:t xml:space="preserve">the individual </w:t>
      </w:r>
      <w:r>
        <w:t>is either</w:t>
      </w:r>
      <w:r w:rsidRPr="00E47B2B">
        <w:t xml:space="preserve"> 'at risk' or 'not at risk'. Aside from being a coarse discriminator, 'at risk' </w:t>
      </w:r>
      <w:r>
        <w:t>might be taken as implying</w:t>
      </w:r>
      <w:r w:rsidRPr="00E47B2B">
        <w:t xml:space="preserve"> that dyslexia is viewed through the lens of negative and disabling attributes</w:t>
      </w:r>
      <w:r>
        <w:t>. I</w:t>
      </w:r>
      <w:r w:rsidRPr="00E47B2B">
        <w:t>t is unclear what an identified individual is 'at risk' of, possib</w:t>
      </w:r>
      <w:r>
        <w:t xml:space="preserve">ly suggesting that </w:t>
      </w:r>
      <w:r w:rsidRPr="00E47B2B">
        <w:t xml:space="preserve">further or worsening dyslexic characteristics </w:t>
      </w:r>
      <w:r>
        <w:t xml:space="preserve">may develop </w:t>
      </w:r>
      <w:r w:rsidRPr="00E47B2B">
        <w:t>if the condition remains unidentified</w:t>
      </w:r>
      <w:r>
        <w:t xml:space="preserve"> or perhaps even ‘treated’</w:t>
      </w:r>
      <w:r w:rsidRPr="00E47B2B">
        <w:t>?</w:t>
      </w:r>
    </w:p>
    <w:p w14:paraId="173EB858" w14:textId="714DF1AE" w:rsidR="007707AB" w:rsidRDefault="007707AB" w:rsidP="007707AB">
      <w:r w:rsidRPr="00E47B2B">
        <w:t xml:space="preserve">The screening test comprises </w:t>
      </w:r>
      <w:r>
        <w:t>five</w:t>
      </w:r>
      <w:r w:rsidRPr="00E47B2B">
        <w:t xml:space="preserve"> sub-tests which measure nonverbal reasoning, verbal reasoning, word recognition, word construction and working memory (through the backward digit span test)</w:t>
      </w:r>
      <w:r w:rsidR="00E95780">
        <w:t xml:space="preserve"> </w:t>
      </w:r>
      <w:r w:rsidRPr="00E47B2B">
        <w:t>and indicates that just the final three of these sub-tests are dyslexia-sensitive. The reasoning tests are included based on claims that to do so improves screening accuracy</w:t>
      </w:r>
      <w:r>
        <w:t>,</w:t>
      </w:r>
      <w:r w:rsidRPr="00E47B2B">
        <w:t xml:space="preserve"> and that results provide additional information 'that would be helpful in interpreting results' (ibid, p13)</w:t>
      </w:r>
      <w:r>
        <w:t xml:space="preserve">. This appears to be attempting to </w:t>
      </w:r>
      <w:r w:rsidRPr="00E47B2B">
        <w:t xml:space="preserve">provide a measure of the individual's 'intelligence' - which, in the light of Stanovich's standpoint on intelligence and dyslexia mentioned </w:t>
      </w:r>
      <w:r>
        <w:t>previously (see sub-section 2.1(I))</w:t>
      </w:r>
      <w:r w:rsidRPr="00E47B2B">
        <w:t>, is of dubious worth</w:t>
      </w:r>
      <w:r>
        <w:t>,</w:t>
      </w:r>
      <w:r w:rsidRPr="00E47B2B">
        <w:t xml:space="preserve"> and might be an indication that the authors of the screening test </w:t>
      </w:r>
      <w:r>
        <w:t xml:space="preserve">believe </w:t>
      </w:r>
      <w:r w:rsidRPr="00E47B2B">
        <w:t>that there is an associative relationship be</w:t>
      </w:r>
      <w:r>
        <w:t>tween intelligence and dyslexia;</w:t>
      </w:r>
      <w:r w:rsidRPr="00E47B2B">
        <w:t xml:space="preserve"> an idea which has been repeatedly debunked. </w:t>
      </w:r>
      <w:r>
        <w:t xml:space="preserve">For example, </w:t>
      </w:r>
      <w:r w:rsidRPr="00E47B2B">
        <w:t xml:space="preserve">Gus </w:t>
      </w:r>
      <w:r>
        <w:t>and</w:t>
      </w:r>
      <w:r w:rsidRPr="00E47B2B">
        <w:t xml:space="preserve"> Samuelsson (</w:t>
      </w:r>
      <w:r>
        <w:t>1999</w:t>
      </w:r>
      <w:r w:rsidRPr="00E47B2B">
        <w:t>) argued that there is no clear, causal relationship between intelligence level and decoding skills not least because intelligence is a 'fuzzy concept' which can be assessed in a wide variety of ways</w:t>
      </w:r>
      <w:r>
        <w:t>, and one of the findings of the Rose review (2009) was that dyslexia is unrelated to intellectual abilities.</w:t>
      </w:r>
    </w:p>
    <w:p w14:paraId="3B8232CC" w14:textId="77777777" w:rsidR="00384145" w:rsidRDefault="007707AB" w:rsidP="007707AB">
      <w:r w:rsidRPr="00FE2AC2">
        <w:lastRenderedPageBreak/>
        <w:t>However</w:t>
      </w:r>
      <w:r w:rsidR="00E95780">
        <w:t>,</w:t>
      </w:r>
      <w:r w:rsidRPr="00FE2AC2">
        <w:t xml:space="preserve"> </w:t>
      </w:r>
      <w:r>
        <w:t xml:space="preserve">there </w:t>
      </w:r>
      <w:r w:rsidRPr="00FE2AC2">
        <w:t xml:space="preserve">have </w:t>
      </w:r>
      <w:r>
        <w:t>been other attempts</w:t>
      </w:r>
      <w:r w:rsidRPr="00FE2AC2">
        <w:t xml:space="preserve"> to create ele</w:t>
      </w:r>
      <w:r>
        <w:t xml:space="preserve">ctronic, computerized screeners, particularly since </w:t>
      </w:r>
      <w:r w:rsidRPr="00FE2AC2">
        <w:t xml:space="preserve">desktop computer facilities </w:t>
      </w:r>
      <w:r>
        <w:t>have become</w:t>
      </w:r>
      <w:r w:rsidRPr="00FE2AC2">
        <w:t xml:space="preserve"> more wi</w:t>
      </w:r>
      <w:r>
        <w:t>dely available</w:t>
      </w:r>
      <w:r w:rsidRPr="00FE2AC2">
        <w:t xml:space="preserve">. Worthy </w:t>
      </w:r>
      <w:r>
        <w:t xml:space="preserve">of </w:t>
      </w:r>
      <w:r w:rsidRPr="00FE2AC2">
        <w:t xml:space="preserve">mention is the QuickScan + StudyScan Suite </w:t>
      </w:r>
      <w:r>
        <w:t xml:space="preserve">(Pico Educational Systems, 2011) </w:t>
      </w:r>
      <w:r w:rsidRPr="00FE2AC2">
        <w:t xml:space="preserve">which was </w:t>
      </w:r>
      <w:r>
        <w:t xml:space="preserve">was developed from </w:t>
      </w:r>
      <w:r w:rsidRPr="00FE2AC2">
        <w:t>da</w:t>
      </w:r>
      <w:r>
        <w:t xml:space="preserve">ta collected from 2000 university students attending </w:t>
      </w:r>
      <w:r w:rsidRPr="00FE2AC2">
        <w:t xml:space="preserve">two HE </w:t>
      </w:r>
      <w:r>
        <w:t xml:space="preserve">institutions in the UK of whom </w:t>
      </w:r>
      <w:r w:rsidRPr="00FE2AC2">
        <w:t>200 were known to be dyslexic</w:t>
      </w:r>
      <w:r>
        <w:t xml:space="preserve"> </w:t>
      </w:r>
      <w:r w:rsidRPr="00FE2AC2">
        <w:t xml:space="preserve">(Zdzienski, 1998). </w:t>
      </w:r>
      <w:r>
        <w:t>This</w:t>
      </w:r>
      <w:r w:rsidRPr="00FE2AC2">
        <w:t xml:space="preserve"> is included </w:t>
      </w:r>
      <w:r>
        <w:t xml:space="preserve">in the discussion here </w:t>
      </w:r>
      <w:r w:rsidRPr="00FE2AC2">
        <w:t>because the design rationale shares similarities with the approach ad</w:t>
      </w:r>
      <w:r>
        <w:t xml:space="preserve">opted in this current project for the Dx Profiler </w:t>
      </w:r>
      <w:r w:rsidRPr="00FE2AC2">
        <w:t xml:space="preserve">whereby the aim of the screener was to produce a wide profile of skills, attributes and characteristics through a blend of assessments that took study processes, perceived strengths and weaknesses and learning style preferences as the principal foci of its self-report questionnaire. These included a range of other characteristics and attributes that are indicators of a dyslexia with these being drawn from Vinegrad's Adult Dyslexia Checklist (1994) which has also been informative in the </w:t>
      </w:r>
      <w:r>
        <w:t>development of the D</w:t>
      </w:r>
      <w:r w:rsidRPr="00FE2AC2">
        <w:t>x Profiler in this project. As such, the QuickScan screener sets an early precedent for an evaluator that attempts to gauge dyslexia-ness as a potentially impacting element within a wider academic learning management profile, many of the aspects of which might be equally applicable to students with no indications of a conventionally-defined dyslexia, much as the data analysis outcomes of this thesis have also revealed.</w:t>
      </w:r>
    </w:p>
    <w:p w14:paraId="5B2F8070" w14:textId="77777777" w:rsidR="00793BE0" w:rsidRDefault="007707AB" w:rsidP="007707AB">
      <w:r w:rsidRPr="00FE2AC2">
        <w:t>The process required the screening tool, QuickScan, to be used first where 112 self-report questions</w:t>
      </w:r>
      <w:r>
        <w:t xml:space="preserve"> were asked; these</w:t>
      </w:r>
      <w:r w:rsidRPr="00FE2AC2">
        <w:t xml:space="preserve"> ranged from statements gauging working memory, competencies in systematic memory recall, time-management and organization, perceived competencies in reading and spelling</w:t>
      </w:r>
      <w:r>
        <w:t xml:space="preserve">, handedness, together with </w:t>
      </w:r>
      <w:r w:rsidRPr="00FE2AC2">
        <w:t>questions which were dubiously aligned with the vision-differences theories of dyslexia such as 'do you find that your eyes tend to g</w:t>
      </w:r>
      <w:r>
        <w:t xml:space="preserve">et tired when reading?' and </w:t>
      </w:r>
      <w:r w:rsidRPr="00FE2AC2">
        <w:t>other outwardly incongruous questions such as 'do you tend</w:t>
      </w:r>
      <w:r>
        <w:t xml:space="preserve"> to hum or talk to yourself?',</w:t>
      </w:r>
      <w:r w:rsidRPr="00FE2AC2">
        <w:t xml:space="preserve"> 'if you g</w:t>
      </w:r>
      <w:r>
        <w:t>et angry do you often shout?' and</w:t>
      </w:r>
      <w:r w:rsidRPr="00FE2AC2">
        <w:t xml:space="preserve"> 'when visiting somewhere for the first time, is it the atmosphere and the feel of the place that makes the greatest impression on you?'. Respondents were required to provide only a binary </w:t>
      </w:r>
      <w:r>
        <w:t>(</w:t>
      </w:r>
      <w:r w:rsidRPr="00FE2AC2">
        <w:t>yes or no</w:t>
      </w:r>
      <w:r>
        <w:t>)</w:t>
      </w:r>
      <w:r w:rsidRPr="00FE2AC2">
        <w:t xml:space="preserve"> response. No Likert-style anchor point gradations were provided to enable other response selections such as 'sometimes' or 'infrequently' to be offered. The screener remains available as a desktop application and so it was reviewed. Questions are presented in a small, on-screen text box where colour combinations between text and background are selectable from a modest choice, as is font size, echoing the popularity at the time for providing accessibility tools to make the reading of on-screen text less visually stressful, although the relationship between dyslexia and visual stress had remained contentious (Singleton &amp; Trotter, 2005). No provision is made for audio presentation of questions</w:t>
      </w:r>
      <w:r>
        <w:t>,</w:t>
      </w:r>
      <w:r w:rsidRPr="00FE2AC2">
        <w:t xml:space="preserve"> for example by using a text-to-speech engine although this may be because text-to-speech applications such as TextHelp Read &amp; Write </w:t>
      </w:r>
      <w:r>
        <w:t xml:space="preserve">(Texthelp Ltd, </w:t>
      </w:r>
      <w:r>
        <w:lastRenderedPageBreak/>
        <w:t xml:space="preserve">2015) </w:t>
      </w:r>
      <w:r w:rsidRPr="00FE2AC2">
        <w:t xml:space="preserve">and ClaroRead </w:t>
      </w:r>
      <w:r>
        <w:t xml:space="preserve">(Claro Software Ltd, 2017) </w:t>
      </w:r>
      <w:r w:rsidRPr="00FE2AC2">
        <w:t>were at an early stage of development and not readily available at the time.</w:t>
      </w:r>
    </w:p>
    <w:p w14:paraId="5C32D4B2" w14:textId="31A32782" w:rsidR="007707AB" w:rsidRDefault="007707AB" w:rsidP="007707AB">
      <w:r w:rsidRPr="00FE2AC2">
        <w:t xml:space="preserve">It is claimed that 15 minutes is sufficient to complete the test but on working through the screener twice with an interval of at least 6 months between the two attempts, both took </w:t>
      </w:r>
      <w:r>
        <w:t xml:space="preserve">me </w:t>
      </w:r>
      <w:r w:rsidRPr="00FE2AC2">
        <w:t>longer than 20 minutes. The questions were answered quickly without hesitations for 'thinking time'; I have no known dyslexic learning differences and would imagine that my academic experience may have fostered a better-than-average text-scanning capability together with a familiarity with the content and context of the questions in the assessment. So</w:t>
      </w:r>
      <w:r>
        <w:t>,</w:t>
      </w:r>
      <w:r w:rsidRPr="00FE2AC2">
        <w:t xml:space="preserve"> it is doubtful that a student with little or no experience of such assessments would complete it in the suggested 15 minutes. The output provided at the end of the test is a cursory, summary evaluation of learning styles (mine came out as 'multisensory' both times) with some broad guidance and advice about how to make best use of that information. Also presented were indications about whether or not a need for supplementary study support had been indicated and whether specific learning difficulties consistent with dyslexia were revealed - it suggested neither for me. If the QuickScan screener reports otherwise, the intended pathway is for the StudyScan diagnostic tool to be applied. This was a much more comprehensive diagnostic process based on the American Schola</w:t>
      </w:r>
      <w:r>
        <w:t xml:space="preserve">stic Abilities Test for Adults (SATA - </w:t>
      </w:r>
      <w:r w:rsidRPr="00FE2AC2">
        <w:t xml:space="preserve">Bryant </w:t>
      </w:r>
      <w:r>
        <w:t>et al., 1991) comprising</w:t>
      </w:r>
      <w:r w:rsidRPr="00FE2AC2">
        <w:t xml:space="preserve"> 17 di</w:t>
      </w:r>
      <w:r>
        <w:t xml:space="preserve">stinct assessments including </w:t>
      </w:r>
      <w:r w:rsidRPr="00FE2AC2">
        <w:t>non-</w:t>
      </w:r>
      <w:r>
        <w:t>verbal</w:t>
      </w:r>
      <w:r w:rsidRPr="00FE2AC2">
        <w:t xml:space="preserve"> and </w:t>
      </w:r>
      <w:r>
        <w:t>verbal-reasoning tests</w:t>
      </w:r>
      <w:r w:rsidRPr="00FE2AC2">
        <w:t xml:space="preserve"> for memory, phonological competencies, visual processing, reading and writing speeds, punctuation, numeric</w:t>
      </w:r>
      <w:r>
        <w:t>al calculations</w:t>
      </w:r>
      <w:r w:rsidRPr="00FE2AC2">
        <w:t>. It was expected that the comple</w:t>
      </w:r>
      <w:r>
        <w:t xml:space="preserve">te assessment would </w:t>
      </w:r>
      <w:r w:rsidRPr="00FE2AC2">
        <w:t>take between two and four hours which, by any re</w:t>
      </w:r>
      <w:r>
        <w:t xml:space="preserve">asonable judgment, would </w:t>
      </w:r>
      <w:r w:rsidRPr="00FE2AC2">
        <w:t>have made it a demanding and onerous task, especially so for the very students it was attempting to identify.</w:t>
      </w:r>
    </w:p>
    <w:p w14:paraId="24A894F3" w14:textId="77777777" w:rsidR="00793BE0" w:rsidRDefault="007707AB" w:rsidP="007707AB">
      <w:r w:rsidRPr="008B513E">
        <w:t xml:space="preserve">An extensive critique of the QuickScan + StudyScan Suite was conducted in a three-university collaborative project (Haslam &amp; Kiziewicz, 2001) with data collected principally from students who undertook the complete </w:t>
      </w:r>
      <w:r>
        <w:t>assessment process (n=126). These data were</w:t>
      </w:r>
      <w:r w:rsidRPr="008B513E">
        <w:t xml:space="preserve"> collected at just one of those universities </w:t>
      </w:r>
      <w:r>
        <w:t xml:space="preserve">which </w:t>
      </w:r>
      <w:r w:rsidRPr="008B513E">
        <w:t xml:space="preserve">had a well-developed Learning Support Service and access to data from a greater number of </w:t>
      </w:r>
      <w:r>
        <w:t>students with dyslexia. Haslam and</w:t>
      </w:r>
      <w:r w:rsidRPr="008B513E">
        <w:t xml:space="preserve"> Kiziewicz made a number of astute conclusions about the viabi</w:t>
      </w:r>
      <w:r>
        <w:t xml:space="preserve">lity of the Suite, </w:t>
      </w:r>
      <w:r w:rsidRPr="008B513E">
        <w:t>noting logistical challenges in administering a two-stage computerized test not least due to technical issues with the hardware and software used to present them but also due to the amount of time required to complete the tests</w:t>
      </w:r>
      <w:r>
        <w:t>,</w:t>
      </w:r>
      <w:r w:rsidRPr="008B513E">
        <w:t xml:space="preserve"> reporting that 'some students returned several times to complete the assessment' (ibid, p15). This highlighted the further difficulty of respondent attrition where many students who screened as likely to be strongly dyslexic in the first-stage screener failed to complete, or even to attend the second stage multi-test StudyScan profiler. One interestin</w:t>
      </w:r>
      <w:r>
        <w:t xml:space="preserve">g feature </w:t>
      </w:r>
      <w:r w:rsidRPr="008B513E">
        <w:t>emerge</w:t>
      </w:r>
      <w:r>
        <w:t>d</w:t>
      </w:r>
      <w:r w:rsidRPr="008B513E">
        <w:t xml:space="preserve"> out of the </w:t>
      </w:r>
      <w:r w:rsidRPr="008B513E">
        <w:lastRenderedPageBreak/>
        <w:t>classification table of correlations between the outcomes of the QuickScan scree</w:t>
      </w:r>
      <w:r>
        <w:t xml:space="preserve">ner and those </w:t>
      </w:r>
      <w:r w:rsidRPr="008B513E">
        <w:t xml:space="preserve">of the </w:t>
      </w:r>
      <w:r>
        <w:t xml:space="preserve">StudyScan assessment in that </w:t>
      </w:r>
      <w:r w:rsidRPr="008B513E">
        <w:t>exactly half of the students who were shown by the QuickScan screener as presenting 'some of the indicators' of dyslexia and who went on to take the full StudyScan assessment were subsequently shown to have profiles which were either 'not consistent with dyslexia' or 'borderline' or presented an 'inconclusive indicator'.</w:t>
      </w:r>
    </w:p>
    <w:p w14:paraId="027D2D82" w14:textId="77777777" w:rsidR="00793BE0" w:rsidRDefault="007707AB" w:rsidP="007707AB">
      <w:r>
        <w:t xml:space="preserve">A </w:t>
      </w:r>
      <w:r w:rsidRPr="008B513E">
        <w:t xml:space="preserve">similar outcome has </w:t>
      </w:r>
      <w:r>
        <w:t xml:space="preserve">been observed in the current study which </w:t>
      </w:r>
      <w:r w:rsidR="00793BE0">
        <w:t xml:space="preserve">found that </w:t>
      </w:r>
      <w:r w:rsidRPr="008B513E">
        <w:t xml:space="preserve">a not insubstantial proportion of students who </w:t>
      </w:r>
      <w:r>
        <w:t xml:space="preserve">either </w:t>
      </w:r>
      <w:r w:rsidRPr="008B513E">
        <w:t xml:space="preserve">declared no learning challenges </w:t>
      </w:r>
      <w:r>
        <w:t xml:space="preserve">or </w:t>
      </w:r>
      <w:r w:rsidRPr="008B513E">
        <w:t>who declared their dys</w:t>
      </w:r>
      <w:r>
        <w:t>lexia presented a Dx</w:t>
      </w:r>
      <w:r w:rsidRPr="008B513E">
        <w:t xml:space="preserve"> value that also put them in an apparently 'borderline' area. There may be many explanations for this, especially as both </w:t>
      </w:r>
      <w:r>
        <w:t>the survey conducted by Haslam and</w:t>
      </w:r>
      <w:r w:rsidRPr="008B513E">
        <w:t xml:space="preserve"> Kiziewicz and </w:t>
      </w:r>
      <w:r>
        <w:t xml:space="preserve">this current </w:t>
      </w:r>
      <w:r w:rsidRPr="008B513E">
        <w:t xml:space="preserve">project </w:t>
      </w:r>
      <w:r>
        <w:t>derived</w:t>
      </w:r>
      <w:r w:rsidRPr="008B513E">
        <w:t xml:space="preserve"> data from relati</w:t>
      </w:r>
      <w:r>
        <w:t xml:space="preserve">vely small </w:t>
      </w:r>
      <w:r w:rsidRPr="008B513E">
        <w:t>sample sizes (n=126 and n=166 respectively) which is a limitation on the generalizabi</w:t>
      </w:r>
      <w:r>
        <w:t xml:space="preserve">lity of the outcomes. However, as </w:t>
      </w:r>
      <w:r w:rsidRPr="008B513E">
        <w:t>both studies appear to have revealed a si</w:t>
      </w:r>
      <w:r>
        <w:t xml:space="preserve">zeable </w:t>
      </w:r>
      <w:r w:rsidRPr="008B513E">
        <w:t xml:space="preserve">number of students who might be regarded as partly dyslexic, or just dyslexic sometimes </w:t>
      </w:r>
      <w:r>
        <w:t xml:space="preserve">or in particular circumstances, </w:t>
      </w:r>
      <w:r w:rsidRPr="008B513E">
        <w:t>the idea</w:t>
      </w:r>
      <w:r>
        <w:t xml:space="preserve"> cannot be ignored that this may be </w:t>
      </w:r>
      <w:r w:rsidRPr="008B513E">
        <w:t>evidence of the significant difficulties that rem</w:t>
      </w:r>
      <w:r>
        <w:t xml:space="preserve">ain </w:t>
      </w:r>
      <w:r w:rsidRPr="008B513E">
        <w:t>when designing new processes for determining whether a student presenting a particular set of study or academic learning management difficulties is actually presenting dyslexia or not. Thi</w:t>
      </w:r>
      <w:r>
        <w:t>s is the point made by Elliott and</w:t>
      </w:r>
      <w:r w:rsidRPr="008B513E">
        <w:t xml:space="preserve"> Grigorenko (2014) who conclude that if a workable assessment tool is to be devised and developed, then the primary issue is establishing sensible boundary conditions above and below which dyslexia is considered to be the cause of the student's difficulties or not.</w:t>
      </w:r>
    </w:p>
    <w:p w14:paraId="25168A81" w14:textId="75741CAE" w:rsidR="007707AB" w:rsidRDefault="007707AB" w:rsidP="007707AB">
      <w:r w:rsidRPr="008B513E">
        <w:t>This is, of course, not least due to a) the persistent difficulty in defining dyslexia in the first place and b) the wide diversity of learning differences that may be presented. Further doubts about the viability of the QuickScan + StudyScan Suite were identified by Sanderson (2000) whose highly critical report on unspecified 'pilot studies' of the Suite identified serious flaws in both the assessment's validity and la</w:t>
      </w:r>
      <w:r>
        <w:t>ck of evidence of reliability. E</w:t>
      </w:r>
      <w:r w:rsidRPr="008B513E">
        <w:t xml:space="preserve">nsuring </w:t>
      </w:r>
      <w:r>
        <w:t xml:space="preserve">that </w:t>
      </w:r>
      <w:r w:rsidRPr="008B513E">
        <w:t>a test for dyslexia is valid rai</w:t>
      </w:r>
      <w:r>
        <w:t xml:space="preserve">ses a multitude of issues, </w:t>
      </w:r>
      <w:r w:rsidRPr="008B513E">
        <w:t>not least due to the wide variety of attributes and characteristics present or absent in a bewildering array of combinations but widely regarded as possible indica</w:t>
      </w:r>
      <w:r>
        <w:t xml:space="preserve">tors of dyslexia. </w:t>
      </w:r>
      <w:r w:rsidRPr="008B513E">
        <w:t>Sanderson also highlighted concerns over the Suite's use of the concepts of preferred learning styles as one of the data-outcome quantifiers. Principally the criticism was that adopting the idea that preferred learning styles are fixed is dubious, citing evidence from other researchers (ibid, p286: Miles, 1991</w:t>
      </w:r>
      <w:r>
        <w:t>;</w:t>
      </w:r>
      <w:r w:rsidRPr="008B513E">
        <w:t xml:space="preserve"> Thomson, 1999) to highlight not only the complexity and possible fluidity of an individual's learning style but also how this may be i</w:t>
      </w:r>
      <w:r>
        <w:t xml:space="preserve">nfluenced by pedagogical </w:t>
      </w:r>
      <w:r w:rsidRPr="008B513E">
        <w:t>experiences. Mortimore (2005) also indicated the need f</w:t>
      </w:r>
      <w:r>
        <w:t xml:space="preserve">or a cautious approach to </w:t>
      </w:r>
      <w:r w:rsidRPr="008B513E">
        <w:t xml:space="preserve">learning styles evaluations based on limited data sources, especially when </w:t>
      </w:r>
      <w:r w:rsidRPr="008B513E">
        <w:lastRenderedPageBreak/>
        <w:t>t</w:t>
      </w:r>
      <w:r>
        <w:t xml:space="preserve">hese are intended to </w:t>
      </w:r>
      <w:r w:rsidRPr="008B513E">
        <w:t>classify</w:t>
      </w:r>
      <w:r>
        <w:t xml:space="preserve"> learners and determine </w:t>
      </w:r>
      <w:r w:rsidRPr="008B513E">
        <w:t>teaching approaches, not only in respect of working with dyslexic learners but also more widely. Sanderson (op cit) concluded that the publication of the QuickScan + StudyScan Suite was premature and that more work</w:t>
      </w:r>
      <w:r>
        <w:t xml:space="preserve"> was needed </w:t>
      </w:r>
      <w:r w:rsidRPr="008B513E">
        <w:t>at a fundamental level before the Suite could be used with confidence as a dyslexia identifier.</w:t>
      </w:r>
    </w:p>
    <w:p w14:paraId="6CCC4888" w14:textId="77777777" w:rsidR="007707AB" w:rsidRDefault="007707AB" w:rsidP="007707AB">
      <w:r w:rsidRPr="008B513E">
        <w:t>However</w:t>
      </w:r>
      <w:r>
        <w:t>,</w:t>
      </w:r>
      <w:r w:rsidRPr="008B513E">
        <w:t xml:space="preserve"> this does not alter the fact that building profiles of learners that</w:t>
      </w:r>
      <w:r>
        <w:t>,</w:t>
      </w:r>
      <w:r w:rsidRPr="008B513E">
        <w:t xml:space="preserve"> through careful interpretation</w:t>
      </w:r>
      <w:r>
        <w:t>,</w:t>
      </w:r>
      <w:r w:rsidRPr="008B513E">
        <w:t xml:space="preserve"> </w:t>
      </w:r>
      <w:r>
        <w:t xml:space="preserve">might provide insights into </w:t>
      </w:r>
      <w:r w:rsidRPr="008B513E">
        <w:t>ways in which they function in learning domains can be useful provided the outcomes of the profilers are not used too deterministically. Dyslexia is clearly not a black-and-white construct and mounting evidence supports the view that categorizin</w:t>
      </w:r>
      <w:r>
        <w:t xml:space="preserve">g students, in HE </w:t>
      </w:r>
      <w:r w:rsidRPr="008B513E">
        <w:t>i</w:t>
      </w:r>
      <w:r>
        <w:t xml:space="preserve">n particular, as dyslexic or </w:t>
      </w:r>
      <w:r w:rsidRPr="008B513E">
        <w:t>not is unh</w:t>
      </w:r>
      <w:r>
        <w:t xml:space="preserve">elpful, possibly stigmatizing; this is </w:t>
      </w:r>
      <w:r w:rsidRPr="008B513E">
        <w:t>especi</w:t>
      </w:r>
      <w:r>
        <w:t>ally so when dyslexia is diagnosed as a disability. Furthermore, it becomes positively discriminatory when</w:t>
      </w:r>
      <w:r w:rsidRPr="008B513E">
        <w:t xml:space="preserve"> legislation that seeks to redress apparent disadvantage migh</w:t>
      </w:r>
      <w:r>
        <w:t xml:space="preserve">t in fact, bestow </w:t>
      </w:r>
      <w:r w:rsidRPr="008B513E">
        <w:t xml:space="preserve">academic advantage </w:t>
      </w:r>
      <w:r>
        <w:t>(as mentioned previously)</w:t>
      </w:r>
      <w:r w:rsidRPr="008B513E">
        <w:t xml:space="preserve">, not least through the application of 'reasonable adjustments' which </w:t>
      </w:r>
      <w:r>
        <w:t xml:space="preserve">are either ‘better than reasonable’ or which </w:t>
      </w:r>
      <w:r w:rsidRPr="008B513E">
        <w:t>may threaten academic standards</w:t>
      </w:r>
      <w:r>
        <w:t xml:space="preserve"> by adjusting assessment criteria to compensate for learning challenges</w:t>
      </w:r>
      <w:r w:rsidRPr="008B513E">
        <w:t xml:space="preserve"> (Riddell &amp; Weedon, 2007)</w:t>
      </w:r>
      <w:r>
        <w:t>; this is especially the case where these might be said to be due to institutional curriculum delivery arrangements rather than being attributable to the individual learner</w:t>
      </w:r>
      <w:r w:rsidRPr="008B513E">
        <w:t xml:space="preserve">. But gaining knowledge of a dyslexia, however it may be defined, is liberating </w:t>
      </w:r>
      <w:r>
        <w:t xml:space="preserve">and empowering </w:t>
      </w:r>
      <w:r w:rsidRPr="008B513E">
        <w:t>for some adult learners (as men</w:t>
      </w:r>
      <w:r>
        <w:t>tioned earlier in sub-section 2.1(V)</w:t>
      </w:r>
      <w:r w:rsidRPr="008B513E">
        <w:t>) because this might at last enable them to understand why they may have found learning so challenging in the past. Navigating a path through this landscape has been one of the greatest challenges of this research project and hence, has contributed to the rationale for designing and building the specific, evaluative tool to meet the needs of this study's research questions. By adopting an approach to devising a metric that considers variances in study behaviours and learning preferences as the basis of its worki</w:t>
      </w:r>
      <w:r>
        <w:t>ng parameters, the D</w:t>
      </w:r>
      <w:r w:rsidRPr="008B513E">
        <w:t xml:space="preserve">x </w:t>
      </w:r>
      <w:r>
        <w:t>Profiler</w:t>
      </w:r>
      <w:r w:rsidRPr="008B513E">
        <w:t xml:space="preserve"> is building on the emerging discourse that is grounded in non-cognitive </w:t>
      </w:r>
      <w:r>
        <w:t>evaluative processes. An overview</w:t>
      </w:r>
      <w:r w:rsidRPr="008B513E">
        <w:t xml:space="preserve"> account of this design and dev</w:t>
      </w:r>
      <w:r>
        <w:t>elopment is presented in Section 3.1(III)</w:t>
      </w:r>
      <w:r w:rsidRPr="008B513E">
        <w:t>.</w:t>
      </w:r>
    </w:p>
    <w:p w14:paraId="74078928" w14:textId="34073B51" w:rsidR="007707AB" w:rsidRDefault="007707AB" w:rsidP="007707AB">
      <w:r w:rsidRPr="00AA5F21">
        <w:t xml:space="preserve">Warmington </w:t>
      </w:r>
      <w:r>
        <w:t>et al.</w:t>
      </w:r>
      <w:r w:rsidRPr="00AA5F21">
        <w:t xml:space="preserve"> (2013) responded to the perception that dyslexic students present additional learning needs in university settings in comparison with earlier-years learners</w:t>
      </w:r>
      <w:r>
        <w:t>,</w:t>
      </w:r>
      <w:r w:rsidRPr="00AA5F21">
        <w:t xml:space="preserve"> also stating that as a result of the increased participation in </w:t>
      </w:r>
      <w:r>
        <w:t>HE</w:t>
      </w:r>
      <w:r w:rsidRPr="00AA5F21">
        <w:t xml:space="preserve"> in the UK more generally</w:t>
      </w:r>
      <w:r>
        <w:t>,</w:t>
      </w:r>
      <w:r w:rsidRPr="00AA5F21">
        <w:t xml:space="preserve"> there is likely to be at least a corresponding increasing in the proportion of students who present disabilities or learning differences. Warmington quotes HESA (Higher Education Statistics Agency) figures for 2006 as 3.2% of students entering</w:t>
      </w:r>
      <w:r w:rsidR="00E95780">
        <w:t xml:space="preserve"> </w:t>
      </w:r>
      <w:r>
        <w:t>HE</w:t>
      </w:r>
      <w:r w:rsidRPr="00AA5F21">
        <w:t xml:space="preserve"> with dyslexia</w:t>
      </w:r>
      <w:r>
        <w:t xml:space="preserve">, while a </w:t>
      </w:r>
      <w:r w:rsidRPr="00AA5F21">
        <w:t>recent</w:t>
      </w:r>
      <w:r>
        <w:t xml:space="preserve"> </w:t>
      </w:r>
      <w:r w:rsidRPr="00AA5F21">
        <w:t xml:space="preserve">enquiry </w:t>
      </w:r>
      <w:r>
        <w:t xml:space="preserve">to </w:t>
      </w:r>
      <w:r w:rsidRPr="00AA5F21">
        <w:t>HESA elicited data for 2013/14 which indicated students with a learning disability accounting for 4.8% of the student population overall (Greep, 2017)</w:t>
      </w:r>
      <w:r>
        <w:t>.  However, t</w:t>
      </w:r>
      <w:r w:rsidRPr="00AA5F21">
        <w:t xml:space="preserve">his </w:t>
      </w:r>
      <w:r>
        <w:t>category</w:t>
      </w:r>
      <w:r w:rsidRPr="00AA5F21">
        <w:t xml:space="preserve"> also account</w:t>
      </w:r>
      <w:r>
        <w:t>s</w:t>
      </w:r>
      <w:r w:rsidRPr="00AA5F21">
        <w:t xml:space="preserve"> for 48% of students disclosing </w:t>
      </w:r>
      <w:r>
        <w:t>other</w:t>
      </w:r>
      <w:r w:rsidRPr="00AA5F21">
        <w:t xml:space="preserve"> disabilit</w:t>
      </w:r>
      <w:r>
        <w:t xml:space="preserve">ies such as visual </w:t>
      </w:r>
      <w:r>
        <w:lastRenderedPageBreak/>
        <w:t>impairments or unseen mental health conditions</w:t>
      </w:r>
      <w:r w:rsidRPr="00AA5F21">
        <w:t xml:space="preserve">. </w:t>
      </w:r>
      <w:r>
        <w:t xml:space="preserve">Hence, </w:t>
      </w:r>
      <w:r w:rsidRPr="00AA5F21">
        <w:t xml:space="preserve">HESA does not identify dyslexia specifically, </w:t>
      </w:r>
      <w:r>
        <w:t xml:space="preserve">although </w:t>
      </w:r>
      <w:r w:rsidRPr="00AA5F21">
        <w:t xml:space="preserve">Greep stated that HESA is of the opinion that dyslexia is by far the most numerous </w:t>
      </w:r>
      <w:r>
        <w:t xml:space="preserve">amongst the </w:t>
      </w:r>
      <w:r w:rsidRPr="00AA5F21">
        <w:t>learning disabilit</w:t>
      </w:r>
      <w:r>
        <w:t>ies accumulated into this category. This</w:t>
      </w:r>
      <w:r w:rsidRPr="00AA5F21">
        <w:t xml:space="preserve"> makes students with dyslexia the biggest single group of students with disabilities at universit</w:t>
      </w:r>
      <w:r>
        <w:t xml:space="preserve">y </w:t>
      </w:r>
      <w:r w:rsidRPr="00AA5F21">
        <w:t xml:space="preserve">(ibid). It is also of note that the HESA data </w:t>
      </w:r>
      <w:r>
        <w:t xml:space="preserve">are </w:t>
      </w:r>
      <w:r w:rsidRPr="00AA5F21">
        <w:t>likely to under-report</w:t>
      </w:r>
      <w:r>
        <w:t xml:space="preserve"> the number</w:t>
      </w:r>
      <w:r w:rsidRPr="00AA5F21">
        <w:t xml:space="preserve"> of students with a specific learning difficulty (that is, dyslexia) because where this occurs together with other impairments or medical/disabling conditions</w:t>
      </w:r>
      <w:r>
        <w:t>,</w:t>
      </w:r>
      <w:r w:rsidRPr="00AA5F21">
        <w:t xml:space="preserve"> </w:t>
      </w:r>
      <w:r>
        <w:t>specific learning difficulty</w:t>
      </w:r>
      <w:r w:rsidRPr="00AA5F21">
        <w:t xml:space="preserve"> is </w:t>
      </w:r>
      <w:r>
        <w:t xml:space="preserve">not </w:t>
      </w:r>
      <w:r w:rsidRPr="00AA5F21">
        <w:t xml:space="preserve">reported as a </w:t>
      </w:r>
      <w:r>
        <w:t>discrete</w:t>
      </w:r>
      <w:r w:rsidRPr="00AA5F21">
        <w:t xml:space="preserve"> category with no way of identifying the multiple impairments (ibid). At any rate, both of these data are consistent with the conclusions that the number of students with dyslexia entering university is on the rise. Given </w:t>
      </w:r>
      <w:r>
        <w:t xml:space="preserve">the earlier reference to </w:t>
      </w:r>
      <w:r w:rsidRPr="00AA5F21">
        <w:t>dyslexia being first-time identified in a significant number of students</w:t>
      </w:r>
      <w:r>
        <w:t>,</w:t>
      </w:r>
      <w:r w:rsidRPr="00AA5F21">
        <w:t xml:space="preserve"> post-entry</w:t>
      </w:r>
      <w:r>
        <w:t>,</w:t>
      </w:r>
      <w:r w:rsidRPr="00AA5F21">
        <w:t xml:space="preserve"> it is reasonable to suppose that the actual proportion of dyslexic students at </w:t>
      </w:r>
      <w:r>
        <w:t xml:space="preserve">university is substantial and </w:t>
      </w:r>
      <w:r w:rsidRPr="00AA5F21">
        <w:t xml:space="preserve">also include many </w:t>
      </w:r>
      <w:r>
        <w:t xml:space="preserve">who are </w:t>
      </w:r>
      <w:r w:rsidRPr="00AA5F21">
        <w:t xml:space="preserve">unidentified. Indeed, this </w:t>
      </w:r>
      <w:r>
        <w:t>current study</w:t>
      </w:r>
      <w:r w:rsidRPr="00AA5F21">
        <w:t xml:space="preserve"> is relying on finding </w:t>
      </w:r>
      <w:r>
        <w:t xml:space="preserve">such </w:t>
      </w:r>
      <w:r w:rsidRPr="00A744A2">
        <w:rPr>
          <w:i/>
        </w:rPr>
        <w:t>quasi</w:t>
      </w:r>
      <w:r>
        <w:t xml:space="preserve">-dyslexic students </w:t>
      </w:r>
      <w:r w:rsidRPr="00A744A2">
        <w:t>in</w:t>
      </w:r>
      <w:r w:rsidRPr="00AA5F21">
        <w:t xml:space="preserve"> the university community</w:t>
      </w:r>
      <w:r>
        <w:t>.</w:t>
      </w:r>
    </w:p>
    <w:p w14:paraId="6025B831" w14:textId="77777777" w:rsidR="007707AB" w:rsidRDefault="007707AB" w:rsidP="007707AB">
      <w:r w:rsidRPr="0077359C">
        <w:t xml:space="preserve">The York Adult Assessment-Revised (YAA-R) was the focus of the Warmington </w:t>
      </w:r>
      <w:r>
        <w:t>et al.</w:t>
      </w:r>
      <w:r w:rsidRPr="0077359C">
        <w:t xml:space="preserve"> study which reported data from a total of 126 students</w:t>
      </w:r>
      <w:r>
        <w:t>,</w:t>
      </w:r>
      <w:r w:rsidRPr="0077359C">
        <w:t xml:space="preserve"> of which 20 were known to be dyslexic. The YAA-R comprises tests of reading, writing, spelling, punctuation and phonological skills that </w:t>
      </w:r>
      <w:r>
        <w:t>are</w:t>
      </w:r>
      <w:r w:rsidRPr="0077359C">
        <w:t xml:space="preserve"> pitched most directly to assess the literacy-related abilities and competencies of students at university (ibid). The study concluded that the YAA-R has good discriminatory power of 80% sensitivity and 97% specificity</w:t>
      </w:r>
      <w:r>
        <w:t>. However,</w:t>
      </w:r>
      <w:r w:rsidRPr="0077359C">
        <w:t xml:space="preserve"> given that the focus of the tests is almost entirely on literacy-based activities, it fails to accommodate assessments of the wide range of other strengths and weaknesses often associated with a dyslexic learning profile that are outside the envelope of reading, writing and comprehension. A similar criticism might be levelled at the DAST as this largely focuses on measuring literacy-based deficits. Indeed, </w:t>
      </w:r>
      <w:r>
        <w:t>Chanock</w:t>
      </w:r>
      <w:r w:rsidRPr="0077359C">
        <w:t xml:space="preserve"> </w:t>
      </w:r>
      <w:r>
        <w:t>et al.</w:t>
      </w:r>
      <w:r w:rsidRPr="0077359C">
        <w:t xml:space="preserve"> (2010) </w:t>
      </w:r>
      <w:r>
        <w:t>triall</w:t>
      </w:r>
      <w:r w:rsidRPr="0077359C">
        <w:t xml:space="preserve">ed a variation of the YAA-R </w:t>
      </w:r>
      <w:r>
        <w:t>(</w:t>
      </w:r>
      <w:r w:rsidRPr="0077359C">
        <w:t>adjusted in Australia to account for geographical bias in the UK version</w:t>
      </w:r>
      <w:r>
        <w:t>)</w:t>
      </w:r>
      <w:r w:rsidRPr="0077359C">
        <w:t xml:space="preserve"> as part of a search for a more suitable assessment tool for dyslexia than those currently available. Conclusions from the trial with 23 dyslexic students and 50 controls were repor</w:t>
      </w:r>
      <w:r>
        <w:t>ted as 'disappointing' due not “</w:t>
      </w:r>
      <w:r w:rsidRPr="0077359C">
        <w:t>to the YAA-R's ability to differentiate betw</w:t>
      </w:r>
      <w:r>
        <w:t xml:space="preserve">een the two groups, but with the </w:t>
      </w:r>
      <w:r w:rsidRPr="0077359C">
        <w:t>capacity to identify an</w:t>
      </w:r>
      <w:r>
        <w:t>y individual person as dyslexic”</w:t>
      </w:r>
      <w:r w:rsidRPr="0077359C">
        <w:t xml:space="preserve"> (ibid, p42)</w:t>
      </w:r>
      <w:r>
        <w:t>,</w:t>
      </w:r>
      <w:r w:rsidRPr="0077359C">
        <w:t xml:space="preserve"> as it failed to identify more than two-thirds of previously assessed dyslexic students. </w:t>
      </w:r>
      <w:r>
        <w:t>Chanock</w:t>
      </w:r>
      <w:r w:rsidRPr="0077359C">
        <w:t xml:space="preserve"> further narrates that self-reporting methods proved to be a more accurate identifier - Vinegrad's (1994) Adult Dyslexia Checklist was the instrument used for the comparison. A further criticism levelled at the YAA-R was </w:t>
      </w:r>
      <w:r>
        <w:t>that it was developed on the basis of</w:t>
      </w:r>
      <w:r w:rsidRPr="0077359C">
        <w:t xml:space="preserve"> data collected from students </w:t>
      </w:r>
      <w:r>
        <w:t>at only</w:t>
      </w:r>
      <w:r w:rsidRPr="0077359C">
        <w:t xml:space="preserve"> one HE institution, suggesting that differences between students in different institutions was an unknown and uncontrollable variable not accounted for</w:t>
      </w:r>
      <w:r>
        <w:t>,</w:t>
      </w:r>
      <w:r w:rsidRPr="0077359C">
        <w:t xml:space="preserve"> but which might influence the reliability and robustness of the metric.</w:t>
      </w:r>
    </w:p>
    <w:p w14:paraId="221828F6" w14:textId="104D4C09" w:rsidR="007707AB" w:rsidRDefault="007707AB" w:rsidP="007707AB">
      <w:r w:rsidRPr="0077359C">
        <w:lastRenderedPageBreak/>
        <w:t xml:space="preserve">Tamboer </w:t>
      </w:r>
      <w:r>
        <w:t>and</w:t>
      </w:r>
      <w:r w:rsidRPr="0077359C">
        <w:t xml:space="preserve"> Voorst (2015) developed an extensive self-report questionnaire-based assessment to screen for dyslexia in students attending Dutch universities. Divided into three sections: biographical questions, general language statements, and specific language statements, which although still retain</w:t>
      </w:r>
      <w:r>
        <w:t>ing</w:t>
      </w:r>
      <w:r w:rsidRPr="0077359C">
        <w:t xml:space="preserve"> a strong literacy-based focus, this assessment tool does include items additional to measures of reading, writing and copying, such as speaking, dictation and listening. In the 'general language statements' section</w:t>
      </w:r>
      <w:r>
        <w:t>,</w:t>
      </w:r>
      <w:r w:rsidRPr="0077359C">
        <w:t xml:space="preserve"> some statements also referred to broader cognitive and study-related skills such as 'I can easily remember faces' or 'I find it difficult to write in an organised manner'. This seems to be a </w:t>
      </w:r>
      <w:r>
        <w:t>good</w:t>
      </w:r>
      <w:r w:rsidRPr="0077359C">
        <w:t xml:space="preserve"> attempt at developing processes to gauge a wider range of attributes that are likely to impact on learning and study capabilities in the search for an effective identifier for dyslexia in university students</w:t>
      </w:r>
      <w:r w:rsidR="00E95780">
        <w:t xml:space="preserve"> </w:t>
      </w:r>
      <w:r w:rsidRPr="0077359C">
        <w:t xml:space="preserve">and is consistent with the Tamboer </w:t>
      </w:r>
      <w:r>
        <w:t>et al.</w:t>
      </w:r>
      <w:r w:rsidRPr="0077359C">
        <w:t xml:space="preserve"> construction of dyslexia as a multifactorial condition. This model </w:t>
      </w:r>
      <w:r>
        <w:t xml:space="preserve">also resonates </w:t>
      </w:r>
      <w:r w:rsidRPr="0077359C">
        <w:t>with an earlier self-report screening assessment which</w:t>
      </w:r>
      <w:r>
        <w:t>,</w:t>
      </w:r>
      <w:r w:rsidRPr="0077359C">
        <w:t xml:space="preserve"> in its design, acknowledged that </w:t>
      </w:r>
      <w:r>
        <w:t xml:space="preserve">university </w:t>
      </w:r>
      <w:r w:rsidRPr="0077359C">
        <w:t xml:space="preserve">students with dyslexia face challenges that are in addition to those associated with weaker literacy skills (Mortimore &amp; Crozier, 2006). In contrast to </w:t>
      </w:r>
      <w:r>
        <w:t>Chanock</w:t>
      </w:r>
      <w:r w:rsidRPr="0077359C">
        <w:t xml:space="preserve">'s findings concerning the YAA-R reported above, Tamboer </w:t>
      </w:r>
      <w:r>
        <w:t>and</w:t>
      </w:r>
      <w:r w:rsidRPr="0077359C">
        <w:t xml:space="preserve"> Voorst's assessment battery correctly identified the 27 known dyslexic students in their research group - that is, students who had documentary evidence as such - although it is unclear how the remaining 40 students in the group of 67 who claimed to be dyslexic were identified at the pre-test stage. Despite this apparent reporting anomaly, this level of accuracy in identification is consistent with their wider review of literature</w:t>
      </w:r>
      <w:r>
        <w:t>,</w:t>
      </w:r>
      <w:r w:rsidRPr="0077359C">
        <w:t xml:space="preserve"> concluding that there is good evidence to support the accuracy of s</w:t>
      </w:r>
      <w:r>
        <w:t>elf-report identifiers (ibid).</w:t>
      </w:r>
    </w:p>
    <w:p w14:paraId="13E83432" w14:textId="77777777" w:rsidR="007707AB" w:rsidRDefault="007707AB" w:rsidP="007707AB">
      <w:r w:rsidRPr="00455183">
        <w:t>The majority of current d</w:t>
      </w:r>
      <w:r>
        <w:t xml:space="preserve">evices used in HE </w:t>
      </w:r>
      <w:r w:rsidRPr="00455183">
        <w:t>settings for identifying dyslexia search diagnostically for deficits in specific, cognitive capabilities and use baseline norms as comparators. These are predominantly grounded in lexical competencies. As long as the literacy-based hegemony prevails as the defining discourse in judgments of academic abilities (Collinson &amp; Penketh, 2010) there remains only a perfunctory interest in devising alternative forms of appraisal that might take a more wide-ranging approach to gauging academic competencies</w:t>
      </w:r>
      <w:r>
        <w:t>,</w:t>
      </w:r>
      <w:r w:rsidRPr="00455183">
        <w:t xml:space="preserve"> and especially how these may be impacted by learning differences. All of the tools use a range of assessments which are built on the assumption that dyslexia is principally a phonological processing deficit that is accompanied by other impairments in cognitive functioning which collectively, are said to disable learning processes to a sufficient extent that the 'diagnosed' individual is left at a substantial disadvantage in relation to their intellectually-comparable peers</w:t>
      </w:r>
      <w:r>
        <w:t xml:space="preserve">. </w:t>
      </w:r>
      <w:r w:rsidRPr="00F1169E">
        <w:t>This project is interested in measuring levels of dysl</w:t>
      </w:r>
      <w:r>
        <w:t>exia-ness rather than</w:t>
      </w:r>
      <w:r w:rsidRPr="00F1169E">
        <w:t xml:space="preserve"> identifying dyslexia as it is central to the m</w:t>
      </w:r>
      <w:r>
        <w:t xml:space="preserve">ethodological processes of </w:t>
      </w:r>
      <w:r w:rsidRPr="00F1169E">
        <w:t xml:space="preserve">this project that a metric is devised that focuses on study attributes and learning preferences rather than the cognitive characteristics conventionally regarded as deficit indicators in individuals with dyslexia. This is also </w:t>
      </w:r>
      <w:r w:rsidRPr="00F1169E">
        <w:lastRenderedPageBreak/>
        <w:t>consistent with the approach focus for the A</w:t>
      </w:r>
      <w:r>
        <w:t xml:space="preserve">BC </w:t>
      </w:r>
      <w:r w:rsidRPr="00F1169E">
        <w:t>Scale</w:t>
      </w:r>
      <w:r>
        <w:t xml:space="preserve"> </w:t>
      </w:r>
      <w:r w:rsidRPr="00F1169E">
        <w:t xml:space="preserve">as this </w:t>
      </w:r>
      <w:r>
        <w:t xml:space="preserve">was </w:t>
      </w:r>
      <w:r w:rsidRPr="00F1169E">
        <w:t>devised to gauge academic confidence in terms of study actions, plans and behaviours that impact on academic study</w:t>
      </w:r>
      <w:r>
        <w:t xml:space="preserve">. It </w:t>
      </w:r>
      <w:r w:rsidRPr="00F1169E">
        <w:t xml:space="preserve">is not concerned with cognitive factors. It is of note that there is a small but growing recognition in university learning development services and study skills centres, </w:t>
      </w:r>
      <w:r>
        <w:t xml:space="preserve">noted </w:t>
      </w:r>
      <w:r w:rsidRPr="00F1169E">
        <w:t>anecdotally, that finding alternative mechanisms for identifying</w:t>
      </w:r>
      <w:r>
        <w:t xml:space="preserve"> study needs, whether these </w:t>
      </w:r>
      <w:r w:rsidRPr="00F1169E">
        <w:t xml:space="preserve">appear to be dyslexia-related or not, is desirable, especially in the climate of widening participation currently being promoted in our universities. Although these have been driven through a need for finding improved and positively-oriented mechanisms for identifying learning differences typically observable in </w:t>
      </w:r>
      <w:r>
        <w:t>dyslexic students (Casale, 2015;</w:t>
      </w:r>
      <w:r w:rsidRPr="00F1169E">
        <w:t xml:space="preserve"> Chanock </w:t>
      </w:r>
      <w:r>
        <w:t>et al., 2010; Singleton &amp; Horne, 2009;</w:t>
      </w:r>
      <w:r w:rsidRPr="00F1169E">
        <w:t xml:space="preserve"> Haslum &amp; Kiziewicz, 2001) what appears to </w:t>
      </w:r>
      <w:r>
        <w:t xml:space="preserve">be emerging is that many </w:t>
      </w:r>
      <w:r w:rsidRPr="00F1169E">
        <w:t>characteristics that are being evaluated may prove more broadly useful as identification discriminators in the realm of study skills and academic learning management across complete university communities of learners</w:t>
      </w:r>
      <w:r>
        <w:t xml:space="preserve">. In other words, finding </w:t>
      </w:r>
      <w:r w:rsidRPr="00F1169E">
        <w:t>ways to describe dyslexia multidimensionally as opposed to discretely identifying or diagnosing it is gaining traction</w:t>
      </w:r>
      <w:r>
        <w:t>,</w:t>
      </w:r>
      <w:r w:rsidRPr="00F1169E">
        <w:t xml:space="preserve"> and there is evidence that this is being achieved through the use of non-cognitive parameters, notably supported by evidence provided through discursive constructions of dyslexia using the everyday lived experiences of dyslexic stude</w:t>
      </w:r>
      <w:r>
        <w:t>nts at university (Tanner, 2009; Cameron &amp; Billington, 2015a; Cameron &amp; Billington, 2015b; Cameron, 2016;</w:t>
      </w:r>
      <w:r w:rsidRPr="00F1169E">
        <w:t xml:space="preserve"> MacCullagh </w:t>
      </w:r>
      <w:r>
        <w:t>et al.</w:t>
      </w:r>
      <w:r w:rsidRPr="00F1169E">
        <w:t xml:space="preserve">, 2016) and amongst adults with dyslexia more widely (Nalavany </w:t>
      </w:r>
      <w:r>
        <w:t>et al., 2011;</w:t>
      </w:r>
      <w:r w:rsidRPr="00F1169E">
        <w:t xml:space="preserve"> Thompson </w:t>
      </w:r>
      <w:r>
        <w:t>et al.</w:t>
      </w:r>
      <w:r w:rsidRPr="00F1169E">
        <w:t>, 2015).</w:t>
      </w:r>
    </w:p>
    <w:p w14:paraId="64497F36" w14:textId="77777777" w:rsidR="00793BE0" w:rsidRDefault="007707AB" w:rsidP="007707AB">
      <w:pPr>
        <w:spacing w:before="0" w:after="0"/>
      </w:pPr>
      <w:r w:rsidRPr="002F2360">
        <w:t xml:space="preserve">Thus, in none of the more recently developed screening tools is there mention of a criterion that establishes </w:t>
      </w:r>
      <w:r w:rsidRPr="006C1515">
        <w:rPr>
          <w:i/>
        </w:rPr>
        <w:t>how</w:t>
      </w:r>
      <w:r w:rsidRPr="002F2360">
        <w:t xml:space="preserve"> dyslexic a dyslexic student is</w:t>
      </w:r>
      <w:r>
        <w:t>,</w:t>
      </w:r>
      <w:r w:rsidRPr="002F2360">
        <w:t xml:space="preserve"> other than either in coarsely-defined gradations such as 'mild', 'moderate', 'severe', or otherwise by presenting the raw score outcomes for each of a wide range of tests and assessments which are not cohesively bound into an easily-comprehensible value. Elliott </w:t>
      </w:r>
      <w:r>
        <w:t>and</w:t>
      </w:r>
      <w:r w:rsidRPr="002F2360">
        <w:t xml:space="preserve"> Grigorenko (2014) </w:t>
      </w:r>
      <w:r>
        <w:t>argue</w:t>
      </w:r>
      <w:r w:rsidRPr="002F2360">
        <w:t xml:space="preserve"> that a key problem in the development of screening tools for dyslexia is in setting a separation boundary between non-dyslexic and dyslexic individuals that is reliable</w:t>
      </w:r>
      <w:r>
        <w:t>,</w:t>
      </w:r>
      <w:r w:rsidRPr="002F2360">
        <w:t xml:space="preserve"> and which cuts across the range of characteristics or attributes that are common in all learners in addition to literacy-based ones</w:t>
      </w:r>
      <w:r>
        <w:t>,</w:t>
      </w:r>
      <w:r w:rsidRPr="002F2360">
        <w:t xml:space="preserve"> and especially for adults </w:t>
      </w:r>
      <w:r>
        <w:t xml:space="preserve">learners. </w:t>
      </w:r>
      <w:r w:rsidRPr="00FB6B40">
        <w:t xml:space="preserve">It is widely reported that students at university, by virtue of being sufficiently academically able to </w:t>
      </w:r>
      <w:r>
        <w:t>progress their studies into HE</w:t>
      </w:r>
      <w:r w:rsidRPr="00FB6B40">
        <w:t>, have frequently moved beyond many of the early literacy difficulties that may have been associated with their d</w:t>
      </w:r>
      <w:r>
        <w:t>yslexic learning differences to</w:t>
      </w:r>
      <w:r w:rsidRPr="00FB6B40">
        <w:t xml:space="preserve"> perform competently in many aspects of university learning (Henderson, 2015). However</w:t>
      </w:r>
      <w:r>
        <w:t>,</w:t>
      </w:r>
      <w:r w:rsidRPr="00FB6B40">
        <w:t xml:space="preserve"> the nature of study at universi</w:t>
      </w:r>
      <w:r>
        <w:t xml:space="preserve">ty requires students to </w:t>
      </w:r>
      <w:r w:rsidRPr="00FB6B40">
        <w:t>develop their generic skills in independent self-regulated learning and individual study capabilities, and enhance and adapt their abilities to engage with, and deal resourcefully with learning challenges generally not encountered in their learning histories (Tariq &amp; Cochrane, 2003). Difficulties with many of these learning characteristics or 'dimensions' th</w:t>
      </w:r>
      <w:r>
        <w:t xml:space="preserve">at may be broadly irrelevant </w:t>
      </w:r>
      <w:r>
        <w:lastRenderedPageBreak/>
        <w:t xml:space="preserve">and </w:t>
      </w:r>
      <w:r w:rsidRPr="00FB6B40">
        <w:t xml:space="preserve">go un-noticed in children may only surface when these learners make the transition into the university learning environment because </w:t>
      </w:r>
      <w:r>
        <w:t xml:space="preserve">learning in HE </w:t>
      </w:r>
      <w:r w:rsidRPr="00FB6B40">
        <w:t xml:space="preserve">requires greater reliance on self-regulated learning behaviours in comparison to earlier, compulsory education contexts where learning is largely teacher-directed. </w:t>
      </w:r>
      <w:r>
        <w:t xml:space="preserve">It will be shown below (sub-section 2.2(IV) that one factor which influences the effective development of self-regulated of learning is academic confidence. </w:t>
      </w:r>
      <w:r w:rsidRPr="00FB6B40">
        <w:t>Many students</w:t>
      </w:r>
      <w:r>
        <w:t>, whether they are dyslexic or not,</w:t>
      </w:r>
      <w:r w:rsidRPr="00FB6B40">
        <w:t xml:space="preserve"> struggle to deal with these new and</w:t>
      </w:r>
      <w:r>
        <w:t xml:space="preserve"> challenging learning regimes at university (see for example: Leathwood &amp; O'Connell, 2003;</w:t>
      </w:r>
      <w:r w:rsidRPr="00FB6B40">
        <w:t xml:space="preserve"> Reay </w:t>
      </w:r>
      <w:r>
        <w:t>et al.</w:t>
      </w:r>
      <w:r w:rsidRPr="00FB6B40">
        <w:t>, 2010), not least as an outco</w:t>
      </w:r>
      <w:r>
        <w:t xml:space="preserve">me of successful, </w:t>
      </w:r>
      <w:r w:rsidRPr="00FB6B40">
        <w:t>widening participation in</w:t>
      </w:r>
      <w:r>
        <w:t>itiatives</w:t>
      </w:r>
      <w:r w:rsidRPr="00FB6B40">
        <w:t xml:space="preserve"> </w:t>
      </w:r>
      <w:r>
        <w:t xml:space="preserve">in </w:t>
      </w:r>
      <w:r w:rsidRPr="00FB6B40">
        <w:t xml:space="preserve">UK </w:t>
      </w:r>
      <w:r>
        <w:t>HE which</w:t>
      </w:r>
      <w:r w:rsidRPr="00FB6B40">
        <w:t xml:space="preserve"> have also brought substantial increases in attrition rates amongst the very students from 'non-traditional' backgrounds that have been successfully recruited (Crozier </w:t>
      </w:r>
      <w:r>
        <w:t>et al.</w:t>
      </w:r>
      <w:r w:rsidRPr="00FB6B40">
        <w:t>, 2008).</w:t>
      </w:r>
    </w:p>
    <w:p w14:paraId="50E607EE" w14:textId="77777777" w:rsidR="00793BE0" w:rsidRDefault="00793BE0" w:rsidP="007707AB">
      <w:pPr>
        <w:spacing w:before="0" w:after="0"/>
      </w:pPr>
    </w:p>
    <w:p w14:paraId="7E9F9C76" w14:textId="77777777" w:rsidR="00793BE0" w:rsidRDefault="007707AB" w:rsidP="007707AB">
      <w:pPr>
        <w:spacing w:before="0" w:after="0"/>
      </w:pPr>
      <w:r w:rsidRPr="00FB6B40">
        <w:t xml:space="preserve">This has seen many, if not most universities develop generic study-skills and/or learning development facilities and resources to support all students in the transition from regulated to self-regulated learning with evidence for this being widespread, ranging from reports on the successes of more general social capital interventions (Schwartz </w:t>
      </w:r>
      <w:r>
        <w:t>et al.</w:t>
      </w:r>
      <w:r w:rsidRPr="00FB6B40">
        <w:t>, 2018) to initiatives that are more keenly focused, for example on targeted discipline specific areas such as enhancing maths and numeracy skills amongst engineering students (Choudhary &amp; Malthaus, 2017). It is possible that increasing i</w:t>
      </w:r>
      <w:r>
        <w:t xml:space="preserve">nstitutional awareness of </w:t>
      </w:r>
      <w:r w:rsidRPr="00FB6B40">
        <w:t>duties to respond to quality assurance protocols and recently introduced measures of student satisfaction such as the TEF (Teaching Excellence Framework) has also influenced the development of academic skills provisions in universities, together with a commercial interest in keeping levels</w:t>
      </w:r>
      <w:r>
        <w:t xml:space="preserve"> of attrition to a minimum </w:t>
      </w:r>
      <w:r w:rsidRPr="00FB6B40">
        <w:t>to reduce the financial consequence</w:t>
      </w:r>
      <w:r>
        <w:t xml:space="preserve">s of loss of student-fees and </w:t>
      </w:r>
      <w:r w:rsidRPr="00FB6B40">
        <w:t>to minimize the publicity impact that attrition levels might have on future student recruitment.</w:t>
      </w:r>
    </w:p>
    <w:p w14:paraId="2A41E0FA" w14:textId="77777777" w:rsidR="00793BE0" w:rsidRDefault="00793BE0" w:rsidP="007707AB">
      <w:pPr>
        <w:spacing w:before="0" w:after="0"/>
      </w:pPr>
    </w:p>
    <w:p w14:paraId="4E2718F0" w14:textId="4C4265A2" w:rsidR="007707AB" w:rsidRDefault="007707AB" w:rsidP="007707AB">
      <w:pPr>
        <w:spacing w:before="0" w:after="0"/>
      </w:pPr>
      <w:r>
        <w:t>But f</w:t>
      </w:r>
      <w:r w:rsidRPr="00F064A4">
        <w:t>or many students,</w:t>
      </w:r>
      <w:r>
        <w:t xml:space="preserve"> gaining an understanding of </w:t>
      </w:r>
      <w:r w:rsidRPr="00F064A4">
        <w:t xml:space="preserve">why they may be finding university increasingly difficult, perhaps more so than their friends and peers, does not happen until their second or </w:t>
      </w:r>
      <w:r>
        <w:t xml:space="preserve">third year </w:t>
      </w:r>
      <w:r w:rsidRPr="00F064A4">
        <w:t>when they subsequently learn of their dyslexia, most usually through referral from diligent academic staff to learning support services (e</w:t>
      </w:r>
      <w:r>
        <w:t>.</w:t>
      </w:r>
      <w:r w:rsidRPr="00F064A4">
        <w:t>g</w:t>
      </w:r>
      <w:r>
        <w:t>.</w:t>
      </w:r>
      <w:r w:rsidRPr="00F064A4">
        <w:t>: Doherty, 2015). It might be</w:t>
      </w:r>
      <w:r>
        <w:t xml:space="preserve"> argued that</w:t>
      </w:r>
      <w:r w:rsidRPr="00F064A4">
        <w:t xml:space="preserve"> these students have been the 'fortunate few' leaving others with no formally identifiable learning, or academic learning management challenges potentially u</w:t>
      </w:r>
      <w:r>
        <w:t>nsupported</w:t>
      </w:r>
      <w:r w:rsidRPr="00F064A4">
        <w:t xml:space="preserve">. One earlier research paper established that more than 40% of students with dyslexia only have their dyslexia identified during their time at university (Singleton </w:t>
      </w:r>
      <w:r>
        <w:t>et al.</w:t>
      </w:r>
      <w:r w:rsidRPr="00F064A4">
        <w:t xml:space="preserve">, 1999). </w:t>
      </w:r>
      <w:r>
        <w:t>W</w:t>
      </w:r>
      <w:r w:rsidRPr="00F064A4">
        <w:t>idening participation and alternative access arrangements for entry to un</w:t>
      </w:r>
      <w:r>
        <w:t>iversity in the UK has</w:t>
      </w:r>
      <w:r w:rsidRPr="00F064A4">
        <w:t xml:space="preserve"> increased the number of students from under-represented groups moving into university learning (</w:t>
      </w:r>
      <w:r>
        <w:t xml:space="preserve">e.g.: </w:t>
      </w:r>
      <w:r w:rsidRPr="00F064A4">
        <w:t>Mortimore, 2013)</w:t>
      </w:r>
      <w:r>
        <w:t xml:space="preserve">, of which students with disabilities in whatever form is one, suggesting that </w:t>
      </w:r>
      <w:r w:rsidRPr="00F064A4">
        <w:t xml:space="preserve">the Singleton </w:t>
      </w:r>
      <w:r>
        <w:t>et al.</w:t>
      </w:r>
      <w:r w:rsidRPr="00F064A4">
        <w:t xml:space="preserve"> (op cit) estimate </w:t>
      </w:r>
      <w:r>
        <w:t>seems likely to be if anything, lower than the true proportion of late-</w:t>
      </w:r>
      <w:r>
        <w:lastRenderedPageBreak/>
        <w:t>identified dyslexic students.</w:t>
      </w:r>
      <w:r w:rsidRPr="00F064A4">
        <w:t xml:space="preserve"> This might further suggest that many progress to the end of their courses remaining in ignorance of their learning differences, and indeed it is likely that many will have gained a rewarding academic outcome</w:t>
      </w:r>
      <w:r>
        <w:t xml:space="preserve"> in spite of them. O</w:t>
      </w:r>
      <w:r w:rsidRPr="00F064A4">
        <w:t>ne explanation for this late, or non-identification may be because these more, academic learning management-type dimensions of dyslexia which are components of self-regulated learning processes</w:t>
      </w:r>
      <w:r>
        <w:t>,</w:t>
      </w:r>
      <w:r w:rsidRPr="00F064A4">
        <w:t xml:space="preserve"> are likely to have had little impact on earlier academic progress because school-aged learners are supervised and directed more closely in their learning at those stages through regulated teaching practices. At university however, the majority of learning is self-directed, with successful academic outcomes relying more heavily on the development of effective organizational and time-management skills which may not have been required in earlier learning (Jacklin </w:t>
      </w:r>
      <w:r>
        <w:t>et al.</w:t>
      </w:r>
      <w:r w:rsidRPr="00F064A4">
        <w:t>, 2007).</w:t>
      </w:r>
    </w:p>
    <w:p w14:paraId="4CF4808F" w14:textId="77777777" w:rsidR="007707AB" w:rsidRDefault="007707AB" w:rsidP="007707AB">
      <w:pPr>
        <w:spacing w:before="0" w:after="0"/>
      </w:pPr>
    </w:p>
    <w:p w14:paraId="5AF4D1D4" w14:textId="77777777" w:rsidR="007707AB" w:rsidRDefault="007707AB" w:rsidP="007707AB">
      <w:pPr>
        <w:spacing w:before="0" w:after="0"/>
      </w:pPr>
      <w:r w:rsidRPr="00F064A4">
        <w:t xml:space="preserve">Hence, because the majority of the existing dyslexia-identifying metrics appear to be weak in gauging many of the study skills and academic competencies, strengths and weaknesses of </w:t>
      </w:r>
      <w:r>
        <w:t xml:space="preserve">university </w:t>
      </w:r>
      <w:r w:rsidRPr="00F064A4">
        <w:t>students with dyslexia that may either co-exist with persistent literacy-based deficits</w:t>
      </w:r>
      <w:r>
        <w:t>,</w:t>
      </w:r>
      <w:r w:rsidRPr="00F064A4">
        <w:t xml:space="preserve"> or have otherwise displaced them, this raised a concern about using any of the</w:t>
      </w:r>
      <w:r>
        <w:t xml:space="preserve"> existing</w:t>
      </w:r>
      <w:r w:rsidRPr="00F064A4">
        <w:t xml:space="preserve"> metrics </w:t>
      </w:r>
      <w:r w:rsidRPr="00C110A3">
        <w:rPr>
          <w:i/>
        </w:rPr>
        <w:t>per se</w:t>
      </w:r>
      <w:r w:rsidRPr="00F064A4">
        <w:t>. This is a concern shared by</w:t>
      </w:r>
      <w:r>
        <w:t xml:space="preserve"> some</w:t>
      </w:r>
      <w:r w:rsidRPr="00F064A4">
        <w:t xml:space="preserve"> educators working face-to-face with university students where there has been a recent surge in calls for alternative assessments which more comprehensively gauge a wider range of study attributes, preferences and characteristics (e</w:t>
      </w:r>
      <w:r>
        <w:t>.</w:t>
      </w:r>
      <w:r w:rsidRPr="00F064A4">
        <w:t>g</w:t>
      </w:r>
      <w:r>
        <w:t>.</w:t>
      </w:r>
      <w:r w:rsidRPr="00F064A4">
        <w:t xml:space="preserve">: Chanock </w:t>
      </w:r>
      <w:r>
        <w:t>et al.</w:t>
      </w:r>
      <w:r w:rsidRPr="00F064A4">
        <w:t>, 2010</w:t>
      </w:r>
      <w:r>
        <w:t>;</w:t>
      </w:r>
      <w:r w:rsidRPr="00F064A4">
        <w:t xml:space="preserve"> Casale, 2013).</w:t>
      </w:r>
      <w:r>
        <w:t xml:space="preserve"> Thus for this current study </w:t>
      </w:r>
      <w:r w:rsidRPr="002F2360">
        <w:t>it was felt that none of the existing evaluators would be able to accurately identify a dyslexic student from within a normative group of university learners - that is, students who include none previously identified as dyslexic nor any who are purporting to b</w:t>
      </w:r>
      <w:r>
        <w:t xml:space="preserve">e dyslexic – or </w:t>
      </w:r>
      <w:r w:rsidRPr="002F2360">
        <w:t>ascribe a measure of the dyslexia to the identification in a more finely graded way - that is, to establish a level</w:t>
      </w:r>
      <w:r>
        <w:t xml:space="preserve"> of dyslexia-ness. Therefore, </w:t>
      </w:r>
      <w:r w:rsidRPr="002F2360">
        <w:t xml:space="preserve">the development of a bespoke tool for gauging dyslexia-ness </w:t>
      </w:r>
      <w:r>
        <w:t xml:space="preserve">in its broadest context </w:t>
      </w:r>
      <w:r w:rsidRPr="002F2360">
        <w:t>was considered necessary</w:t>
      </w:r>
      <w:r>
        <w:t xml:space="preserve">. The design of this </w:t>
      </w:r>
      <w:r w:rsidRPr="002F2360">
        <w:t>needed to ensure that all student</w:t>
      </w:r>
      <w:r>
        <w:t>s who used it felt that they were</w:t>
      </w:r>
      <w:r w:rsidRPr="002F2360">
        <w:t xml:space="preserve"> within its scope and that it would not reveal a set of study attributes that were</w:t>
      </w:r>
      <w:r>
        <w:t xml:space="preserve"> either necessarily deficit- </w:t>
      </w:r>
      <w:r w:rsidRPr="002F2360">
        <w:t>or dis</w:t>
      </w:r>
      <w:r>
        <w:t>ability-focused. Such tool needed</w:t>
      </w:r>
      <w:r w:rsidRPr="002F2360">
        <w:t xml:space="preserve"> to satisfy the following criteria:</w:t>
      </w:r>
    </w:p>
    <w:p w14:paraId="7D2290B9" w14:textId="77777777" w:rsidR="007707AB" w:rsidRDefault="007707AB" w:rsidP="007707AB">
      <w:pPr>
        <w:spacing w:before="0" w:after="0"/>
      </w:pPr>
    </w:p>
    <w:p w14:paraId="3216F9D3" w14:textId="77777777" w:rsidR="007707AB" w:rsidRPr="00BC38E7" w:rsidRDefault="007707AB" w:rsidP="007707AB">
      <w:pPr>
        <w:numPr>
          <w:ilvl w:val="0"/>
          <w:numId w:val="29"/>
        </w:numPr>
        <w:spacing w:before="0" w:after="0" w:line="276" w:lineRule="auto"/>
      </w:pPr>
      <w:r w:rsidRPr="00BC38E7">
        <w:t>it is a self-report tool requiring no administrative supervision;</w:t>
      </w:r>
    </w:p>
    <w:p w14:paraId="367AEDCB" w14:textId="77777777" w:rsidR="007707AB" w:rsidRPr="00BC38E7" w:rsidRDefault="007707AB" w:rsidP="007707AB">
      <w:pPr>
        <w:numPr>
          <w:ilvl w:val="0"/>
          <w:numId w:val="29"/>
        </w:numPr>
        <w:spacing w:before="0" w:after="0" w:line="276" w:lineRule="auto"/>
      </w:pPr>
      <w:r w:rsidRPr="00BC38E7">
        <w:t>it is not entirely focused on literacy-related evaluators, and attempts to cover the range of wider academic issues that arise through studying at university;</w:t>
      </w:r>
    </w:p>
    <w:p w14:paraId="25014BEE" w14:textId="77777777" w:rsidR="007707AB" w:rsidRPr="00BC38E7" w:rsidRDefault="007707AB" w:rsidP="007707AB">
      <w:pPr>
        <w:numPr>
          <w:ilvl w:val="0"/>
          <w:numId w:val="29"/>
        </w:numPr>
        <w:spacing w:before="0" w:after="0" w:line="276" w:lineRule="auto"/>
      </w:pPr>
      <w:r w:rsidRPr="00BC38E7">
        <w:t>it includes some elements of learning biography;</w:t>
      </w:r>
    </w:p>
    <w:p w14:paraId="3DCAB25E" w14:textId="77777777" w:rsidR="007707AB" w:rsidRPr="00BC38E7" w:rsidRDefault="007707AB" w:rsidP="007707AB">
      <w:pPr>
        <w:numPr>
          <w:ilvl w:val="0"/>
          <w:numId w:val="29"/>
        </w:numPr>
        <w:spacing w:before="0" w:after="0" w:line="276" w:lineRule="auto"/>
      </w:pPr>
      <w:r w:rsidRPr="00BC38E7">
        <w:t>its self-report stem items are equally applicable to dyslexic a</w:t>
      </w:r>
      <w:r>
        <w:t xml:space="preserve">nd </w:t>
      </w:r>
      <w:r w:rsidRPr="00BC38E7">
        <w:t>to apparently non-dyslexic students;</w:t>
      </w:r>
    </w:p>
    <w:p w14:paraId="24298FE0" w14:textId="77777777" w:rsidR="007707AB" w:rsidRPr="00BC38E7" w:rsidRDefault="007707AB" w:rsidP="007707AB">
      <w:pPr>
        <w:numPr>
          <w:ilvl w:val="0"/>
          <w:numId w:val="29"/>
        </w:numPr>
        <w:spacing w:before="0" w:after="0" w:line="276" w:lineRule="auto"/>
      </w:pPr>
      <w:r w:rsidRPr="00BC38E7">
        <w:t>it is relatively short as it would be part of a much larger self-report questionnaire collecting data abo</w:t>
      </w:r>
      <w:r>
        <w:t xml:space="preserve">ut the seven other metrics </w:t>
      </w:r>
      <w:r w:rsidRPr="00BC38E7">
        <w:t>being e</w:t>
      </w:r>
      <w:r>
        <w:t>xplored in this research</w:t>
      </w:r>
      <w:r w:rsidRPr="00BC38E7">
        <w:t>;</w:t>
      </w:r>
    </w:p>
    <w:p w14:paraId="6981420A" w14:textId="77777777" w:rsidR="007707AB" w:rsidRPr="00BC38E7" w:rsidRDefault="007707AB" w:rsidP="007707AB">
      <w:pPr>
        <w:numPr>
          <w:ilvl w:val="0"/>
          <w:numId w:val="29"/>
        </w:numPr>
        <w:spacing w:before="0" w:after="0" w:line="276" w:lineRule="auto"/>
      </w:pPr>
      <w:r w:rsidRPr="00BC38E7">
        <w:t xml:space="preserve">it draws on previous self-report dyslexia identifiers which could be adapted to suit </w:t>
      </w:r>
      <w:r>
        <w:t xml:space="preserve">the current purpose to add </w:t>
      </w:r>
      <w:r w:rsidRPr="00BC38E7">
        <w:t>prior, research-</w:t>
      </w:r>
      <w:r>
        <w:t>base</w:t>
      </w:r>
      <w:r w:rsidRPr="00BC38E7">
        <w:t>d validity to the metric;</w:t>
      </w:r>
    </w:p>
    <w:p w14:paraId="1ECF6648" w14:textId="77777777" w:rsidR="007707AB" w:rsidRDefault="007707AB" w:rsidP="007707AB">
      <w:pPr>
        <w:numPr>
          <w:ilvl w:val="0"/>
          <w:numId w:val="29"/>
        </w:numPr>
        <w:spacing w:before="0" w:after="0" w:line="276" w:lineRule="auto"/>
      </w:pPr>
      <w:r w:rsidRPr="00BC38E7">
        <w:lastRenderedPageBreak/>
        <w:t>the results obtained from it will enable students to be identified who appear to be presenting dyslexia-like attributes but who have no previous identification of dysle</w:t>
      </w:r>
      <w:r>
        <w:t xml:space="preserve">xia – that is, </w:t>
      </w:r>
      <w:r>
        <w:rPr>
          <w:i/>
        </w:rPr>
        <w:t>quasi</w:t>
      </w:r>
      <w:r>
        <w:t>-dyslexic students.</w:t>
      </w:r>
    </w:p>
    <w:p w14:paraId="15939A2C" w14:textId="77777777" w:rsidR="007707AB" w:rsidRDefault="007707AB" w:rsidP="007707AB">
      <w:pPr>
        <w:spacing w:before="0" w:after="0"/>
        <w:ind w:left="720"/>
      </w:pPr>
    </w:p>
    <w:p w14:paraId="161AB18B" w14:textId="24F09BF6" w:rsidR="007707AB" w:rsidRDefault="007707AB" w:rsidP="007707AB">
      <w:r>
        <w:t>The goal for this metric was to</w:t>
      </w:r>
      <w:r w:rsidRPr="002F2360">
        <w:t xml:space="preserve"> gauge a range of dimensions across a stud</w:t>
      </w:r>
      <w:r>
        <w:t xml:space="preserve">ent's learning profile and </w:t>
      </w:r>
      <w:r w:rsidRPr="002F2360">
        <w:t xml:space="preserve">attempt to quantify learning, study, and learning-biography attributes and characteristics which are known to exhibit differences between dyslexic and non-dyslexic individuals into </w:t>
      </w:r>
      <w:r>
        <w:t xml:space="preserve">a comparative measure. This could </w:t>
      </w:r>
      <w:r w:rsidRPr="002F2360">
        <w:t xml:space="preserve">be used as a discriminator between students presenting a dyslexic, a </w:t>
      </w:r>
      <w:r w:rsidRPr="00435B7F">
        <w:rPr>
          <w:i/>
        </w:rPr>
        <w:t>quasi</w:t>
      </w:r>
      <w:r w:rsidRPr="00C2422F">
        <w:t>-dyslexic</w:t>
      </w:r>
      <w:r w:rsidRPr="002F2360">
        <w:t xml:space="preserve"> and a non-dyslexic profile out of two samples of university students, one group who have declared that the</w:t>
      </w:r>
      <w:r>
        <w:t>y are dyslexic (</w:t>
      </w:r>
      <w:r w:rsidRPr="002F2360">
        <w:t>the Control</w:t>
      </w:r>
      <w:r>
        <w:t>),</w:t>
      </w:r>
      <w:r w:rsidRPr="002F2360">
        <w:t xml:space="preserve"> and another who have declared no dyslexic learning differences. </w:t>
      </w:r>
      <w:r>
        <w:t xml:space="preserve">The metric was not intended to be an </w:t>
      </w:r>
      <w:r w:rsidRPr="00435B7F">
        <w:rPr>
          <w:i/>
        </w:rPr>
        <w:t>identifier</w:t>
      </w:r>
      <w:r>
        <w:t xml:space="preserve"> of dyslexia as this would have raised ethical issues of disclosure. </w:t>
      </w:r>
      <w:r w:rsidRPr="002F2360">
        <w:t xml:space="preserve">The measure is a coefficient and hence adopts no units. The tool that has been developed to generate the index value </w:t>
      </w:r>
      <w:r>
        <w:t>has been</w:t>
      </w:r>
      <w:r w:rsidRPr="002F2360">
        <w:t xml:space="preserve"> referred to as the Dyslexia Index Profiler, and Dyslexia Index will be frequently abbreviated to Dx. The literature review so far will have demonstrated unease with the use of the term 'dyslexia' as a descriptor of a wide range of learning and study attributes and characteristics that can be observed and objectively assessed in all learners in unive</w:t>
      </w:r>
      <w:r>
        <w:t xml:space="preserve">rsity settings. Notwithstanding these issues, in the </w:t>
      </w:r>
      <w:r w:rsidRPr="002F2360">
        <w:t>in</w:t>
      </w:r>
      <w:r>
        <w:t xml:space="preserve">terests of expediency, ‘dyslexia’ </w:t>
      </w:r>
      <w:r w:rsidRPr="002F2360">
        <w:t>will be used throughout t</w:t>
      </w:r>
      <w:r>
        <w:t xml:space="preserve">his </w:t>
      </w:r>
      <w:r w:rsidRPr="002F2360">
        <w:t>study.</w:t>
      </w:r>
    </w:p>
    <w:p w14:paraId="1919E5D5" w14:textId="0649C4E8" w:rsidR="007707AB" w:rsidRDefault="007707AB" w:rsidP="007707AB">
      <w:pPr>
        <w:pStyle w:val="Heading3"/>
      </w:pPr>
      <w:bookmarkStart w:id="62" w:name="_Toc9795736"/>
      <w:bookmarkStart w:id="63" w:name="_Toc57035900"/>
      <w:r>
        <w:t>VIII</w:t>
      </w:r>
      <w:r w:rsidR="00CC5358">
        <w:tab/>
      </w:r>
      <w:r>
        <w:t>Dyslexia - summary</w:t>
      </w:r>
      <w:bookmarkEnd w:id="62"/>
      <w:bookmarkEnd w:id="63"/>
    </w:p>
    <w:p w14:paraId="51323D3C" w14:textId="77777777" w:rsidR="002072E3" w:rsidRDefault="007707AB" w:rsidP="007707AB">
      <w:r w:rsidRPr="00256A82">
        <w:t>This first sub-section</w:t>
      </w:r>
      <w:r>
        <w:t xml:space="preserve"> </w:t>
      </w:r>
      <w:r w:rsidRPr="00256A82">
        <w:t>has attempted to present a</w:t>
      </w:r>
      <w:r>
        <w:t xml:space="preserve">n </w:t>
      </w:r>
      <w:r w:rsidRPr="00256A82">
        <w:t>overview of the syndrome of dyslexia at a sufficient level of detail</w:t>
      </w:r>
      <w:r>
        <w:t>,</w:t>
      </w:r>
      <w:r w:rsidRPr="00256A82">
        <w:t xml:space="preserve"> an</w:t>
      </w:r>
      <w:r>
        <w:t xml:space="preserve">d </w:t>
      </w:r>
      <w:r w:rsidRPr="00256A82">
        <w:t xml:space="preserve">to partially provide the theoretical underpinnings of this research project. It commenced by setting out the chosen definition for </w:t>
      </w:r>
      <w:r>
        <w:t>dyslexia that was considered to best match</w:t>
      </w:r>
      <w:r w:rsidRPr="00256A82">
        <w:t xml:space="preserve"> the stance of this project</w:t>
      </w:r>
      <w:r>
        <w:t>,</w:t>
      </w:r>
      <w:r w:rsidR="00E95780">
        <w:t xml:space="preserve"> </w:t>
      </w:r>
      <w:r w:rsidRPr="00256A82">
        <w:t>and continued by briefly reviewing a selection of the most important theories about what dyslexia is and what its causes</w:t>
      </w:r>
      <w:r>
        <w:t xml:space="preserve"> may be. It has been acknowledged </w:t>
      </w:r>
      <w:r w:rsidRPr="00256A82">
        <w:t xml:space="preserve">that dyslexia is fundamentally about </w:t>
      </w:r>
      <w:r>
        <w:t xml:space="preserve">the communication skills and competencies of literacy, that is, </w:t>
      </w:r>
      <w:r w:rsidRPr="00256A82">
        <w:t>reading, writing and spelling, especia</w:t>
      </w:r>
      <w:r>
        <w:t>lly in early-years learners. But</w:t>
      </w:r>
      <w:r w:rsidRPr="00256A82">
        <w:t xml:space="preserve"> an attempt has been made to demonstrate that a wide diversity of additional characteristics or dimensions can also be associated with the situation </w:t>
      </w:r>
      <w:r>
        <w:t xml:space="preserve">and circumstances </w:t>
      </w:r>
      <w:r w:rsidRPr="00256A82">
        <w:t xml:space="preserve">of dyslexia. It has been shown that in university-level learners, it </w:t>
      </w:r>
      <w:r>
        <w:t xml:space="preserve">is </w:t>
      </w:r>
      <w:r w:rsidRPr="00256A82">
        <w:t>often these other dimensions which may have a more significant impact on how students engage with their studies at un</w:t>
      </w:r>
      <w:r>
        <w:t xml:space="preserve">iversity and hence how this may affect their confidence in their learning capabilities – that is, their academic confidence. This is </w:t>
      </w:r>
      <w:r w:rsidRPr="00256A82">
        <w:t>because earlier literacy difficulties have often been strategically managed or accommodated into a learning profile and identity so as to have a reduced impact on learning</w:t>
      </w:r>
      <w:r>
        <w:t xml:space="preserve"> that remains literacy-based</w:t>
      </w:r>
      <w:r w:rsidRPr="00256A82">
        <w:t>.</w:t>
      </w:r>
    </w:p>
    <w:p w14:paraId="1192E909" w14:textId="7DC0315A" w:rsidR="007707AB" w:rsidRDefault="007707AB" w:rsidP="007707AB">
      <w:r w:rsidRPr="00256A82">
        <w:lastRenderedPageBreak/>
        <w:t>A polemic which runs through this discussion takes the position that were education and learning to have a more diverse range and scope in its curriculum delivery and assessment processes</w:t>
      </w:r>
      <w:r>
        <w:t>,</w:t>
      </w:r>
      <w:r w:rsidRPr="00256A82">
        <w:t xml:space="preserve"> and be less rigidly attached to literacy as a skill to be mastered so as to enable a learner to accurately demonstrate their knowledge or express their ideas</w:t>
      </w:r>
      <w:r>
        <w:t>,</w:t>
      </w:r>
      <w:r w:rsidRPr="00256A82">
        <w:t xml:space="preserve"> then individuals with dyslexic learning differences would be at less of a disadvantage in comparison with their peers. A shift towards the wider adoption of the ethos and principles of Universal Design for Learning has been strongly advocated, especially in </w:t>
      </w:r>
      <w:r>
        <w:t>HE</w:t>
      </w:r>
      <w:r w:rsidRPr="00256A82">
        <w:t xml:space="preserve"> contexts where firstly there is the scope for pedagogical processes to be more flexible and ada</w:t>
      </w:r>
      <w:r>
        <w:t>ptable given sufficient impetus;</w:t>
      </w:r>
      <w:r w:rsidRPr="00256A82">
        <w:t xml:space="preserve"> and secondly, procedures for assessment could be more thoughtfully and less rigidly designed because they are less bound to nationally-devised outcome performance st</w:t>
      </w:r>
      <w:r>
        <w:t xml:space="preserve">andards and indicators, endemic at </w:t>
      </w:r>
      <w:r w:rsidRPr="00256A82">
        <w:t>lower levels of teaching and learning. By revising university teaching and learning in this way, students who present learning differences</w:t>
      </w:r>
      <w:r>
        <w:t>, whether dyslexic or otherwise,</w:t>
      </w:r>
      <w:r w:rsidRPr="00256A82">
        <w:t xml:space="preserve"> or alternative </w:t>
      </w:r>
      <w:r>
        <w:t xml:space="preserve">learning </w:t>
      </w:r>
      <w:r w:rsidRPr="00256A82">
        <w:t>preferences or strengths</w:t>
      </w:r>
      <w:r>
        <w:t xml:space="preserve"> that fall nearer the periphery of those considered as more typical,</w:t>
      </w:r>
      <w:r w:rsidRPr="00256A82">
        <w:t xml:space="preserve"> might be empowered to more effectively demonstrate their academic capabilities</w:t>
      </w:r>
      <w:r>
        <w:t xml:space="preserve"> and become more confident students. The issue of academic confidence will be considered next.</w:t>
      </w:r>
    </w:p>
    <w:p w14:paraId="4C02AAC7" w14:textId="77777777" w:rsidR="007707AB" w:rsidRDefault="007707AB" w:rsidP="007707AB"/>
    <w:p w14:paraId="3CE83953" w14:textId="77777777" w:rsidR="003366CE" w:rsidRDefault="003366CE">
      <w:pPr>
        <w:spacing w:before="0" w:after="160" w:line="259" w:lineRule="auto"/>
        <w:rPr>
          <w:b/>
          <w:smallCaps/>
          <w:color w:val="4472C4" w:themeColor="accent1"/>
          <w:spacing w:val="5"/>
          <w:sz w:val="26"/>
          <w:szCs w:val="28"/>
        </w:rPr>
      </w:pPr>
      <w:bookmarkStart w:id="64" w:name="_Toc9795737"/>
      <w:r>
        <w:br w:type="page"/>
      </w:r>
    </w:p>
    <w:p w14:paraId="1D5E6A17" w14:textId="2985B994" w:rsidR="007707AB" w:rsidRPr="00E27461" w:rsidRDefault="007707AB" w:rsidP="007707AB">
      <w:pPr>
        <w:pStyle w:val="Heading2"/>
      </w:pPr>
      <w:bookmarkStart w:id="65" w:name="_Toc57035901"/>
      <w:r w:rsidRPr="00E27461">
        <w:lastRenderedPageBreak/>
        <w:t>2.</w:t>
      </w:r>
      <w:r>
        <w:t>2</w:t>
      </w:r>
      <w:r w:rsidR="00CC5358">
        <w:tab/>
      </w:r>
      <w:r w:rsidRPr="00E27461">
        <w:t>Academic Confidence</w:t>
      </w:r>
      <w:bookmarkEnd w:id="64"/>
      <w:bookmarkEnd w:id="65"/>
    </w:p>
    <w:p w14:paraId="4A18A702" w14:textId="04B45566" w:rsidR="007707AB" w:rsidRPr="00E27461" w:rsidRDefault="007707AB" w:rsidP="007707AB">
      <w:pPr>
        <w:pStyle w:val="Heading3"/>
      </w:pPr>
      <w:bookmarkStart w:id="66" w:name="_Toc9795738"/>
      <w:bookmarkStart w:id="67" w:name="_Toc57035902"/>
      <w:r>
        <w:t>I</w:t>
      </w:r>
      <w:r w:rsidR="00CC5358">
        <w:tab/>
      </w:r>
      <w:r w:rsidRPr="00E27461">
        <w:t>Overview</w:t>
      </w:r>
      <w:bookmarkEnd w:id="66"/>
      <w:bookmarkEnd w:id="67"/>
    </w:p>
    <w:p w14:paraId="2ECBC97A" w14:textId="77777777" w:rsidR="007707AB" w:rsidRPr="00E27461" w:rsidRDefault="007707AB" w:rsidP="007707AB">
      <w:r w:rsidRPr="00E27461">
        <w:t xml:space="preserve">Confidence is a robust dimensional characteristic of individual differences (Stankov, 2012). </w:t>
      </w:r>
      <w:r>
        <w:t xml:space="preserve">It </w:t>
      </w:r>
      <w:r w:rsidRPr="00E27461">
        <w:t xml:space="preserve">can be considered as a sub-construct of self-efficacy where </w:t>
      </w:r>
      <w:r>
        <w:t xml:space="preserve">this </w:t>
      </w:r>
      <w:r w:rsidRPr="00E27461">
        <w:t xml:space="preserve">is concerned with an individual's context specific beliefs about the capability to get something done (Bandura, 1995). </w:t>
      </w:r>
      <w:r w:rsidRPr="00720747">
        <w:t xml:space="preserve">Students who enter </w:t>
      </w:r>
      <w:r>
        <w:t>HE</w:t>
      </w:r>
      <w:r w:rsidRPr="00720747">
        <w:t xml:space="preserve"> or college with confidence in their academic abilities to perform well, </w:t>
      </w:r>
      <w:r w:rsidRPr="00720747">
        <w:rPr>
          <w:i/>
        </w:rPr>
        <w:t>do</w:t>
      </w:r>
      <w:r w:rsidRPr="00720747">
        <w:t xml:space="preserve"> perform significantly better than their less-confident peers (Chemers </w:t>
      </w:r>
      <w:r>
        <w:t>et al.</w:t>
      </w:r>
      <w:r w:rsidRPr="00720747">
        <w:t xml:space="preserve">, 2001) and are likely to enjoy their studies more readily (Putwain </w:t>
      </w:r>
      <w:r>
        <w:t>et al.</w:t>
      </w:r>
      <w:r w:rsidRPr="00720747">
        <w:t>, 2013)</w:t>
      </w:r>
      <w:r>
        <w:t>. Research suggests that i</w:t>
      </w:r>
      <w:r w:rsidRPr="00E27461">
        <w:t xml:space="preserve">f individuals believe that they have no power to produce results then they will not attempt to make them happen (Bandura, 1997) and specifically, when students lack confidence in their capacity to tackle academic tasks they are less likely to engage positively with them (Pajares &amp; Schunk, 2002). Academic confidence can be thought of as a mediating variable - that is, it acts bi-directionally - between individuals' inherent abilities, their learning styles and opportunities presented in the environment of </w:t>
      </w:r>
      <w:r>
        <w:t>HE</w:t>
      </w:r>
      <w:r w:rsidRPr="00E27461">
        <w:t xml:space="preserve"> (Sander &amp; Sanders, 2003) and particularly when academic confidence is fostered as part of learning community initiatives, it can be an important contributor to academic success (Allen &amp; Bir, 2012).</w:t>
      </w:r>
    </w:p>
    <w:p w14:paraId="5AFD0750" w14:textId="77777777" w:rsidR="007707AB" w:rsidRDefault="007707AB" w:rsidP="007707AB">
      <w:r w:rsidRPr="004D4DA7">
        <w:t xml:space="preserve">Thus, confidence can be regarded as students’ beliefs that attaining a successful outcome to a task is likely to be the positive reward for an investment of worthwhile effort (Moller </w:t>
      </w:r>
      <w:r>
        <w:t>et al.</w:t>
      </w:r>
      <w:r w:rsidRPr="004D4DA7">
        <w:t>, 2005). Conversely, in those for whom confidence in their academic abilities is weak, these learners can interpret the accompanying anxiety related to academic performance as a marker of their incompetence, although this may be an incorrect attribution which in turn, may lead to exactly the fear of failure that has generated the anxiety (Usher &amp; Pajares, 2008). Perceptions of capability and motivation, which include judgements of confidence, feature signifi</w:t>
      </w:r>
      <w:r>
        <w:t>cantly in self-concept theories;</w:t>
      </w:r>
      <w:r w:rsidRPr="004D4DA7">
        <w:t xml:space="preserve"> in particular, Social Cognitive Theory. This is where beliefs in personal efficacy are thought to be better predictors of academic outcomes than actual abilities or evidence from prior performance, because these beliefs are fundamental in establishing how learners are likely to tackle the acquisition of new knowledge and academic skills and how they will apply these productively, leading to positive and worthwhile outcomes (Pajares &amp; Miller, 1995).</w:t>
      </w:r>
    </w:p>
    <w:p w14:paraId="380E7888" w14:textId="411326F1" w:rsidR="007707AB" w:rsidRDefault="007707AB" w:rsidP="007707AB">
      <w:r w:rsidRPr="00B661FD">
        <w:t xml:space="preserve">Social Cognitive Theory (SCT) enshrines these ideas and has been developed through decades of research and writing, particularly by Bandura (commencing: 1977). The underlying principle in SCT is that it is an attempt to provide explanations for </w:t>
      </w:r>
      <w:r w:rsidR="00EB68CC">
        <w:t xml:space="preserve">the processes </w:t>
      </w:r>
      <w:r w:rsidRPr="00B661FD">
        <w:t>that drive and regulate human behaviour</w:t>
      </w:r>
      <w:r>
        <w:t>,</w:t>
      </w:r>
      <w:r w:rsidRPr="00B661FD">
        <w:t xml:space="preserve"> according to a model of emergent interactive agency (Bandura, 1986). This is a model which attributes the causes of </w:t>
      </w:r>
      <w:r w:rsidRPr="00B661FD">
        <w:lastRenderedPageBreak/>
        <w:t>human behaviour to multifactorial influences derived principally from the reciprocal interactions between inherent personal characteristics, the local and wider environment that surrounds the domain of behavioural functioning, and the behaviour itself. As such, considerable interest in SCT has been expressed by educationalists and education researchers seeking to apply and integrate the ideas enshrined in the theory into a clearer understanding of the functions of teaching and learning processes, especially for making these more effective mechanisms for communicating knowledge and expressi</w:t>
      </w:r>
      <w:r>
        <w:t xml:space="preserve">ng </w:t>
      </w:r>
      <w:r w:rsidRPr="00B661FD">
        <w:t>ideas, and for interpreting the roots and causes of both academic failure and success.</w:t>
      </w:r>
    </w:p>
    <w:p w14:paraId="1E32C589" w14:textId="77777777" w:rsidR="007707AB" w:rsidRDefault="007707AB" w:rsidP="007707AB">
      <w:r w:rsidRPr="00B661FD">
        <w:t xml:space="preserve">Within this over-arching theory, the position of self-efficacy (and by inference, academic self-efficacy) as a social psychological construct that relates self-belief to individual actions is a central and fundamental element. Self-belief is a component of personal identity and some of the roots of Bandura’s theories </w:t>
      </w:r>
      <w:r>
        <w:t xml:space="preserve">can be traced </w:t>
      </w:r>
      <w:r w:rsidRPr="00B661FD">
        <w:t>to earlier work on personal construct theory asserting that an individual’s behaviour is a function of not only the ways in which they perceive the world around them, but more particularly how they construct their world-view in such a way that enables them to navigate a path through it (Kelly, 1955). Along this route from Kelly to Bandura can be found the Rogersian ‘person-centred approach’ which takes as its focus the concept of the ‘actualizing tendency’</w:t>
      </w:r>
      <w:r>
        <w:t xml:space="preserve"> – i.e.</w:t>
      </w:r>
      <w:r w:rsidRPr="00B661FD">
        <w:t xml:space="preserve"> the basic human processes that enable the accomplishment of our potential by developing our capacities to achieve outcomes (Rogers, 1959). We can see the embodiment of this in </w:t>
      </w:r>
      <w:r>
        <w:t>HE</w:t>
      </w:r>
      <w:r w:rsidRPr="00B661FD">
        <w:t xml:space="preserve"> through institutions seeking to adopt a ‘student-centred’ learning environment where the aim is to shift the focus from a didactic curriculum presentation to systems of knowledge delivery and enquiry which </w:t>
      </w:r>
      <w:r>
        <w:t>are</w:t>
      </w:r>
      <w:r w:rsidRPr="00B661FD">
        <w:t xml:space="preserve"> more co-operative and student self-managed, with varying degrees of success (O’Neill &amp; McMahon, 2005).</w:t>
      </w:r>
    </w:p>
    <w:p w14:paraId="3A059DA4" w14:textId="7028B347" w:rsidR="00EB68CC" w:rsidRDefault="007707AB" w:rsidP="007707AB">
      <w:r w:rsidRPr="006F050B">
        <w:t xml:space="preserve">These underpinning arguments relating to human functioning have influenced the development of SCT by illuminating the mechanisms and processes that control and regulate the ways in which we behave and </w:t>
      </w:r>
      <w:r>
        <w:t xml:space="preserve">are </w:t>
      </w:r>
      <w:r w:rsidRPr="006F050B">
        <w:t xml:space="preserve">about how human behaviour is controlled and regulated by how we think, what influences these thought processes, and how these are transformed into consequential behavioural actions. </w:t>
      </w:r>
      <w:r>
        <w:t xml:space="preserve">An overview of SCT will be presented next. </w:t>
      </w:r>
      <w:r w:rsidRPr="006F050B">
        <w:t xml:space="preserve">As a bridge to the construct of academic self-efficacy and the sub-construct of academic confidence, this sub-section will continue with a brief review of the work </w:t>
      </w:r>
      <w:r>
        <w:t xml:space="preserve">of </w:t>
      </w:r>
      <w:r w:rsidRPr="006F050B">
        <w:t>Zimmerman, Schunk and Pajares</w:t>
      </w:r>
      <w:r>
        <w:t>,</w:t>
      </w:r>
      <w:r w:rsidRPr="006F050B">
        <w:t xml:space="preserve"> whose research has been instrumental in relating SCT to educational contexts, concluding with a review of academic confidence, especially academic behavioural confidence</w:t>
      </w:r>
      <w:r>
        <w:t>,</w:t>
      </w:r>
      <w:r w:rsidRPr="006F050B">
        <w:t xml:space="preserve"> through the research and development work of Sander and others.</w:t>
      </w:r>
      <w:bookmarkStart w:id="68" w:name="acconf_krp"/>
      <w:bookmarkEnd w:id="68"/>
    </w:p>
    <w:p w14:paraId="6472A659" w14:textId="77777777" w:rsidR="00EB68CC" w:rsidRDefault="00EB68CC" w:rsidP="007707AB"/>
    <w:p w14:paraId="6D37299A" w14:textId="0DDFFB2A" w:rsidR="007707AB" w:rsidRDefault="007707AB" w:rsidP="00EB68CC">
      <w:pPr>
        <w:pStyle w:val="Heading3"/>
      </w:pPr>
      <w:bookmarkStart w:id="69" w:name="_Toc9795739"/>
      <w:bookmarkStart w:id="70" w:name="_Toc57035903"/>
      <w:r>
        <w:lastRenderedPageBreak/>
        <w:t>II</w:t>
      </w:r>
      <w:r>
        <w:tab/>
        <w:t>Underpinning</w:t>
      </w:r>
      <w:r w:rsidRPr="00E27461">
        <w:t xml:space="preserve"> Research Perspectives</w:t>
      </w:r>
      <w:bookmarkStart w:id="71" w:name="bandura"/>
      <w:bookmarkEnd w:id="69"/>
      <w:bookmarkEnd w:id="70"/>
      <w:bookmarkEnd w:id="71"/>
    </w:p>
    <w:p w14:paraId="7C4EF54A" w14:textId="77777777" w:rsidR="002072E3" w:rsidRDefault="002072E3" w:rsidP="007707AB">
      <w:pPr>
        <w:pStyle w:val="Heading4"/>
        <w:rPr>
          <w:i/>
          <w:iCs/>
        </w:rPr>
      </w:pPr>
      <w:bookmarkStart w:id="72" w:name="sctoverview"/>
      <w:bookmarkEnd w:id="72"/>
    </w:p>
    <w:p w14:paraId="7843F672" w14:textId="3C196698" w:rsidR="007707AB" w:rsidRPr="00CC5358" w:rsidRDefault="00B3671B" w:rsidP="007707AB">
      <w:pPr>
        <w:pStyle w:val="Heading4"/>
      </w:pPr>
      <w:r>
        <w:t xml:space="preserve">1. </w:t>
      </w:r>
      <w:r w:rsidR="007707AB" w:rsidRPr="00CC5358">
        <w:t>An overview of social cognitive theory</w:t>
      </w:r>
    </w:p>
    <w:p w14:paraId="4A2C03C8" w14:textId="77777777" w:rsidR="002072E3" w:rsidRDefault="002072E3" w:rsidP="007707AB">
      <w:pPr>
        <w:keepNext/>
      </w:pPr>
      <w:r>
        <w:rPr>
          <w:noProof/>
        </w:rPr>
        <mc:AlternateContent>
          <mc:Choice Requires="wps">
            <w:drawing>
              <wp:anchor distT="0" distB="0" distL="114300" distR="114300" simplePos="0" relativeHeight="251706368" behindDoc="0" locked="0" layoutInCell="1" allowOverlap="1" wp14:anchorId="536E8416" wp14:editId="1DF525A6">
                <wp:simplePos x="0" y="0"/>
                <wp:positionH relativeFrom="column">
                  <wp:posOffset>27305</wp:posOffset>
                </wp:positionH>
                <wp:positionV relativeFrom="paragraph">
                  <wp:posOffset>7854315</wp:posOffset>
                </wp:positionV>
                <wp:extent cx="5507990" cy="635"/>
                <wp:effectExtent l="0" t="0" r="3810" b="12065"/>
                <wp:wrapSquare wrapText="bothSides"/>
                <wp:docPr id="35" name="Text Box 35"/>
                <wp:cNvGraphicFramePr/>
                <a:graphic xmlns:a="http://schemas.openxmlformats.org/drawingml/2006/main">
                  <a:graphicData uri="http://schemas.microsoft.com/office/word/2010/wordprocessingShape">
                    <wps:wsp>
                      <wps:cNvSpPr txBox="1"/>
                      <wps:spPr>
                        <a:xfrm>
                          <a:off x="0" y="0"/>
                          <a:ext cx="5507990" cy="635"/>
                        </a:xfrm>
                        <a:prstGeom prst="rect">
                          <a:avLst/>
                        </a:prstGeom>
                        <a:solidFill>
                          <a:prstClr val="white"/>
                        </a:solidFill>
                        <a:ln>
                          <a:noFill/>
                        </a:ln>
                      </wps:spPr>
                      <wps:txbx>
                        <w:txbxContent>
                          <w:p w14:paraId="65494A4F" w14:textId="33D08333" w:rsidR="00533FBF" w:rsidRPr="002072E3" w:rsidRDefault="00533FBF" w:rsidP="002072E3">
                            <w:pPr>
                              <w:pStyle w:val="Subtitle"/>
                            </w:pPr>
                            <w:bookmarkStart w:id="73" w:name="_Toc9796117"/>
                            <w:bookmarkStart w:id="74" w:name="_Toc9796197"/>
                            <w:bookmarkStart w:id="75" w:name="_Toc56495222"/>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w:t>
                            </w:r>
                            <w:r>
                              <w:tab/>
                              <w:t>An adaptation of the Triadic Reciprocal Causation model</w:t>
                            </w:r>
                            <w:bookmarkEnd w:id="73"/>
                            <w:bookmarkEnd w:id="74"/>
                            <w:r>
                              <w:t>.</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6E8416" id="Text Box 35" o:spid="_x0000_s1028" type="#_x0000_t202" style="position:absolute;margin-left:2.15pt;margin-top:618.45pt;width:433.7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" stroked="f">
                <v:textbox style="mso-fit-shape-to-text:t" inset="0,0,0,0">
                  <w:txbxContent>
                    <w:p w14:paraId="65494A4F" w14:textId="33D08333" w:rsidR="00533FBF" w:rsidRPr="002072E3" w:rsidRDefault="00533FBF" w:rsidP="002072E3">
                      <w:pPr>
                        <w:pStyle w:val="Subtitle"/>
                      </w:pPr>
                      <w:bookmarkStart w:id="82" w:name="_Toc9796117"/>
                      <w:bookmarkStart w:id="83" w:name="_Toc9796197"/>
                      <w:bookmarkStart w:id="84" w:name="_Toc56495222"/>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w:t>
                      </w:r>
                      <w:r>
                        <w:tab/>
                        <w:t>An adaptation of the Triadic Reciprocal Causation model</w:t>
                      </w:r>
                      <w:bookmarkEnd w:id="82"/>
                      <w:bookmarkEnd w:id="83"/>
                      <w:r>
                        <w:t>.</w:t>
                      </w:r>
                      <w:bookmarkEnd w:id="84"/>
                    </w:p>
                  </w:txbxContent>
                </v:textbox>
                <w10:wrap type="square"/>
              </v:shape>
            </w:pict>
          </mc:Fallback>
        </mc:AlternateContent>
      </w:r>
      <w:r>
        <w:rPr>
          <w:noProof/>
          <w:lang w:eastAsia="en-GB"/>
        </w:rPr>
        <w:drawing>
          <wp:anchor distT="0" distB="0" distL="114300" distR="114300" simplePos="0" relativeHeight="251704320" behindDoc="0" locked="0" layoutInCell="1" allowOverlap="1" wp14:anchorId="096C8EF8" wp14:editId="60B21424">
            <wp:simplePos x="0" y="0"/>
            <wp:positionH relativeFrom="column">
              <wp:posOffset>27409</wp:posOffset>
            </wp:positionH>
            <wp:positionV relativeFrom="paragraph">
              <wp:posOffset>2336241</wp:posOffset>
            </wp:positionV>
            <wp:extent cx="5507990" cy="5461000"/>
            <wp:effectExtent l="0" t="0" r="3810" b="0"/>
            <wp:wrapSquare wrapText="bothSides"/>
            <wp:docPr id="221" name="Picture 2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triadic_reciprocal_causationPRIN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07990" cy="5461000"/>
                    </a:xfrm>
                    <a:prstGeom prst="rect">
                      <a:avLst/>
                    </a:prstGeom>
                  </pic:spPr>
                </pic:pic>
              </a:graphicData>
            </a:graphic>
            <wp14:sizeRelH relativeFrom="page">
              <wp14:pctWidth>0</wp14:pctWidth>
            </wp14:sizeRelH>
            <wp14:sizeRelV relativeFrom="page">
              <wp14:pctHeight>0</wp14:pctHeight>
            </wp14:sizeRelV>
          </wp:anchor>
        </w:drawing>
      </w:r>
      <w:r w:rsidR="007707AB" w:rsidRPr="00E27461">
        <w:t xml:space="preserve">The core of </w:t>
      </w:r>
      <w:r w:rsidR="007707AB">
        <w:t>S</w:t>
      </w:r>
      <w:r w:rsidR="007707AB" w:rsidRPr="00E27461">
        <w:t xml:space="preserve">ocial </w:t>
      </w:r>
      <w:r w:rsidR="007707AB">
        <w:t>C</w:t>
      </w:r>
      <w:r w:rsidR="007707AB" w:rsidRPr="00E27461">
        <w:t xml:space="preserve">ognitive </w:t>
      </w:r>
      <w:r w:rsidR="007707AB">
        <w:t>T</w:t>
      </w:r>
      <w:r w:rsidR="007707AB" w:rsidRPr="00E27461">
        <w:t>heory is about explaining human behaviour in the context of systems of self-regulation. Bandura argue</w:t>
      </w:r>
      <w:r w:rsidR="007707AB">
        <w:t>d</w:t>
      </w:r>
      <w:r w:rsidR="007707AB" w:rsidRPr="00E27461">
        <w:t xml:space="preserve"> that these systems </w:t>
      </w:r>
      <w:r w:rsidR="007707AB">
        <w:t>we</w:t>
      </w:r>
      <w:r w:rsidR="007707AB" w:rsidRPr="00E27461">
        <w:t>re the major influences that cause our actions and behaviours. Emanating from his earliest writings, the principal idea is enshrined by a model of</w:t>
      </w:r>
      <w:r>
        <w:t xml:space="preserve"> </w:t>
      </w:r>
      <w:r w:rsidR="007707AB" w:rsidRPr="00E27461">
        <w:rPr>
          <w:i/>
          <w:iCs/>
        </w:rPr>
        <w:t>triadic reciprocal causation</w:t>
      </w:r>
      <w:r w:rsidR="007707AB" w:rsidRPr="00E27461">
        <w:t> </w:t>
      </w:r>
      <w:r w:rsidR="007707AB">
        <w:t xml:space="preserve">(Figure 3) </w:t>
      </w:r>
      <w:r w:rsidR="007707AB" w:rsidRPr="00E27461">
        <w:t>where the three interacting factors of personal influences, the environment, and action-feedback-reaction mechanisms that are integrated into all human behaviour</w:t>
      </w:r>
      <w:r w:rsidR="007707AB">
        <w:t>s</w:t>
      </w:r>
      <w:r w:rsidR="007707AB" w:rsidRPr="00E27461">
        <w:t xml:space="preserve"> act reciprocally and interactively as a structure that constitutes what is </w:t>
      </w:r>
      <w:r w:rsidR="007707AB" w:rsidRPr="00DE5128">
        <w:rPr>
          <w:bCs/>
        </w:rPr>
        <w:t>human agency</w:t>
      </w:r>
      <w:r w:rsidR="007707AB" w:rsidRPr="00E27461">
        <w:t xml:space="preserve"> – that is, the capacity for individuals to act independently and achieve outcomes through purposive behavioural actions. In this theory, individuals are neither entirely autonomous agents of their own behaviour nor are they solely actors in reactive actions that are driven by environmental </w:t>
      </w:r>
      <w:r w:rsidR="007707AB" w:rsidRPr="00E27461">
        <w:lastRenderedPageBreak/>
        <w:t>inf</w:t>
      </w:r>
      <w:r w:rsidR="007707AB">
        <w:t>luences (Bandura, 1989). Moreover</w:t>
      </w:r>
      <w:r w:rsidR="007707AB" w:rsidRPr="00E27461">
        <w:t>, it is the interactions between the three factors that are thought to make a significant causal contribution to individuals’ motivation</w:t>
      </w:r>
      <w:r w:rsidR="007707AB">
        <w:t>s and actions.</w:t>
      </w:r>
      <w:r>
        <w:t xml:space="preserve"> </w:t>
      </w:r>
      <w:r w:rsidR="007707AB" w:rsidRPr="00720D23">
        <w:t xml:space="preserve">These are </w:t>
      </w:r>
      <w:r w:rsidR="007707AB">
        <w:t>bound</w:t>
      </w:r>
      <w:r w:rsidR="007707AB" w:rsidRPr="00720D23">
        <w:t xml:space="preserve"> up with forethought based on past experiences and other influences - many being external - that precedes purposive action. This is to say that within the context of belief-systems, goal-setting and motivation, we all plan courses of action through tasks and activities that are designed to result in outcomes. None of our actions nor behaviours are random, despite evidence in earlier theories to the contrary which appeared to have demonstrated that such random behaviours are externally modifiable through stimuli of one form or another (e</w:t>
      </w:r>
      <w:r w:rsidR="007707AB">
        <w:t>.</w:t>
      </w:r>
      <w:r w:rsidR="007707AB" w:rsidRPr="00720D23">
        <w:t>g</w:t>
      </w:r>
      <w:r w:rsidR="007707AB">
        <w:t>.</w:t>
      </w:r>
      <w:r w:rsidR="007707AB" w:rsidRPr="00720D23">
        <w:t>: Skinner, 1953) or as more casually observed through the apparently variable and unpredictable nature of human behaviour.</w:t>
      </w:r>
    </w:p>
    <w:p w14:paraId="2733FBCE" w14:textId="77777777" w:rsidR="002072E3" w:rsidRDefault="007707AB" w:rsidP="007707AB">
      <w:pPr>
        <w:keepNext/>
      </w:pPr>
      <w:r w:rsidRPr="00720D23">
        <w:t>By thinking about future events in the present, motivators, incentives and regulators of behaviour are developed and applied. Bandura constructs his theory of the self-regulative processes around three core concepts: that of self-</w:t>
      </w:r>
      <w:r w:rsidR="002072E3">
        <w:t xml:space="preserve">observation </w:t>
      </w:r>
      <w:r w:rsidRPr="00720D23">
        <w:t>judgmental processes, and self-reaction. Although a linearity is implied, these concepts are more likely to operate in a cyclical, feedback loop so that future behaviour draws on lessons learned from experiences gained in the past, both directly and through more circuitous processes.</w:t>
      </w:r>
      <w:r>
        <w:t xml:space="preserve"> These are evident in self-reflective processes where, i</w:t>
      </w:r>
      <w:r w:rsidRPr="00720D23">
        <w:t>n order to influence our own motivations and actions we need to reflect on past performances.</w:t>
      </w:r>
    </w:p>
    <w:p w14:paraId="7A121539" w14:textId="77777777" w:rsidR="002072E3" w:rsidRPr="002072E3" w:rsidRDefault="002072E3" w:rsidP="002072E3">
      <w:pPr>
        <w:rPr>
          <w:rFonts w:eastAsia="Times New Roman"/>
          <w:lang w:eastAsia="en-GB"/>
        </w:rPr>
      </w:pPr>
      <w:r w:rsidRPr="002072E3">
        <w:rPr>
          <w:rFonts w:eastAsia="Times New Roman"/>
          <w:lang w:eastAsia="en-GB"/>
        </w:rPr>
        <w:t>This is especially important in learning contexts and has been established as an important guiding principle in the blend of formal and independent learning processes that constitute curriculum delivery at university, in particular, where ‘reflective cycles’ are prevalent in numerous academic disciplines. This is especially so in ones that involve an element of practice development such as nursing and teaching (e.g.: Wilson, 1996; Pelliccione &amp; Raison, 2009). But the self-diagnostic function can be very important per se, not least because for those who are able and motivated to respond to the information acquired by reflective self-monitoring, behavioural change and/or modification of the respective environment, the potential for improving learning quality can be a valuable outcome (Lew &amp; Schmidt, 2011, Joseph, 2009).</w:t>
      </w:r>
    </w:p>
    <w:p w14:paraId="78A1441F" w14:textId="0C3D35E1" w:rsidR="007707AB" w:rsidRDefault="007707AB" w:rsidP="007707AB">
      <w:r w:rsidRPr="00486C34">
        <w:t>Being self-judgmental can be challenging</w:t>
      </w:r>
      <w:r>
        <w:t>,</w:t>
      </w:r>
      <w:r w:rsidRPr="00486C34">
        <w:t xml:space="preserve"> however, especially when doing so has a bearing on perceptions of personal competence and self-esteem because affective reactions (that is, ones that are characterized by emotions) that may be activated can distort self-percep</w:t>
      </w:r>
      <w:r>
        <w:t xml:space="preserve">tions both at the time and </w:t>
      </w:r>
      <w:r w:rsidRPr="00486C34">
        <w:t xml:space="preserve">during later recollections of a behaviour (Bandura, 1993). But this does not alter the fact that observing one’s own pattern of behaviour is the first of a series of actions that can work towards changing it (ibid). First and foremost is making judgments about one’s own performance relative to standards. </w:t>
      </w:r>
      <w:r w:rsidRPr="00486C34">
        <w:lastRenderedPageBreak/>
        <w:t>These can range from external assessment criteria to those collectively set by social and peer-group influences (Ryan, 2000) where the objective is to establish one’s personal standards with reference to the standards of the comparison group. Even within the framework of absolute standards that are set externally, social comparison has been shown to be a major factor that individuals refer to for judging their own performance, although these judgements can vary depending on which social comparison network is chosen (Bandura &amp; Jourden, 1991).</w:t>
      </w:r>
      <w:r w:rsidR="007802EA">
        <w:t xml:space="preserve"> </w:t>
      </w:r>
      <w:r w:rsidRPr="00486C34">
        <w:t>This seems likely to be highly significant in education contexts and might be taken to indicate that teacher-tutor efforts at raising the achievement standards of individual students should also be applied to the student’s immediate learning-peer-group</w:t>
      </w:r>
      <w:r>
        <w:t>;</w:t>
      </w:r>
      <w:r w:rsidRPr="00486C34">
        <w:t xml:space="preserve"> the outcome of </w:t>
      </w:r>
      <w:r>
        <w:t>this</w:t>
      </w:r>
      <w:r w:rsidRPr="00486C34">
        <w:t xml:space="preserve"> would be shared improvement throughout the group which should carry with it the desired improvement of the individual.</w:t>
      </w:r>
    </w:p>
    <w:p w14:paraId="218D84FE" w14:textId="77777777" w:rsidR="007802EA" w:rsidRDefault="007707AB" w:rsidP="007707AB">
      <w:r w:rsidRPr="00733EAE">
        <w:t>Performance judgements pave the way towards the last of Bandura’s three core components, that of self-reaction which is the process by which standards regulate courses of action. This is about the way in which personal standards are integrated into incentivisation or self-censure which is mostly driven by motivation levels based on accomplishment and the affective reactions to the degree to which success (or not) measures up to our internalized standards and expectations. In many domains of functioning there is abundant research to endorse the well-used cliché, ‘success breeds success’</w:t>
      </w:r>
      <w:r>
        <w:t>,</w:t>
      </w:r>
      <w:r w:rsidRPr="00733EAE">
        <w:t xml:space="preserve"> with plenty of this in learning contexts. For example: supporting evidence has been found in university-industry learning-experience initiatives (Santoro, 2000), in mathematics teaching and learning (Smith, 2000), or in knowledge management and more business-oriented settings (Jennex, </w:t>
      </w:r>
      <w:r>
        <w:t>et al.</w:t>
      </w:r>
      <w:r w:rsidRPr="00733EAE">
        <w:t>, 2009</w:t>
      </w:r>
      <w:r>
        <w:t>;</w:t>
      </w:r>
      <w:r w:rsidRPr="00733EAE">
        <w:t xml:space="preserve"> Roth </w:t>
      </w:r>
      <w:r>
        <w:t xml:space="preserve">et al., 1994) with </w:t>
      </w:r>
      <w:r w:rsidRPr="00733EAE">
        <w:t>these studies reporting in one form or another, the positive impact of early- or first-initiative success on later-action success.</w:t>
      </w:r>
    </w:p>
    <w:p w14:paraId="5DBF51AC" w14:textId="372BACB6" w:rsidR="007707AB" w:rsidRDefault="007707AB" w:rsidP="007707AB">
      <w:r w:rsidRPr="00733EAE">
        <w:t>Zimmerman (1989) reports that one of the most significant factors that differentiates between those who are successful in responding to their self-regulatory efforts and those who are not, is the effective utilization of self-incentives. We might imagine that this may be no-better illustrated than in the writing habits of PhD students who must depend on their own writing self-discipline because there is a much-reduced supervisory element at this level of study in comparison to lower degrees. Hence</w:t>
      </w:r>
      <w:r>
        <w:t>,</w:t>
      </w:r>
      <w:r w:rsidRPr="00733EAE">
        <w:t xml:space="preserve"> developing writing incentives as part of the study-research process becomes instrumental to a successful outcome, with the most accomplished doctoral students likely to have developed the expected high-level study strategies early on. Indeed, there is now evidence to report that the process of ‘blogging’ as a means to provide writing incentives to university students is reaping positive benefits not least as online, personal study journals are likely to encourage extra-individual participation and self-reflection, and subsequently increase writing fluency (Zhang, 2009).</w:t>
      </w:r>
    </w:p>
    <w:p w14:paraId="0FAD096E" w14:textId="5A64AC38" w:rsidR="007707AB" w:rsidRPr="00CC5358" w:rsidRDefault="00B3671B" w:rsidP="007707AB">
      <w:pPr>
        <w:pStyle w:val="Heading4"/>
      </w:pPr>
      <w:r>
        <w:lastRenderedPageBreak/>
        <w:t xml:space="preserve">2. </w:t>
      </w:r>
      <w:r w:rsidR="007707AB" w:rsidRPr="00CC5358">
        <w:t>Self-efficacy in social cognitive theory and in learning</w:t>
      </w:r>
    </w:p>
    <w:p w14:paraId="2AFCDE2F" w14:textId="77777777" w:rsidR="007802EA" w:rsidRDefault="007707AB" w:rsidP="007707AB">
      <w:r>
        <w:t>Base</w:t>
      </w:r>
      <w:r w:rsidRPr="00E27461">
        <w:t>d on much of his earlier work developing Social Cognitive Theory, Bandura turned his attention to the application of SCT to learning. The seminal work on self-efficacy (Bandura, 1997) has underpinned a substantial body of subsequent research in the areas of behavioural psychology and social learning theory, especially in relation to the roles that self-efficacy plays in shaping our thoughts and actions in learning environments. Self-efficacy is about the beliefs we have and the judgements we make about our personal capabilities and these are the core factors of human agency, where the power to originate actions for given purposes is the key feature (ibid, p3).</w:t>
      </w:r>
    </w:p>
    <w:p w14:paraId="7C4F818C" w14:textId="57A689AF" w:rsidR="007707AB" w:rsidRPr="00E27461" w:rsidRDefault="007707AB" w:rsidP="007707AB">
      <w:r w:rsidRPr="00E27461">
        <w:t xml:space="preserve">Our self-efficacy beliefs contribute to the ways in which self-regulatory mechanisms </w:t>
      </w:r>
      <w:r>
        <w:t>control</w:t>
      </w:r>
      <w:r w:rsidRPr="00E27461">
        <w:t xml:space="preserve"> and influence our plans and actions, and hence, the outcomes that are the results of them. Bandura’s arguments about how self-efficacy impacts on effort, motivation, goal-setting, task value, task interest and task enjoyment can be usefully distilled into </w:t>
      </w:r>
      <w:r>
        <w:t>nine</w:t>
      </w:r>
      <w:r w:rsidRPr="00E27461">
        <w:t xml:space="preserve"> key points, additionally supported through the work of other res</w:t>
      </w:r>
      <w:r>
        <w:t xml:space="preserve">earchers as cited. All </w:t>
      </w:r>
      <w:r w:rsidRPr="00E27461">
        <w:t>points are highly pertinent in the domain of learning and teaching:</w:t>
      </w:r>
    </w:p>
    <w:p w14:paraId="1129C7BB" w14:textId="77777777" w:rsidR="007707AB" w:rsidRPr="00E27461" w:rsidRDefault="007707AB" w:rsidP="007707AB">
      <w:pPr>
        <w:numPr>
          <w:ilvl w:val="0"/>
          <w:numId w:val="24"/>
        </w:numPr>
        <w:spacing w:before="0" w:after="0" w:line="276" w:lineRule="auto"/>
      </w:pPr>
      <w:r w:rsidRPr="00E27461">
        <w:t>Individuals with a strong self-efficacy belief will generally attribute task failures to a lack of effort whereas those with much lower levels of self-efficacy ascribe their lack of success to a lack of ability (Collins, 1982);</w:t>
      </w:r>
    </w:p>
    <w:p w14:paraId="0AE00BC2" w14:textId="77777777" w:rsidR="007707AB" w:rsidRPr="00E27461" w:rsidRDefault="007707AB" w:rsidP="007707AB">
      <w:pPr>
        <w:numPr>
          <w:ilvl w:val="0"/>
          <w:numId w:val="24"/>
        </w:numPr>
        <w:spacing w:before="0" w:after="0" w:line="276" w:lineRule="auto"/>
      </w:pPr>
      <w:r w:rsidRPr="00E27461">
        <w:t>Changes in self-efficacy beliefs have a mediating effect on the ways in which individuals offer explanations related to their motivation and performance attainments (Schunk &amp; Gunn, 1986);</w:t>
      </w:r>
    </w:p>
    <w:p w14:paraId="502FB524" w14:textId="77777777" w:rsidR="007707AB" w:rsidRPr="00E27461" w:rsidRDefault="007707AB" w:rsidP="007707AB">
      <w:pPr>
        <w:numPr>
          <w:ilvl w:val="0"/>
          <w:numId w:val="24"/>
        </w:numPr>
        <w:spacing w:before="0" w:after="0" w:line="276" w:lineRule="auto"/>
      </w:pPr>
      <w:r w:rsidRPr="00E27461">
        <w:t>Self-efficacy beliefs also mediate the ways in which social comparisons impact on performance attainments (Bandura &amp; Jourden, 1991);</w:t>
      </w:r>
    </w:p>
    <w:p w14:paraId="51451199" w14:textId="77777777" w:rsidR="007707AB" w:rsidRPr="00E27461" w:rsidRDefault="007707AB" w:rsidP="007707AB">
      <w:pPr>
        <w:numPr>
          <w:ilvl w:val="0"/>
          <w:numId w:val="24"/>
        </w:numPr>
        <w:spacing w:before="0" w:after="0" w:line="276" w:lineRule="auto"/>
      </w:pPr>
      <w:r w:rsidRPr="00E27461">
        <w:t>Those who judge themselves to be more capable tend to set themselves higher goals and demonstrate greater commitment to remain focused on them (Locke &amp; Latham, 1990);</w:t>
      </w:r>
    </w:p>
    <w:p w14:paraId="61C10D85" w14:textId="77777777" w:rsidR="007707AB" w:rsidRPr="00E27461" w:rsidRDefault="007707AB" w:rsidP="007707AB">
      <w:pPr>
        <w:numPr>
          <w:ilvl w:val="0"/>
          <w:numId w:val="24"/>
        </w:numPr>
        <w:spacing w:before="0" w:after="0" w:line="276" w:lineRule="auto"/>
      </w:pPr>
      <w:r w:rsidRPr="00E27461">
        <w:t>Self-doubters are easily deterred from persisting towards goals by difficulties, challenges and failures (Bandura, 1991);</w:t>
      </w:r>
    </w:p>
    <w:p w14:paraId="46309995" w14:textId="77777777" w:rsidR="007707AB" w:rsidRPr="00E27461" w:rsidRDefault="007707AB" w:rsidP="007707AB">
      <w:pPr>
        <w:numPr>
          <w:ilvl w:val="0"/>
          <w:numId w:val="24"/>
        </w:numPr>
        <w:spacing w:before="0" w:after="0" w:line="276" w:lineRule="auto"/>
      </w:pPr>
      <w:r w:rsidRPr="00E27461">
        <w:t>Conversely (to 5), self-assurance breeds an intensification of effort in the face of adversity or failure and brings with this, greater persistence towards success (Bandura &amp; Cervone, 1986);</w:t>
      </w:r>
    </w:p>
    <w:p w14:paraId="5180C30B" w14:textId="77777777" w:rsidR="007707AB" w:rsidRPr="00E27461" w:rsidRDefault="007707AB" w:rsidP="007707AB">
      <w:pPr>
        <w:numPr>
          <w:ilvl w:val="0"/>
          <w:numId w:val="24"/>
        </w:numPr>
        <w:spacing w:before="0" w:after="0" w:line="276" w:lineRule="auto"/>
      </w:pPr>
      <w:r w:rsidRPr="00E27461">
        <w:t>Self-efficacy makes a strong contribution towards the ways in which individuals ascribe </w:t>
      </w:r>
      <w:r w:rsidRPr="00E27461">
        <w:rPr>
          <w:i/>
          <w:iCs/>
        </w:rPr>
        <w:t>value</w:t>
      </w:r>
      <w:r w:rsidRPr="00E27461">
        <w:t> to the things they attempt (Bandura, 1991);</w:t>
      </w:r>
    </w:p>
    <w:p w14:paraId="53C755A3" w14:textId="77777777" w:rsidR="007707AB" w:rsidRPr="00E27461" w:rsidRDefault="007707AB" w:rsidP="007707AB">
      <w:pPr>
        <w:numPr>
          <w:ilvl w:val="0"/>
          <w:numId w:val="24"/>
        </w:numPr>
        <w:spacing w:before="0" w:after="0" w:line="276" w:lineRule="auto"/>
      </w:pPr>
      <w:r w:rsidRPr="00E27461">
        <w:t>Individuals who present high levels of self-efficacy beliefs are more prone to remain interested in tasks or activities, especially ones from which they gain satisfaction by completing them and which enable them to master challenges (Bandura &amp; Schunk, 1981);</w:t>
      </w:r>
    </w:p>
    <w:p w14:paraId="212D237C" w14:textId="77777777" w:rsidR="007707AB" w:rsidRPr="00E27461" w:rsidRDefault="007707AB" w:rsidP="007707AB">
      <w:pPr>
        <w:numPr>
          <w:ilvl w:val="0"/>
          <w:numId w:val="24"/>
        </w:numPr>
        <w:spacing w:before="0" w:after="0" w:line="276" w:lineRule="auto"/>
      </w:pPr>
      <w:r w:rsidRPr="00E27461">
        <w:t>Deep immersion in, and enjoyment of pursuits and challenges tend to be best maintained when these tasks are aligned with one’s capability beliefs, especially when success contributes towards aspirations (Csikszentmihalyi, 1979, Malone, 1981);</w:t>
      </w:r>
    </w:p>
    <w:p w14:paraId="5BB71AA5" w14:textId="41E48239" w:rsidR="007707AB" w:rsidRDefault="007707AB" w:rsidP="007707AB">
      <w:r w:rsidRPr="00733EAE">
        <w:lastRenderedPageBreak/>
        <w:t xml:space="preserve">Thus, self-efficacy is broadly about judging one’s capabilities to </w:t>
      </w:r>
      <w:r>
        <w:t xml:space="preserve">achieve a goal </w:t>
      </w:r>
      <w:r w:rsidRPr="00733EAE">
        <w:t>and is integrated into many of the self-regulatory mechanisms that enable and facilitate the processes we need to engage in to accomplish things. That is, it is a construct that has functional characteristics and is a conduit for competencies and skills that enable positive outcomes. A function is a determinable mapping from one variable to a related dependent one, hence it is reasonable to suppose that outcome is a dependent function of self-efficacy, and that (academic) self-efficacy belief can be a dependent function of aptitude (Schun</w:t>
      </w:r>
      <w:r>
        <w:t xml:space="preserve">k, 1989). A typical, science </w:t>
      </w:r>
      <w:r w:rsidRPr="00733EAE">
        <w:t>student might comment</w:t>
      </w:r>
      <w:r>
        <w:t>, for example</w:t>
      </w:r>
    </w:p>
    <w:p w14:paraId="1A861A8A" w14:textId="2D79F762" w:rsidR="007707AB" w:rsidRPr="007802EA" w:rsidRDefault="007707AB" w:rsidP="007707AB">
      <w:pPr>
        <w:spacing w:line="276" w:lineRule="auto"/>
        <w:ind w:left="360"/>
        <w:rPr>
          <w:color w:val="4472C4" w:themeColor="accent1"/>
          <w:sz w:val="18"/>
          <w:szCs w:val="18"/>
        </w:rPr>
      </w:pPr>
      <w:r w:rsidRPr="00E27461">
        <w:t>“</w:t>
      </w:r>
      <w:r w:rsidRPr="007802EA">
        <w:rPr>
          <w:color w:val="4472C4" w:themeColor="accent1"/>
          <w:sz w:val="18"/>
          <w:szCs w:val="18"/>
        </w:rPr>
        <w:t>Once I’ve got started on this essay about the role of mitochondria in cell energy factories</w:t>
      </w:r>
      <w:r w:rsidR="00EB68CC" w:rsidRPr="007802EA">
        <w:rPr>
          <w:color w:val="4472C4" w:themeColor="accent1"/>
          <w:sz w:val="18"/>
          <w:szCs w:val="18"/>
        </w:rPr>
        <w:t>,</w:t>
      </w:r>
      <w:r w:rsidR="007802EA">
        <w:rPr>
          <w:color w:val="4472C4" w:themeColor="accent1"/>
          <w:sz w:val="18"/>
          <w:szCs w:val="18"/>
        </w:rPr>
        <w:t xml:space="preserve"> </w:t>
      </w:r>
      <w:r w:rsidRPr="007802EA">
        <w:rPr>
          <w:color w:val="4472C4" w:themeColor="accent1"/>
          <w:sz w:val="18"/>
          <w:szCs w:val="18"/>
        </w:rPr>
        <w:t>I’m confident that I can make a pretty good job of it and finish it in time for the deadline</w:t>
      </w:r>
      <w:r w:rsidRPr="00E27461">
        <w:rPr>
          <w:i/>
          <w:iCs/>
        </w:rPr>
        <w:t>”</w:t>
      </w:r>
    </w:p>
    <w:p w14:paraId="0A3B31F2" w14:textId="77777777" w:rsidR="007802EA" w:rsidRDefault="007707AB" w:rsidP="007707AB">
      <w:r w:rsidRPr="00E27461">
        <w:t>This student is expressing a strong measure of self-efficacy belief in relation to this essay-writing task and we should notice that self-efficacy is domain (context) specific (e</w:t>
      </w:r>
      <w:r>
        <w:t>.</w:t>
      </w:r>
      <w:r w:rsidRPr="00E27461">
        <w:t>g</w:t>
      </w:r>
      <w:r>
        <w:t>.</w:t>
      </w:r>
      <w:r w:rsidRPr="00E27461">
        <w:t xml:space="preserve">: Wilson </w:t>
      </w:r>
      <w:r>
        <w:t>et al.</w:t>
      </w:r>
      <w:r w:rsidRPr="00E27461">
        <w:t>, 2007</w:t>
      </w:r>
      <w:r>
        <w:t>;</w:t>
      </w:r>
      <w:r w:rsidRPr="00E27461">
        <w:t xml:space="preserve"> Jungert </w:t>
      </w:r>
      <w:r>
        <w:t>et al.</w:t>
      </w:r>
      <w:r w:rsidRPr="00E27461">
        <w:t>, 2014</w:t>
      </w:r>
      <w:r>
        <w:t>;</w:t>
      </w:r>
      <w:r w:rsidRPr="00E27461">
        <w:t xml:space="preserve"> Uitto, 2014). Task and domain specificity is considere</w:t>
      </w:r>
      <w:r>
        <w:t xml:space="preserve">d in more detail below. For the </w:t>
      </w:r>
      <w:r w:rsidRPr="00E27461">
        <w:t xml:space="preserve">science student, the challenges of the task have been considered and the evaluation integrated with perceived capabilities – in this case, capabilities about writing an academic essay </w:t>
      </w:r>
      <w:r>
        <w:t>base</w:t>
      </w:r>
      <w:r w:rsidRPr="00E27461">
        <w:t>d on scientific knowledge. Whereas outcome can be more obviously considered as a function of self-efficacy, conversely, self-efficacy b</w:t>
      </w:r>
      <w:r>
        <w:t xml:space="preserve">elief may also be a function of outcome </w:t>
      </w:r>
      <w:r>
        <w:rPr>
          <w:i/>
        </w:rPr>
        <w:t>expectations</w:t>
      </w:r>
      <w:r>
        <w:t xml:space="preserve"> because </w:t>
      </w:r>
      <w:r w:rsidRPr="00E27461">
        <w:t>the essay writing task has not yet commenced or at least certainly is not completed. The student is projecting a belief about how successful the outcome will be for some point in the future and so it is reasonable to suppose that this may have an impact on the ways in which the task is approached and accomplished.</w:t>
      </w:r>
    </w:p>
    <w:p w14:paraId="25B4D782" w14:textId="13A3B3F3" w:rsidR="007707AB" w:rsidRPr="00E27461" w:rsidRDefault="007707AB" w:rsidP="007707AB">
      <w:r w:rsidRPr="00E27461">
        <w:t>This is an important point, however the bidirectionality of the functional relationship between self-efficacy beliefs and outcome expectations is not altogether clear in Bandura’s writings. In an early paper</w:t>
      </w:r>
      <w:r>
        <w:t>,</w:t>
      </w:r>
      <w:r w:rsidRPr="00E27461">
        <w:t xml:space="preserve"> it is argued that S</w:t>
      </w:r>
      <w:r>
        <w:t xml:space="preserve">CT </w:t>
      </w:r>
      <w:r w:rsidRPr="00E27461">
        <w:t>offers a distinction between efficacy expectations and outcome expectancy:</w:t>
      </w:r>
    </w:p>
    <w:p w14:paraId="25BC529F" w14:textId="77777777" w:rsidR="007707AB" w:rsidRPr="000B6FD4" w:rsidRDefault="007707AB" w:rsidP="007707AB">
      <w:pPr>
        <w:spacing w:line="276" w:lineRule="auto"/>
        <w:ind w:left="360"/>
      </w:pPr>
      <w:r w:rsidRPr="000B6FD4">
        <w:t>“An efficacy expectation is a judgement of one’s ability to execute a certain behaviour pattern, whereas an outcome expectation is a judgement of the likely consequences such behaviour will produce” (Bandura, 1978, p240).</w:t>
      </w:r>
    </w:p>
    <w:p w14:paraId="796BCF08" w14:textId="37BB70B0" w:rsidR="007802EA" w:rsidRDefault="007707AB" w:rsidP="007707AB">
      <w:r w:rsidRPr="00E27461">
        <w:t>By including the phrase</w:t>
      </w:r>
      <w:r w:rsidR="007802EA">
        <w:t xml:space="preserve"> '</w:t>
      </w:r>
      <w:r w:rsidRPr="000C5193">
        <w:rPr>
          <w:iCs/>
        </w:rPr>
        <w:t>likely consequences</w:t>
      </w:r>
      <w:r w:rsidRPr="00E27461">
        <w:t>‘</w:t>
      </w:r>
      <w:r w:rsidR="007802EA">
        <w:t>,</w:t>
      </w:r>
      <w:r w:rsidR="00EB68CC">
        <w:t xml:space="preserve"> </w:t>
      </w:r>
      <w:r w:rsidRPr="00E27461">
        <w:t xml:space="preserve">Bandura’s statement </w:t>
      </w:r>
      <w:r w:rsidR="007802EA">
        <w:t>appear</w:t>
      </w:r>
      <w:r w:rsidRPr="00E27461">
        <w:t>s</w:t>
      </w:r>
      <w:r w:rsidR="00535D19">
        <w:t xml:space="preserve"> </w:t>
      </w:r>
      <w:r w:rsidRPr="00E27461">
        <w:t xml:space="preserve">to be indicating that a self-efficacy belief precedes an outcome expectation and although these concepts seem quite similar they are not synonymous. For example, a student who presents a strong belief in her capacity to learn a foreign language (which is self-efficacy) may nevertheless doubt her ability to succeed (an outcome expectation) because it may be that her language class is frequently upset by disruptive peers (Schunk &amp; Pajares, 2001) and this conforms to the correct sequential process implied in the statement </w:t>
      </w:r>
      <w:r w:rsidRPr="00E27461">
        <w:lastRenderedPageBreak/>
        <w:t>above. The key idea according to Bandura and others such as Schunk and Pajares – who broadly take a similar standpoint to Bandura although acknowledge that the relationships between self-efficacy beliefs and outcome expectancy is far from straightforward – is that beliefs about the potential outcomes of a behaviour only become significant </w:t>
      </w:r>
      <w:r w:rsidRPr="002A4C8F">
        <w:rPr>
          <w:bCs/>
          <w:i/>
          <w:iCs/>
        </w:rPr>
        <w:t>after</w:t>
      </w:r>
      <w:r w:rsidRPr="00E27461">
        <w:rPr>
          <w:i/>
          <w:iCs/>
        </w:rPr>
        <w:t> </w:t>
      </w:r>
      <w:r w:rsidRPr="00E27461">
        <w:t xml:space="preserve">the individual has formed a belief about their capability to execute the behaviour likely to be required to generate the outcomes (Shell </w:t>
      </w:r>
      <w:r>
        <w:t>et al.</w:t>
      </w:r>
      <w:r w:rsidRPr="00E27461">
        <w:t>, 1989)</w:t>
      </w:r>
      <w:r>
        <w:t>.</w:t>
      </w:r>
    </w:p>
    <w:p w14:paraId="44BA60AC" w14:textId="577688D2" w:rsidR="007707AB" w:rsidRPr="00E27461" w:rsidRDefault="007707AB" w:rsidP="007707AB">
      <w:r>
        <w:t>T</w:t>
      </w:r>
      <w:r w:rsidRPr="00E27461">
        <w:t>his is suggested to be a unidirect</w:t>
      </w:r>
      <w:r>
        <w:t>ional process – that is, it can</w:t>
      </w:r>
      <w:r w:rsidRPr="00E27461">
        <w:t>not occur the other way around. This is important because it implies that self-efficacy beliefs </w:t>
      </w:r>
      <w:r w:rsidRPr="00E27461">
        <w:rPr>
          <w:i/>
          <w:iCs/>
        </w:rPr>
        <w:t>causally</w:t>
      </w:r>
      <w:r w:rsidRPr="00E27461">
        <w:t> influence outcome expectancy rather than propos</w:t>
      </w:r>
      <w:r>
        <w:t>ing</w:t>
      </w:r>
      <w:r w:rsidRPr="00E27461">
        <w:t xml:space="preserve"> a bidirectional, perhaps</w:t>
      </w:r>
      <w:r>
        <w:t xml:space="preserve"> </w:t>
      </w:r>
      <w:r w:rsidRPr="00E27461">
        <w:t>more associative relationship between the constructs, or that there are circumstances when they may be mutually influential. Bandura provides a useful practical analogy to argue the point that self-efficacy beliefs more generally precede outcome expectations</w:t>
      </w:r>
      <w:r>
        <w:t xml:space="preserve"> as he says</w:t>
      </w:r>
      <w:r w:rsidRPr="00E27461">
        <w:t>:</w:t>
      </w:r>
    </w:p>
    <w:p w14:paraId="3D1B8831" w14:textId="77777777" w:rsidR="007707AB" w:rsidRPr="000B6FD4" w:rsidRDefault="007707AB" w:rsidP="007707AB">
      <w:pPr>
        <w:spacing w:line="276" w:lineRule="auto"/>
        <w:ind w:left="360"/>
      </w:pPr>
      <w:r w:rsidRPr="000B6FD4">
        <w:t>"</w:t>
      </w:r>
      <w:r w:rsidRPr="000B6FD4">
        <w:rPr>
          <w:iCs/>
        </w:rPr>
        <w:t>People do not judge that they will drown if they jump into deep water and then infer that they must be poor swimmers. Rather, people who judge themselves to be poor swimmers will visualize themselves drowning if they jump into deep water</w:t>
      </w:r>
      <w:r w:rsidRPr="000B6FD4">
        <w:t>" (</w:t>
      </w:r>
      <w:r>
        <w:t xml:space="preserve">Bandura, </w:t>
      </w:r>
      <w:r w:rsidRPr="000B6FD4">
        <w:t>1997, p21).</w:t>
      </w:r>
    </w:p>
    <w:p w14:paraId="6444943E" w14:textId="2D5BAC7B" w:rsidR="007707AB" w:rsidRPr="00E27461" w:rsidRDefault="007707AB" w:rsidP="007707AB">
      <w:r>
        <w:t xml:space="preserve">This </w:t>
      </w:r>
      <w:r w:rsidRPr="00E27461">
        <w:t xml:space="preserve">is also demonstrated in the conditional relationships between self-efficacy beliefs and outcome expectancies as Bandura </w:t>
      </w:r>
      <w:r>
        <w:t>sees them (Fig</w:t>
      </w:r>
      <w:r w:rsidR="007802EA">
        <w:t>ure</w:t>
      </w:r>
      <w:r>
        <w:t xml:space="preserve"> 4).</w:t>
      </w:r>
    </w:p>
    <w:p w14:paraId="35F80390" w14:textId="77777777" w:rsidR="007707AB" w:rsidRDefault="007707AB" w:rsidP="007707AB">
      <w:pPr>
        <w:keepNext/>
      </w:pPr>
      <w:r>
        <w:t xml:space="preserve"> </w:t>
      </w:r>
      <w:r>
        <w:rPr>
          <w:noProof/>
          <w:lang w:eastAsia="en-GB"/>
        </w:rPr>
        <w:drawing>
          <wp:inline distT="0" distB="0" distL="0" distR="0" wp14:anchorId="61F124C2" wp14:editId="2ABB83D1">
            <wp:extent cx="5507990" cy="1619250"/>
            <wp:effectExtent l="0" t="0" r="0" b="0"/>
            <wp:docPr id="226" name="Picture 226" descr="A picture containing drawing,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erson_behaviour_outcomePRIN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07990" cy="1619250"/>
                    </a:xfrm>
                    <a:prstGeom prst="rect">
                      <a:avLst/>
                    </a:prstGeom>
                  </pic:spPr>
                </pic:pic>
              </a:graphicData>
            </a:graphic>
          </wp:inline>
        </w:drawing>
      </w:r>
    </w:p>
    <w:p w14:paraId="06AD7A84" w14:textId="4FC16156" w:rsidR="007707AB" w:rsidRPr="00647589" w:rsidRDefault="007707AB" w:rsidP="007707AB">
      <w:pPr>
        <w:pStyle w:val="Subtitle"/>
        <w:spacing w:after="0"/>
        <w:rPr>
          <w:rFonts w:ascii="Century Gothic" w:hAnsi="Century Gothic"/>
        </w:rPr>
      </w:pPr>
      <w:bookmarkStart w:id="76" w:name="_Toc9796118"/>
      <w:bookmarkStart w:id="77" w:name="_Toc9796198"/>
      <w:bookmarkStart w:id="78" w:name="_Toc56495223"/>
      <w:r>
        <w:t xml:space="preserve">Figure </w:t>
      </w:r>
      <w:r>
        <w:rPr>
          <w:noProof/>
        </w:rPr>
        <w:fldChar w:fldCharType="begin"/>
      </w:r>
      <w:r>
        <w:rPr>
          <w:noProof/>
        </w:rPr>
        <w:instrText xml:space="preserve"> SEQ Figure \* ARABIC </w:instrText>
      </w:r>
      <w:r>
        <w:rPr>
          <w:noProof/>
        </w:rPr>
        <w:fldChar w:fldCharType="separate"/>
      </w:r>
      <w:r w:rsidR="005F0AB9">
        <w:rPr>
          <w:noProof/>
        </w:rPr>
        <w:t>4</w:t>
      </w:r>
      <w:r>
        <w:rPr>
          <w:noProof/>
        </w:rPr>
        <w:fldChar w:fldCharType="end"/>
      </w:r>
      <w:r>
        <w:t>:</w:t>
      </w:r>
      <w:r w:rsidR="003366CE">
        <w:tab/>
      </w:r>
      <w:r>
        <w:t>Conditional relationships between self-efficacy beliefs and outcome expectancies (Adapted from Bandura, 1997, p22)</w:t>
      </w:r>
      <w:r>
        <w:rPr>
          <w:rFonts w:ascii="Century Gothic" w:hAnsi="Century Gothic"/>
        </w:rPr>
        <w:t>.</w:t>
      </w:r>
      <w:bookmarkEnd w:id="76"/>
      <w:bookmarkEnd w:id="77"/>
      <w:bookmarkEnd w:id="78"/>
    </w:p>
    <w:p w14:paraId="4841CD34" w14:textId="77777777" w:rsidR="007707AB" w:rsidRPr="00E27461" w:rsidRDefault="007707AB" w:rsidP="007707AB">
      <w:pPr>
        <w:pStyle w:val="Subtitle"/>
      </w:pPr>
    </w:p>
    <w:p w14:paraId="1F6A2706" w14:textId="77777777" w:rsidR="007707AB" w:rsidRPr="00E27461" w:rsidRDefault="007707AB" w:rsidP="007707AB">
      <w:r w:rsidRPr="00E27461">
        <w:t xml:space="preserve">However, a wider review of </w:t>
      </w:r>
      <w:r>
        <w:t xml:space="preserve">the </w:t>
      </w:r>
      <w:r w:rsidRPr="00E27461">
        <w:t>literature shows that the eviden</w:t>
      </w:r>
      <w:r>
        <w:t>ce is conflicting from the start,</w:t>
      </w:r>
      <w:r w:rsidRPr="00E27461">
        <w:t xml:space="preserve"> because definitions of construct parameters are not universally agreed. In trying to establish exactly what is meant by an individual’s self-efficacy beliefs, understanding is clouded because the key parameter of ‘capability’, widely used in research definitions, must be relative to the domain of interest but is also necessarily subjective, </w:t>
      </w:r>
      <w:r>
        <w:t>base</w:t>
      </w:r>
      <w:r w:rsidRPr="00E27461">
        <w:t xml:space="preserve">d on the individual’s perception of their capability in that context. Thus, even in an experiment with a clearly defined outcome that seeks to </w:t>
      </w:r>
      <w:r>
        <w:t xml:space="preserve">discover </w:t>
      </w:r>
      <w:r w:rsidRPr="00E27461">
        <w:t>more about participants’ context-</w:t>
      </w:r>
      <w:r>
        <w:t>base</w:t>
      </w:r>
      <w:r w:rsidRPr="00E27461">
        <w:t xml:space="preserve">d </w:t>
      </w:r>
      <w:r w:rsidRPr="00E27461">
        <w:lastRenderedPageBreak/>
        <w:t xml:space="preserve">self-efficacy beliefs and their task outcome expectancy, the variability between participating individuals’ perceptions of their capabilities, even in the same context, would be difficult to </w:t>
      </w:r>
      <w:r>
        <w:t>control</w:t>
      </w:r>
      <w:r w:rsidRPr="00E27461">
        <w:t xml:space="preserve"> or objectively measure</w:t>
      </w:r>
      <w:r>
        <w:t xml:space="preserve">. This is </w:t>
      </w:r>
      <w:r w:rsidRPr="00E27461">
        <w:t>because these are ungradable, personal attributes formed through the incorporation of a diversity of individualized factors ranging from social, peer-group and family influences (Juang &amp; Sil</w:t>
      </w:r>
      <w:r>
        <w:t>b</w:t>
      </w:r>
      <w:r w:rsidRPr="00E27461">
        <w:t>ereisen, 2002) to academic feedback reinforcement which can be both positive and negative (Wilson &amp; Lizzio, 2008).</w:t>
      </w:r>
    </w:p>
    <w:p w14:paraId="4667D092" w14:textId="77777777" w:rsidR="007707AB" w:rsidRPr="00E27461" w:rsidRDefault="007707AB" w:rsidP="007707AB">
      <w:r>
        <w:t xml:space="preserve">There is additional </w:t>
      </w:r>
      <w:r w:rsidRPr="00E27461">
        <w:t xml:space="preserve">evidence from studies which appear to expose a deeper flaw in Bandura’s key argument, concisely summarized by Williams (2010), who seemed unsettled by </w:t>
      </w:r>
      <w:r>
        <w:t xml:space="preserve">studies’ </w:t>
      </w:r>
      <w:r w:rsidRPr="00E27461">
        <w:t xml:space="preserve">blind adoption of theory as fact rather than being guided by the spirit of scientific research </w:t>
      </w:r>
      <w:r>
        <w:t>base</w:t>
      </w:r>
      <w:r w:rsidRPr="00E27461">
        <w:t>d on </w:t>
      </w:r>
      <w:r w:rsidRPr="00E27461">
        <w:rPr>
          <w:i/>
          <w:iCs/>
        </w:rPr>
        <w:t>nullius in verba</w:t>
      </w:r>
      <w:r w:rsidRPr="00E27461">
        <w:t xml:space="preserve">. In his paper (ibid), a case was built through the examination and citation of several examples of research which countered Bandura’s ‘fact’ that self-efficacy beliefs causally influence outcome expectancies in that direction only. Williams summarizes an argument about the causality of self-efficacy beliefs on behaviour that has remained unresolved for three decades, particularly through use of research by Kirsch </w:t>
      </w:r>
      <w:r>
        <w:t xml:space="preserve">(e.g. 1992) </w:t>
      </w:r>
      <w:r w:rsidRPr="00E27461">
        <w:t>amongst notable others, which explored the impacts that incentivizing outcome expectancy has on perceptions of capability, that is, self-efficacy beliefs. Williams re-ignited the debate on whether or not self-efficacy beliefs can be attributed as a cause for behaviour without being influenced by expectations of possible outcomes that will result from the behaviour, or even that the complete process can just as likely occur the other way around.</w:t>
      </w:r>
    </w:p>
    <w:p w14:paraId="17B93E25" w14:textId="37F927CD" w:rsidR="007707AB" w:rsidRDefault="007707AB" w:rsidP="007707AB">
      <w:r w:rsidRPr="00252CB2">
        <w:t>We are therefore left with two uncertainties when seeking to use the principles of self-efficacy beliefs to explain individuals’ behaviour: the first is that operational definitions of attributes and characteristics of self-efficacy are difficult to firmly establish, particularly the notion of ‘capability’; and secondly</w:t>
      </w:r>
      <w:r>
        <w:t>,</w:t>
      </w:r>
      <w:r w:rsidRPr="00252CB2">
        <w:t xml:space="preserve"> that Bandura’s underlying theory appears not quite as concrete as many researchers may have assumed. This is despite Bandura’s numerous papers persistently refuting challenges (e</w:t>
      </w:r>
      <w:r w:rsidR="007802EA">
        <w:t>.</w:t>
      </w:r>
      <w:r w:rsidRPr="00252CB2">
        <w:t>g</w:t>
      </w:r>
      <w:r w:rsidR="007802EA">
        <w:t>.</w:t>
      </w:r>
      <w:r w:rsidRPr="00252CB2">
        <w:t xml:space="preserve">: Bandura, 1983, 1984, 1995, 2007). So it seems clear that care must be exercised in using the theory as the backbone of a study if the outcomes of the research are to be meaningfully interpreted in relation to their theoretical basis. In particular, there seems some inconsistency about the operational validity of the self-efficacy&lt;-&gt;outcome expectancy relationship in some circumstances, notably ones that may involve attributing the functional relationships between the two constructs into phobic behaviour situations where self-efficacy measures of (cap)ability are obfuscated by the related but distinct construct of willingness (Cahill </w:t>
      </w:r>
      <w:r>
        <w:t>et al.</w:t>
      </w:r>
      <w:r w:rsidRPr="00252CB2">
        <w:t>, 2006). Given elements of phobic behaviour observed and researched in the domain of education and learning (e</w:t>
      </w:r>
      <w:r>
        <w:t>.</w:t>
      </w:r>
      <w:r w:rsidRPr="00252CB2">
        <w:t>g</w:t>
      </w:r>
      <w:r>
        <w:t>.</w:t>
      </w:r>
      <w:r w:rsidRPr="00252CB2">
        <w:t xml:space="preserve">: school phobias; for some useful summaries see: Goldstein </w:t>
      </w:r>
      <w:r>
        <w:lastRenderedPageBreak/>
        <w:t>et al.</w:t>
      </w:r>
      <w:r w:rsidRPr="00252CB2">
        <w:t>, 2003</w:t>
      </w:r>
      <w:r>
        <w:t>;</w:t>
      </w:r>
      <w:r w:rsidRPr="00252CB2">
        <w:t xml:space="preserve"> King </w:t>
      </w:r>
      <w:r>
        <w:t>et al.</w:t>
      </w:r>
      <w:r w:rsidRPr="00252CB2">
        <w:t>, 2001</w:t>
      </w:r>
      <w:r>
        <w:t>;</w:t>
      </w:r>
      <w:r w:rsidRPr="00252CB2">
        <w:t xml:space="preserve"> Kearney </w:t>
      </w:r>
      <w:r>
        <w:t>et al.</w:t>
      </w:r>
      <w:r w:rsidRPr="00252CB2">
        <w:t>, 2004), consideration of this facet of self-efficacy belief theory to learning</w:t>
      </w:r>
      <w:r>
        <w:t xml:space="preserve"> </w:t>
      </w:r>
      <w:r w:rsidRPr="00252CB2">
        <w:t xml:space="preserve">contexts should not be neglected. </w:t>
      </w:r>
    </w:p>
    <w:p w14:paraId="3891C165" w14:textId="676E2C29" w:rsidR="007707AB" w:rsidRDefault="007707AB" w:rsidP="007707AB">
      <w:r w:rsidRPr="00E27461">
        <w:t>In summary, it is useful to compare the schematic</w:t>
      </w:r>
      <w:r w:rsidR="007802EA">
        <w:t xml:space="preserve"> </w:t>
      </w:r>
      <w:r>
        <w:t>above (Fig</w:t>
      </w:r>
      <w:r w:rsidR="007802EA">
        <w:t>ure</w:t>
      </w:r>
      <w:r>
        <w:t xml:space="preserve"> 4) </w:t>
      </w:r>
      <w:r w:rsidRPr="00E27461">
        <w:t>which illustrates the unidirectional relationship from self-efficacy t</w:t>
      </w:r>
      <w:r>
        <w:t>o outcome expectancies with Figure 5, modified for this research, based on a prior adaptation of Bandura’s writings in the same volume (op cit), which apparently suggests that a reversed causality direction can occur.</w:t>
      </w:r>
    </w:p>
    <w:p w14:paraId="4AB5231F" w14:textId="42E6898B" w:rsidR="007707AB" w:rsidRPr="00CC5358" w:rsidRDefault="00B3671B" w:rsidP="007707AB">
      <w:pPr>
        <w:pStyle w:val="Heading4"/>
      </w:pPr>
      <w:r>
        <w:t xml:space="preserve">3. </w:t>
      </w:r>
      <w:r w:rsidR="007707AB" w:rsidRPr="00CC5358">
        <w:t>Dimensions of self-efficacy - level/magnitude, strength, generality</w:t>
      </w:r>
    </w:p>
    <w:p w14:paraId="22113787" w14:textId="4498E4ED" w:rsidR="007707AB" w:rsidRDefault="007707AB" w:rsidP="007707AB">
      <w:r w:rsidRPr="00E27461">
        <w:t>Efficacy beliefs in the functional relationship that link self-efficacy through behaviour to outcome expectations (and sometimes reciprocally as</w:t>
      </w:r>
      <w:r>
        <w:t xml:space="preserve"> </w:t>
      </w:r>
      <w:r w:rsidRPr="00E27461">
        <w:t>discussed above) have been shown through a wide body of literature supporting Bandura’s central tenets to be componential and we can think of the</w:t>
      </w:r>
      <w:r w:rsidR="007802EA">
        <w:t xml:space="preserve"> </w:t>
      </w:r>
      <w:r w:rsidRPr="007802EA">
        <w:t>level</w:t>
      </w:r>
      <w:r w:rsidR="007802EA">
        <w:t xml:space="preserve"> </w:t>
      </w:r>
      <w:r w:rsidRPr="007802EA">
        <w:t>or</w:t>
      </w:r>
      <w:r w:rsidR="007802EA">
        <w:t xml:space="preserve"> </w:t>
      </w:r>
      <w:r w:rsidRPr="007802EA">
        <w:t>magnitude</w:t>
      </w:r>
      <w:r w:rsidRPr="00E27461">
        <w:t> of self-efficacy expectations and</w:t>
      </w:r>
      <w:r>
        <w:t xml:space="preserve"> </w:t>
      </w:r>
      <w:r w:rsidRPr="00E27461">
        <w:t>the</w:t>
      </w:r>
      <w:r w:rsidR="007802EA">
        <w:t xml:space="preserve"> </w:t>
      </w:r>
      <w:r w:rsidRPr="007802EA">
        <w:t>strength</w:t>
      </w:r>
      <w:r w:rsidR="007802EA">
        <w:t xml:space="preserve"> </w:t>
      </w:r>
      <w:r w:rsidRPr="007802EA">
        <w:t>of self-efficacy expectations as the two primary dimensions. (Stajkovic,</w:t>
      </w:r>
      <w:r w:rsidR="007802EA">
        <w:t xml:space="preserve"> 1998). </w:t>
      </w:r>
      <w:r w:rsidRPr="007802EA">
        <w:t>Magnitude is about task difficulty and strength</w:t>
      </w:r>
      <w:r w:rsidRPr="00E27461">
        <w:t> is the judgment about the</w:t>
      </w:r>
    </w:p>
    <w:p w14:paraId="098BF2AA" w14:textId="4BD1C3A8" w:rsidR="007707AB" w:rsidRPr="00E27461" w:rsidRDefault="007707AB" w:rsidP="007707AB">
      <w:pPr>
        <w:spacing w:after="240"/>
      </w:pPr>
      <w:r>
        <w:rPr>
          <w:noProof/>
          <w:lang w:eastAsia="en-GB"/>
        </w:rPr>
        <mc:AlternateContent>
          <mc:Choice Requires="wps">
            <w:drawing>
              <wp:anchor distT="0" distB="0" distL="114300" distR="114300" simplePos="0" relativeHeight="251695104" behindDoc="0" locked="0" layoutInCell="1" allowOverlap="1" wp14:anchorId="7FA34E4C" wp14:editId="76BCC17D">
                <wp:simplePos x="0" y="0"/>
                <wp:positionH relativeFrom="column">
                  <wp:posOffset>73025</wp:posOffset>
                </wp:positionH>
                <wp:positionV relativeFrom="paragraph">
                  <wp:posOffset>3544570</wp:posOffset>
                </wp:positionV>
                <wp:extent cx="5507990" cy="569595"/>
                <wp:effectExtent l="0" t="0" r="0" b="0"/>
                <wp:wrapTopAndBottom/>
                <wp:docPr id="49" name="Text Box 49"/>
                <wp:cNvGraphicFramePr/>
                <a:graphic xmlns:a="http://schemas.openxmlformats.org/drawingml/2006/main">
                  <a:graphicData uri="http://schemas.microsoft.com/office/word/2010/wordprocessingShape">
                    <wps:wsp>
                      <wps:cNvSpPr txBox="1"/>
                      <wps:spPr>
                        <a:xfrm>
                          <a:off x="0" y="0"/>
                          <a:ext cx="5507990" cy="569595"/>
                        </a:xfrm>
                        <a:prstGeom prst="rect">
                          <a:avLst/>
                        </a:prstGeom>
                        <a:solidFill>
                          <a:prstClr val="white"/>
                        </a:solidFill>
                        <a:ln>
                          <a:noFill/>
                        </a:ln>
                      </wps:spPr>
                      <wps:txbx>
                        <w:txbxContent>
                          <w:p w14:paraId="5F3E6230" w14:textId="196D7FC4" w:rsidR="00533FBF" w:rsidRPr="00B63616" w:rsidRDefault="00533FBF" w:rsidP="007707AB">
                            <w:pPr>
                              <w:pStyle w:val="Subtitle"/>
                              <w:rPr>
                                <w:rFonts w:ascii="Muli" w:hAnsi="Muli"/>
                                <w:noProof/>
                                <w:sz w:val="20"/>
                              </w:rPr>
                            </w:pPr>
                            <w:bookmarkStart w:id="79" w:name="_Toc9796119"/>
                            <w:bookmarkStart w:id="80" w:name="_Toc9796199"/>
                            <w:bookmarkStart w:id="81" w:name="_Toc56495224"/>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t>:</w:t>
                            </w:r>
                            <w:r>
                              <w:tab/>
                              <w:t>Illustrating a contradictory, uni-directional relationship from outcome expectancies to behaviour (adapted from Williams, 2010, p420).</w:t>
                            </w:r>
                            <w:bookmarkEnd w:id="79"/>
                            <w:bookmarkEnd w:id="80"/>
                            <w:bookmarkEnd w:id="8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A34E4C" id="Text Box 49" o:spid="_x0000_s1029" type="#_x0000_t202" style="position:absolute;margin-left:5.75pt;margin-top:279.1pt;width:433.7pt;height:44.8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" stroked="f">
                <v:textbox style="mso-fit-shape-to-text:t" inset="0,0,0,0">
                  <w:txbxContent>
                    <w:p w14:paraId="5F3E6230" w14:textId="196D7FC4" w:rsidR="00533FBF" w:rsidRPr="00B63616" w:rsidRDefault="00533FBF" w:rsidP="007707AB">
                      <w:pPr>
                        <w:pStyle w:val="Subtitle"/>
                        <w:rPr>
                          <w:rFonts w:ascii="Muli" w:hAnsi="Muli"/>
                          <w:noProof/>
                          <w:sz w:val="20"/>
                        </w:rPr>
                      </w:pPr>
                      <w:bookmarkStart w:id="91" w:name="_Toc9796119"/>
                      <w:bookmarkStart w:id="92" w:name="_Toc9796199"/>
                      <w:bookmarkStart w:id="93" w:name="_Toc56495224"/>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t>:</w:t>
                      </w:r>
                      <w:r>
                        <w:tab/>
                        <w:t>Illustrating a contradictory, uni-directional relationship from outcome expectancies to behaviour (adapted from Williams, 2010, p420).</w:t>
                      </w:r>
                      <w:bookmarkEnd w:id="91"/>
                      <w:bookmarkEnd w:id="92"/>
                      <w:bookmarkEnd w:id="93"/>
                    </w:p>
                  </w:txbxContent>
                </v:textbox>
                <w10:wrap type="topAndBottom"/>
              </v:shape>
            </w:pict>
          </mc:Fallback>
        </mc:AlternateContent>
      </w:r>
      <w:r>
        <w:rPr>
          <w:noProof/>
          <w:lang w:eastAsia="en-GB"/>
        </w:rPr>
        <w:drawing>
          <wp:anchor distT="0" distB="0" distL="114300" distR="114300" simplePos="0" relativeHeight="251694080" behindDoc="0" locked="0" layoutInCell="1" allowOverlap="1" wp14:anchorId="0A2F41D5" wp14:editId="4257CD13">
            <wp:simplePos x="0" y="0"/>
            <wp:positionH relativeFrom="margin">
              <wp:align>right</wp:align>
            </wp:positionH>
            <wp:positionV relativeFrom="paragraph">
              <wp:posOffset>111263</wp:posOffset>
            </wp:positionV>
            <wp:extent cx="5507990" cy="3376295"/>
            <wp:effectExtent l="0" t="0" r="0" b="0"/>
            <wp:wrapTopAndBottom/>
            <wp:docPr id="227" name="Picture 227"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outcomeexp_SE_PRIN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07990" cy="3376295"/>
                    </a:xfrm>
                    <a:prstGeom prst="rect">
                      <a:avLst/>
                    </a:prstGeom>
                  </pic:spPr>
                </pic:pic>
              </a:graphicData>
            </a:graphic>
          </wp:anchor>
        </w:drawing>
      </w:r>
      <w:bookmarkStart w:id="82" w:name="sctDIMS"/>
      <w:bookmarkEnd w:id="82"/>
      <w:r w:rsidRPr="00E27461">
        <w:t xml:space="preserve">magnitude: </w:t>
      </w:r>
      <w:r w:rsidRPr="007802EA">
        <w:t>a</w:t>
      </w:r>
      <w:r w:rsidR="007802EA" w:rsidRPr="007802EA">
        <w:t xml:space="preserve"> </w:t>
      </w:r>
      <w:r w:rsidRPr="007802EA">
        <w:t>strong</w:t>
      </w:r>
      <w:r w:rsidR="007802EA">
        <w:t xml:space="preserve"> </w:t>
      </w:r>
      <w:r w:rsidRPr="007802EA">
        <w:t>self-efficacy expectation will present perseverance in the face of adversity whilst the converse,</w:t>
      </w:r>
      <w:r w:rsidR="007802EA">
        <w:t xml:space="preserve"> </w:t>
      </w:r>
      <w:r w:rsidRPr="007802EA">
        <w:t>weak</w:t>
      </w:r>
      <w:r w:rsidR="007802EA">
        <w:t xml:space="preserve"> </w:t>
      </w:r>
      <w:r w:rsidRPr="00E27461">
        <w:t>expectation is one that is easily questioned and especially doubted in the face of challenges that are thought of as difficult, (a sense established above in points 5 and 6). Bandura referred</w:t>
      </w:r>
      <w:r>
        <w:t xml:space="preserve"> to </w:t>
      </w:r>
      <w:r>
        <w:rPr>
          <w:i/>
        </w:rPr>
        <w:t>magnitude</w:t>
      </w:r>
      <w:r>
        <w:t xml:space="preserve"> and </w:t>
      </w:r>
      <w:r>
        <w:rPr>
          <w:i/>
        </w:rPr>
        <w:t>level</w:t>
      </w:r>
      <w:r>
        <w:t xml:space="preserve"> </w:t>
      </w:r>
      <w:r w:rsidRPr="00E27461">
        <w:t>synonymously and either term is widely found in the literature.</w:t>
      </w:r>
    </w:p>
    <w:p w14:paraId="58E91536" w14:textId="77777777" w:rsidR="007707AB" w:rsidRPr="00E27461" w:rsidRDefault="007707AB" w:rsidP="007707AB">
      <w:pPr>
        <w:numPr>
          <w:ilvl w:val="0"/>
          <w:numId w:val="25"/>
        </w:numPr>
        <w:spacing w:before="0" w:after="0" w:line="276" w:lineRule="auto"/>
      </w:pPr>
      <w:r w:rsidRPr="007802EA">
        <w:lastRenderedPageBreak/>
        <w:t>MAGNITUDE:</w:t>
      </w:r>
      <w:r>
        <w:t xml:space="preserve">  </w:t>
      </w:r>
      <w:r w:rsidRPr="00E27461">
        <w:t>whether you believ</w:t>
      </w:r>
      <w:r>
        <w:t>e that you are capable or not …</w:t>
      </w:r>
    </w:p>
    <w:p w14:paraId="00DF8DF7" w14:textId="77777777" w:rsidR="007707AB" w:rsidRDefault="007707AB" w:rsidP="007707AB">
      <w:pPr>
        <w:numPr>
          <w:ilvl w:val="0"/>
          <w:numId w:val="25"/>
        </w:numPr>
        <w:spacing w:line="276" w:lineRule="auto"/>
      </w:pPr>
      <w:r w:rsidRPr="007802EA">
        <w:t>STRENGTH:</w:t>
      </w:r>
      <w:r>
        <w:t xml:space="preserve">  </w:t>
      </w:r>
      <w:r w:rsidRPr="00E27461">
        <w:t>ho</w:t>
      </w:r>
      <w:r>
        <w:t>w certain (confident) you are …</w:t>
      </w:r>
    </w:p>
    <w:p w14:paraId="3FEEB530" w14:textId="690A45DF" w:rsidR="007707AB" w:rsidRPr="00E27461" w:rsidRDefault="007802EA" w:rsidP="007802EA">
      <w:pPr>
        <w:spacing w:line="360" w:lineRule="auto"/>
      </w:pPr>
      <w:r>
        <w:rPr>
          <w:noProof/>
        </w:rPr>
        <mc:AlternateContent>
          <mc:Choice Requires="wpg">
            <w:drawing>
              <wp:anchor distT="0" distB="0" distL="114300" distR="114300" simplePos="0" relativeHeight="251710464" behindDoc="0" locked="0" layoutInCell="1" allowOverlap="1" wp14:anchorId="4A276EA7" wp14:editId="3D6324B3">
                <wp:simplePos x="0" y="0"/>
                <wp:positionH relativeFrom="column">
                  <wp:posOffset>346075</wp:posOffset>
                </wp:positionH>
                <wp:positionV relativeFrom="paragraph">
                  <wp:posOffset>2686854</wp:posOffset>
                </wp:positionV>
                <wp:extent cx="4702810" cy="5143500"/>
                <wp:effectExtent l="0" t="0" r="0" b="0"/>
                <wp:wrapSquare wrapText="bothSides"/>
                <wp:docPr id="38" name="Group 38"/>
                <wp:cNvGraphicFramePr/>
                <a:graphic xmlns:a="http://schemas.openxmlformats.org/drawingml/2006/main">
                  <a:graphicData uri="http://schemas.microsoft.com/office/word/2010/wordprocessingGroup">
                    <wpg:wgp>
                      <wpg:cNvGrpSpPr/>
                      <wpg:grpSpPr>
                        <a:xfrm>
                          <a:off x="0" y="0"/>
                          <a:ext cx="4702810" cy="5143500"/>
                          <a:chOff x="0" y="0"/>
                          <a:chExt cx="4702810" cy="5143500"/>
                        </a:xfrm>
                      </wpg:grpSpPr>
                      <pic:pic xmlns:pic="http://schemas.openxmlformats.org/drawingml/2006/picture">
                        <pic:nvPicPr>
                          <pic:cNvPr id="229" name="Picture 229" descr="A screenshot of a cell phone&#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02810" cy="4705350"/>
                          </a:xfrm>
                          <a:prstGeom prst="rect">
                            <a:avLst/>
                          </a:prstGeom>
                        </pic:spPr>
                      </pic:pic>
                      <wps:wsp>
                        <wps:cNvPr id="37" name="Text Box 37"/>
                        <wps:cNvSpPr txBox="1"/>
                        <wps:spPr>
                          <a:xfrm>
                            <a:off x="0" y="4705985"/>
                            <a:ext cx="4627880" cy="437515"/>
                          </a:xfrm>
                          <a:prstGeom prst="rect">
                            <a:avLst/>
                          </a:prstGeom>
                          <a:solidFill>
                            <a:prstClr val="white"/>
                          </a:solidFill>
                          <a:ln>
                            <a:noFill/>
                          </a:ln>
                        </wps:spPr>
                        <wps:txbx>
                          <w:txbxContent>
                            <w:p w14:paraId="3AD69AA0" w14:textId="2F190295" w:rsidR="00533FBF" w:rsidRPr="007802EA" w:rsidRDefault="00533FBF" w:rsidP="007802EA">
                              <w:pPr>
                                <w:pStyle w:val="Subtitle"/>
                              </w:pPr>
                              <w:bookmarkStart w:id="83" w:name="_Toc9796120"/>
                              <w:bookmarkStart w:id="84" w:name="_Toc9796200"/>
                              <w:bookmarkStart w:id="85" w:name="_Toc56495225"/>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t>:</w:t>
                              </w:r>
                              <w:r>
                                <w:tab/>
                                <w:t>Illustrating magnitude and strength of self-efficacy.</w:t>
                              </w:r>
                              <w:bookmarkEnd w:id="83"/>
                              <w:bookmarkEnd w:id="84"/>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A276EA7" id="Group 38" o:spid="_x0000_s1030" style="position:absolute;margin-left:27.25pt;margin-top:211.55pt;width:370.3pt;height:405pt;z-index:251710464" coordsize="47028,5143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9" o:spid="_x0000_s1031" type="#_x0000_t75" alt="A screenshot of a cell phone&#10;&#10;Description automatically generated" style="position:absolute;width:47028;height:470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">
                  <v:imagedata r:id="rId29" o:title="A screenshot of a cell phone&#10;&#10;Description automatically generated"/>
                </v:shape>
                <v:shape id="Text Box 37" o:spid="_x0000_s1032" type="#_x0000_t202" style="position:absolute;top:47059;width:46278;height:43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" stroked="f">
                  <v:textbox style="mso-fit-shape-to-text:t" inset="0,0,0,0">
                    <w:txbxContent>
                      <w:p w14:paraId="3AD69AA0" w14:textId="2F190295" w:rsidR="00533FBF" w:rsidRPr="007802EA" w:rsidRDefault="00533FBF" w:rsidP="007802EA">
                        <w:pPr>
                          <w:pStyle w:val="Subtitle"/>
                        </w:pPr>
                        <w:bookmarkStart w:id="98" w:name="_Toc9796120"/>
                        <w:bookmarkStart w:id="99" w:name="_Toc9796200"/>
                        <w:bookmarkStart w:id="100" w:name="_Toc56495225"/>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t>:</w:t>
                        </w:r>
                        <w:r>
                          <w:tab/>
                          <w:t>Illustrating magnitude and strength of self-efficacy.</w:t>
                        </w:r>
                        <w:bookmarkEnd w:id="98"/>
                        <w:bookmarkEnd w:id="99"/>
                        <w:bookmarkEnd w:id="100"/>
                      </w:p>
                    </w:txbxContent>
                  </v:textbox>
                </v:shape>
                <w10:wrap type="square"/>
              </v:group>
            </w:pict>
          </mc:Fallback>
        </mc:AlternateContent>
      </w:r>
      <w:r w:rsidR="007707AB" w:rsidRPr="00E27461">
        <w:t xml:space="preserve">The essay-writing example used earlier demonstrates an instance of the capacity to self-influence, and in learning challenges the ways in which an individual reacts to an academic task is suggested to be a function of the self-efficacy beliefs that regulate motivation. It also provides an example of academic goal-setting – in this case, meeting the deadline – to which motivation, as another significant self-regulator mediated by self-efficacy, is a strong impacting factor, and to which significant associations between academic goal-setting and academic performance have been demonstrated (Travers </w:t>
      </w:r>
      <w:r w:rsidR="007707AB">
        <w:t>et al.</w:t>
      </w:r>
      <w:r w:rsidR="007707AB" w:rsidRPr="00E27461">
        <w:t>, 2013</w:t>
      </w:r>
      <w:r w:rsidR="007707AB">
        <w:t>;</w:t>
      </w:r>
      <w:r w:rsidR="007707AB" w:rsidRPr="00E27461">
        <w:t xml:space="preserve"> Morisano &amp; Locke, 201</w:t>
      </w:r>
      <w:r w:rsidR="007707AB">
        <w:t>3</w:t>
      </w:r>
      <w:r w:rsidR="007707AB" w:rsidRPr="00E27461">
        <w:t>). However, expanding on this is for a later discussion</w:t>
      </w:r>
      <w:r w:rsidR="007707AB">
        <w:t>,</w:t>
      </w:r>
      <w:r w:rsidR="007707AB" w:rsidRPr="00E27461">
        <w:t xml:space="preserve"> al</w:t>
      </w:r>
      <w:r w:rsidR="007707AB">
        <w:t xml:space="preserve">though Figure 6 attempts </w:t>
      </w:r>
      <w:r w:rsidR="007707AB" w:rsidRPr="00E27461">
        <w:t>to illustrate how the dimensions of magnitude and strength might be working in relation to the example-task of writing an academic essay. Each quadrant provides a suggestion about how a student might be thinking when approaching</w:t>
      </w:r>
      <w:r w:rsidR="007707AB">
        <w:t xml:space="preserve"> this task and is</w:t>
      </w:r>
      <w:r w:rsidR="007707AB" w:rsidRPr="00E27461">
        <w:t xml:space="preserve"> related in terms</w:t>
      </w:r>
      <w:r>
        <w:t xml:space="preserve"> </w:t>
      </w:r>
      <w:r w:rsidR="007707AB" w:rsidRPr="00E27461">
        <w:t>of their levels of perceived capability (magnitude) and confidence (strength) as dimensions of their academic self-efficacy beliefs.</w:t>
      </w:r>
    </w:p>
    <w:p w14:paraId="43A9D75E" w14:textId="77777777" w:rsidR="007707AB" w:rsidRPr="00E27461" w:rsidRDefault="007707AB" w:rsidP="007707AB">
      <w:r w:rsidRPr="00E27461">
        <w:lastRenderedPageBreak/>
        <w:t>In his original paper (1977) Bandura set out the scope and self-efficacy dimensions of magnitude and strength, and also the third dimension, ‘</w:t>
      </w:r>
      <w:r>
        <w:rPr>
          <w:i/>
          <w:iCs/>
        </w:rPr>
        <w:t xml:space="preserve">generality’, </w:t>
      </w:r>
      <w:r>
        <w:t>which </w:t>
      </w:r>
      <w:r w:rsidRPr="00E27461">
        <w:t>relates to how self-efficacy beliefs are contextually specific or more widely attributable. The paragraph in this paper which provides a broad overview is presented </w:t>
      </w:r>
      <w:r w:rsidRPr="000C5193">
        <w:rPr>
          <w:iCs/>
        </w:rPr>
        <w:t>verbatim</w:t>
      </w:r>
      <w:r w:rsidRPr="00E27461">
        <w:t> (below) because it is considered useful to observe how confounding this earliest exposition is, and hence to reflect on how Bandura’s original thesis may have confused subsequent researchers due to the interchangeability of terms, words and phrases that later had to be unpicked and more precisely pinned down:</w:t>
      </w:r>
    </w:p>
    <w:p w14:paraId="65B7FE53" w14:textId="4689B1C2" w:rsidR="007707AB" w:rsidRPr="00E27461" w:rsidRDefault="007707AB" w:rsidP="007707AB">
      <w:pPr>
        <w:spacing w:line="276" w:lineRule="auto"/>
        <w:ind w:left="720"/>
      </w:pPr>
      <w:r w:rsidRPr="000C5193">
        <w:rPr>
          <w:iCs/>
        </w:rPr>
        <w:t>“Efficacy expectations vary on several dimensions that have important performance implications. They differ in magnitude. Thus</w:t>
      </w:r>
      <w:r w:rsidR="00EB68CC">
        <w:rPr>
          <w:iCs/>
        </w:rPr>
        <w:t>,</w:t>
      </w:r>
      <w:r w:rsidRPr="000C5193">
        <w:rPr>
          <w:iCs/>
        </w:rPr>
        <w:t xml:space="preserve"> when tasks are ordered in level of difficulty, the efficacy expectations of different individuals may be limited to the simpler tasks, extend to moderately difficult ones, or include even the most taxing performances. Efficacy expectations also differ in generality. Some experiences create circumscribed mastery expectations. Others instil a more generalized sense of efficacy that extends well beyond the specific treatment situation. In addition, expectancies vary in strength. Weak expectations are easily extinguishable by disconfirming experiences, whereas individuals who possess strong expectations of mastery will persevere in their coping efforts despite disconfirming experiences.”</w:t>
      </w:r>
      <w:r>
        <w:t xml:space="preserve"> (</w:t>
      </w:r>
      <w:r w:rsidRPr="00E27461">
        <w:t>Bandura, 1977, p194</w:t>
      </w:r>
      <w:r>
        <w:t>).</w:t>
      </w:r>
    </w:p>
    <w:p w14:paraId="5EA49370" w14:textId="77777777" w:rsidR="007707AB" w:rsidRPr="00E27461" w:rsidRDefault="007707AB" w:rsidP="007707AB">
      <w:r w:rsidRPr="00E27461">
        <w:t>As an aside to trying to gain a clearer understanding of the message about </w:t>
      </w:r>
      <w:r w:rsidRPr="000C5193">
        <w:rPr>
          <w:iCs/>
        </w:rPr>
        <w:t>level, strength</w:t>
      </w:r>
      <w:r w:rsidRPr="000C5193">
        <w:t> and </w:t>
      </w:r>
      <w:r w:rsidRPr="000C5193">
        <w:rPr>
          <w:iCs/>
        </w:rPr>
        <w:t>generality</w:t>
      </w:r>
      <w:r w:rsidRPr="000C5193">
        <w:t>, it is of note that in this earliest of his writings on h</w:t>
      </w:r>
      <w:r w:rsidRPr="00E27461">
        <w:t>is theme, Bandura somewhat offhandedly speaks of ‘expectations’ which, in the light of the points made earlier, would be discomfiting were it not for later, clearer theses which relate the term to </w:t>
      </w:r>
      <w:r w:rsidRPr="00E27461">
        <w:rPr>
          <w:i/>
          <w:iCs/>
        </w:rPr>
        <w:t>outcomes,</w:t>
      </w:r>
      <w:r w:rsidRPr="00E27461">
        <w:t> with ‘efficacy </w:t>
      </w:r>
      <w:r w:rsidRPr="00E27461">
        <w:rPr>
          <w:i/>
          <w:iCs/>
        </w:rPr>
        <w:t>expectations‘ </w:t>
      </w:r>
      <w:r w:rsidRPr="00E27461">
        <w:t>being subsequently referred to as </w:t>
      </w:r>
      <w:r w:rsidRPr="00E27461">
        <w:rPr>
          <w:i/>
          <w:iCs/>
        </w:rPr>
        <w:t>‘</w:t>
      </w:r>
      <w:r w:rsidRPr="00244DCE">
        <w:rPr>
          <w:iCs/>
        </w:rPr>
        <w:t>perceived</w:t>
      </w:r>
      <w:r w:rsidRPr="00244DCE">
        <w:t> </w:t>
      </w:r>
      <w:r w:rsidRPr="00E27461">
        <w:t>self-efficacy’ and ‘self-efficacy </w:t>
      </w:r>
      <w:r w:rsidRPr="00244DCE">
        <w:rPr>
          <w:iCs/>
        </w:rPr>
        <w:t>beliefs</w:t>
      </w:r>
      <w:r w:rsidRPr="00E27461">
        <w:t>‘ – altogether more comprehensible terms. Indeed, in a later paper (1982) the phrase ‘efficacy </w:t>
      </w:r>
      <w:r w:rsidRPr="00E27461">
        <w:rPr>
          <w:i/>
          <w:iCs/>
        </w:rPr>
        <w:t>expectations’</w:t>
      </w:r>
      <w:r w:rsidRPr="00E27461">
        <w:t> occurred just once and was used in referring to changes in efficacy through vicarious experiences (more of this below). By the time of this paper, Bandura’s discursive focus had sharpened with the result that the ideas were less confusing for the researcher, easier to understand and more appropriately applicable.</w:t>
      </w:r>
      <w:bookmarkStart w:id="86" w:name="scttaskdom"/>
      <w:bookmarkEnd w:id="86"/>
    </w:p>
    <w:p w14:paraId="6AB90EFE" w14:textId="3D6C022C" w:rsidR="007707AB" w:rsidRPr="00CC5358" w:rsidRDefault="00B3671B" w:rsidP="007707AB">
      <w:pPr>
        <w:pStyle w:val="Heading4"/>
      </w:pPr>
      <w:r>
        <w:t xml:space="preserve">4. </w:t>
      </w:r>
      <w:r w:rsidR="007707AB" w:rsidRPr="00CC5358">
        <w:t>Task / domain specificity</w:t>
      </w:r>
    </w:p>
    <w:p w14:paraId="104E9FC7" w14:textId="77777777" w:rsidR="007802EA" w:rsidRDefault="007707AB" w:rsidP="007707AB">
      <w:r>
        <w:t>To follow through from the</w:t>
      </w:r>
      <w:r w:rsidRPr="00E27461">
        <w:t xml:space="preserve"> student </w:t>
      </w:r>
      <w:r>
        <w:t xml:space="preserve">imagined as </w:t>
      </w:r>
      <w:r w:rsidRPr="00E27461">
        <w:t>facing a challenging essay-writing task it should be noted that self-efficacy is not necessarily a global construct and tends to be task</w:t>
      </w:r>
      <w:r>
        <w:t>-specific (Stakjovic, 1998). The</w:t>
      </w:r>
      <w:r w:rsidRPr="00E27461">
        <w:t xml:space="preserve"> student may think herself per</w:t>
      </w:r>
      <w:r>
        <w:t>fectly capable in essay-writing</w:t>
      </w:r>
      <w:r w:rsidRPr="00E27461">
        <w:t xml:space="preserve"> but consider that arguing the key points to peers through a group presentation quite beyond her. </w:t>
      </w:r>
      <w:r>
        <w:t xml:space="preserve">Examples from other domains as diverse as entrepreneurship (Kreuger &amp; Dickson, 1994; Chen, et al., 1998), and journalism (Rooney &amp; Osipow, 1992) suggest that measurable differences can be determined between </w:t>
      </w:r>
      <w:r w:rsidRPr="007802EA">
        <w:rPr>
          <w:iCs/>
        </w:rPr>
        <w:t xml:space="preserve">generalized </w:t>
      </w:r>
      <w:r>
        <w:t>self-efficacy and self-</w:t>
      </w:r>
      <w:r>
        <w:lastRenderedPageBreak/>
        <w:t xml:space="preserve">efficacy related to sub-tasks within those wider domains. This indicates that </w:t>
      </w:r>
      <w:r w:rsidRPr="00D90E34">
        <w:t>there appears to be a need to distinguish between a measure that is adopted to gauge self-efficacy beliefs in a general </w:t>
      </w:r>
      <w:r w:rsidRPr="007802EA">
        <w:t>domain </w:t>
      </w:r>
      <w:r w:rsidRPr="00D90E34">
        <w:t>to those related to specific tasks</w:t>
      </w:r>
      <w:r w:rsidR="007802EA">
        <w:t xml:space="preserve"> </w:t>
      </w:r>
      <w:r w:rsidRPr="007802EA">
        <w:t>within </w:t>
      </w:r>
      <w:r w:rsidRPr="00D90E34">
        <w:t>that domain. Hence, the essay-writing student may present low self-efficacy beliefs related to the specific task of writing about the behaviour of mitochondria in cell energy factories</w:t>
      </w:r>
      <w:r>
        <w:t>,</w:t>
      </w:r>
      <w:r w:rsidRPr="00D90E34">
        <w:t xml:space="preserve"> but be more efficacious when caused to reflect about studying more generally on her biological sciences course.</w:t>
      </w:r>
    </w:p>
    <w:p w14:paraId="58812846" w14:textId="28A66AC6" w:rsidR="007707AB" w:rsidRPr="00E27461" w:rsidRDefault="007707AB" w:rsidP="007707AB">
      <w:r w:rsidRPr="00E27461">
        <w:t>Thus</w:t>
      </w:r>
      <w:r>
        <w:t>,</w:t>
      </w:r>
      <w:r w:rsidRPr="00E27461">
        <w:t xml:space="preserve"> even though the wealth of research evidence supports the</w:t>
      </w:r>
      <w:r w:rsidR="007802EA">
        <w:t xml:space="preserve"> </w:t>
      </w:r>
      <w:r w:rsidRPr="007802EA">
        <w:t>domain</w:t>
      </w:r>
      <w:r w:rsidRPr="00E27461">
        <w:t> specificity of self-efficacy and indeed within that, elements of </w:t>
      </w:r>
      <w:r w:rsidRPr="007802EA">
        <w:t>task-specificity</w:t>
      </w:r>
      <w:r w:rsidRPr="00E27461">
        <w:t xml:space="preserve">, an element of generality </w:t>
      </w:r>
      <w:r>
        <w:t xml:space="preserve">may still be </w:t>
      </w:r>
      <w:r w:rsidRPr="00E27461">
        <w:t>apparent</w:t>
      </w:r>
      <w:r>
        <w:t>,</w:t>
      </w:r>
      <w:r w:rsidRPr="00E27461">
        <w:t xml:space="preserve"> </w:t>
      </w:r>
      <w:r>
        <w:t xml:space="preserve">to the extent that </w:t>
      </w:r>
      <w:r w:rsidRPr="00E27461">
        <w:t xml:space="preserve">some researchers have persisted in attempting to take a more generalist viewpoint on self-efficacy. </w:t>
      </w:r>
      <w:r>
        <w:t xml:space="preserve">For example, </w:t>
      </w:r>
      <w:r w:rsidRPr="00E27461">
        <w:t xml:space="preserve">Schwarzer </w:t>
      </w:r>
      <w:r>
        <w:t>and</w:t>
      </w:r>
      <w:r w:rsidRPr="00E27461">
        <w:t xml:space="preserve"> Jerusalem (1995) developed a General Self-Efficacy Scale which attracted further development and spawned validation studies by the originators and others throughout the following two dec</w:t>
      </w:r>
      <w:r>
        <w:t>ades (e</w:t>
      </w:r>
      <w:r w:rsidR="007802EA">
        <w:t>.</w:t>
      </w:r>
      <w:r>
        <w:t>g</w:t>
      </w:r>
      <w:r w:rsidR="007802EA">
        <w:t>.:</w:t>
      </w:r>
      <w:r>
        <w:t xml:space="preserve"> Bosscher &amp; Smit, 1998;</w:t>
      </w:r>
      <w:r w:rsidRPr="00E27461">
        <w:t xml:space="preserve"> Chen </w:t>
      </w:r>
      <w:r>
        <w:t xml:space="preserve">et al., 2001; </w:t>
      </w:r>
      <w:r w:rsidRPr="00E27461">
        <w:t>Schwarzer &amp; Jerusalem, 2010). An example of how it has been used is demonstrated by an extensive, cross-domain and cross-cultural investigation which, through a meta-analytic validation study, claimed general self-efficacy to be a </w:t>
      </w:r>
      <w:r w:rsidRPr="007802EA">
        <w:t>universal </w:t>
      </w:r>
      <w:r w:rsidRPr="00E27461">
        <w:t xml:space="preserve">construct and that it could be used in conjunction with other psychological constructs meaningfully (Luszczynska </w:t>
      </w:r>
      <w:r>
        <w:t>et al.</w:t>
      </w:r>
      <w:r w:rsidRPr="00E27461">
        <w:t>, 2004)</w:t>
      </w:r>
      <w:r>
        <w:t>. A</w:t>
      </w:r>
      <w:r w:rsidRPr="00E27461">
        <w:t xml:space="preserve">n even more comprehensive meta-analysis using data from over 19,000 participants living in </w:t>
      </w:r>
      <w:r>
        <w:t>twenty-five</w:t>
      </w:r>
      <w:r w:rsidRPr="00E27461">
        <w:t xml:space="preserve"> countries also suggested the globality of the underlying construct (Scholz </w:t>
      </w:r>
      <w:r>
        <w:t>et al.</w:t>
      </w:r>
      <w:r w:rsidRPr="00E27461">
        <w:t xml:space="preserve">, 2002). Bandura has consistently doubted the veracity of research results which, he claims, misinterpret self-efficacy as a clear, narrow-in-scope construct and which hence try to justify the existence of a </w:t>
      </w:r>
      <w:r w:rsidR="007802EA">
        <w:t xml:space="preserve">decontextualized </w:t>
      </w:r>
      <w:r w:rsidR="00B869EA">
        <w:t xml:space="preserve">global </w:t>
      </w:r>
      <w:r w:rsidRPr="00E27461">
        <w:t>measure of self-efficacy</w:t>
      </w:r>
      <w:r>
        <w:t xml:space="preserve">. He </w:t>
      </w:r>
      <w:r w:rsidRPr="00E27461">
        <w:t>especially cit</w:t>
      </w:r>
      <w:r>
        <w:t>es</w:t>
      </w:r>
      <w:r w:rsidRPr="00E27461">
        <w:t xml:space="preserve"> the lack of predictive (for behaviour) capability that is weak when using a global measure as opposed to a specifically-constructed, domain-related evaluation, and that this ‘trait’ view of self-efficacy is thin on explanations about how the range of diverse, specific self-efficacies are factor-loaded and integrated into a generalized whole (Bandura, 2012, 2015).</w:t>
      </w:r>
      <w:bookmarkStart w:id="87" w:name="sctmedproc"/>
      <w:bookmarkEnd w:id="87"/>
    </w:p>
    <w:p w14:paraId="6DF2E4E3" w14:textId="54F33B79" w:rsidR="007707AB" w:rsidRPr="00CC5358" w:rsidRDefault="00B3671B" w:rsidP="007707AB">
      <w:pPr>
        <w:pStyle w:val="Heading4"/>
      </w:pPr>
      <w:r>
        <w:t xml:space="preserve">5. </w:t>
      </w:r>
      <w:r w:rsidR="007707AB" w:rsidRPr="00CC5358">
        <w:t>Mediating processes in learning (academic) Self-Efficacy</w:t>
      </w:r>
    </w:p>
    <w:p w14:paraId="1A43C20B" w14:textId="7DC4CA8C" w:rsidR="007707AB" w:rsidRPr="00E27461" w:rsidRDefault="007707AB" w:rsidP="007707AB">
      <w:r w:rsidRPr="00E27461">
        <w:t>An appealing characteristic of self-efficacy theory is that it is strongly influenced by an individual’s cognitive processing of their learning experiences (Goldfried &amp; Robins, 1982)</w:t>
      </w:r>
      <w:r>
        <w:t xml:space="preserve">. Hence, </w:t>
      </w:r>
      <w:r w:rsidRPr="00E27461">
        <w:t>in the field of h</w:t>
      </w:r>
      <w:r>
        <w:t xml:space="preserve">uman functioning, but especially in </w:t>
      </w:r>
      <w:r w:rsidRPr="00E27461">
        <w:t>learning processes, Bandura’s underlying arguments that efficacy beliefs are core regulators of the way we interact and engage with learning opportunities and challenges</w:t>
      </w:r>
      <w:r>
        <w:t>,</w:t>
      </w:r>
      <w:r w:rsidRPr="00E27461">
        <w:t xml:space="preserve"> are weighty and robust. His theories are supported by</w:t>
      </w:r>
      <w:r>
        <w:t xml:space="preserve"> </w:t>
      </w:r>
      <w:r w:rsidRPr="00E27461">
        <w:t xml:space="preserve">evidence that the process by which efficacy beliefs shape our learning is most strongly influenced by four, intervening agencies </w:t>
      </w:r>
      <w:r>
        <w:t xml:space="preserve">described </w:t>
      </w:r>
      <w:r w:rsidRPr="00E27461">
        <w:t>as ‘</w:t>
      </w:r>
      <w:r w:rsidRPr="002A4C8F">
        <w:rPr>
          <w:bCs/>
        </w:rPr>
        <w:t>mediating processes</w:t>
      </w:r>
      <w:r>
        <w:t xml:space="preserve">‘, </w:t>
      </w:r>
      <w:r w:rsidRPr="00E27461">
        <w:t>which</w:t>
      </w:r>
      <w:r>
        <w:t>,</w:t>
      </w:r>
      <w:r w:rsidRPr="00E27461">
        <w:t xml:space="preserve"> although may be of individual interest, are processes which operate mutually rather </w:t>
      </w:r>
      <w:r w:rsidRPr="00E27461">
        <w:lastRenderedPageBreak/>
        <w:t>than in isolation (Bandura, 1997). In this context</w:t>
      </w:r>
      <w:r>
        <w:t>,</w:t>
      </w:r>
      <w:r w:rsidRPr="00E27461">
        <w:t xml:space="preserve"> ‘mediating’ means where the action of</w:t>
      </w:r>
      <w:r>
        <w:t xml:space="preserve"> a variable or variables affect</w:t>
      </w:r>
      <w:r w:rsidRPr="00E27461">
        <w:t xml:space="preserve"> or have an impact on the processes that connect ourselves with our actions – in this case, our learning behaviour.</w:t>
      </w:r>
    </w:p>
    <w:p w14:paraId="3477D0ED" w14:textId="77777777" w:rsidR="007707AB" w:rsidRPr="00E27461" w:rsidRDefault="007707AB" w:rsidP="007707AB">
      <w:r>
        <w:t>T</w:t>
      </w:r>
      <w:r w:rsidRPr="00E27461">
        <w:t xml:space="preserve">hese </w:t>
      </w:r>
      <w:r>
        <w:t xml:space="preserve">four </w:t>
      </w:r>
      <w:r w:rsidRPr="00E27461">
        <w:t xml:space="preserve">mediating processes </w:t>
      </w:r>
      <w:r>
        <w:t>are</w:t>
      </w:r>
      <w:r w:rsidRPr="00E27461">
        <w:t>:</w:t>
      </w:r>
    </w:p>
    <w:p w14:paraId="7396DF06" w14:textId="77777777" w:rsidR="007707AB" w:rsidRPr="00E27461" w:rsidRDefault="007707AB" w:rsidP="007707AB">
      <w:pPr>
        <w:numPr>
          <w:ilvl w:val="0"/>
          <w:numId w:val="26"/>
        </w:numPr>
        <w:spacing w:line="276" w:lineRule="auto"/>
      </w:pPr>
      <w:r w:rsidRPr="002A4C8F">
        <w:rPr>
          <w:b/>
          <w:bCs/>
          <w:color w:val="4472C4" w:themeColor="accent1"/>
        </w:rPr>
        <w:t>cognitive processes</w:t>
      </w:r>
      <w:r w:rsidRPr="002A4C8F">
        <w:rPr>
          <w:color w:val="4472C4" w:themeColor="accent1"/>
        </w:rPr>
        <w:t> </w:t>
      </w:r>
      <w:r w:rsidRPr="00E27461">
        <w:t>– where efficacy, that is, the capacity or power to produce a desired effect or action, and personal beliefs in it, are significant in enhancing or undermining performance;</w:t>
      </w:r>
    </w:p>
    <w:p w14:paraId="7DF6DB97" w14:textId="77777777" w:rsidR="007707AB" w:rsidRPr="00E27461" w:rsidRDefault="007707AB" w:rsidP="007707AB">
      <w:pPr>
        <w:numPr>
          <w:ilvl w:val="0"/>
          <w:numId w:val="26"/>
        </w:numPr>
        <w:spacing w:line="276" w:lineRule="auto"/>
      </w:pPr>
      <w:r w:rsidRPr="002A4C8F">
        <w:rPr>
          <w:b/>
          <w:bCs/>
          <w:color w:val="4472C4" w:themeColor="accent1"/>
        </w:rPr>
        <w:t>motivational processes</w:t>
      </w:r>
      <w:r w:rsidRPr="002A4C8F">
        <w:rPr>
          <w:color w:val="4472C4" w:themeColor="accent1"/>
        </w:rPr>
        <w:t> </w:t>
      </w:r>
      <w:r w:rsidRPr="00E27461">
        <w:t>– where</w:t>
      </w:r>
      <w:r>
        <w:t>,</w:t>
      </w:r>
      <w:r w:rsidRPr="00E27461">
        <w:t xml:space="preserve"> in particular, that through integrating these with attribution theory, the focus of interest is with explaining causality. In this way, theoretical frameworks are constructed which can find reasons that set apart otherwise similarly placed individuals but who take different approaches to (learning) challenges: At one end of the spectrum is the individual who attributes success to their personal skills, expertise and capabilities, and failure principally to a lack of effort. This individual is more likely to accept the challenges of more difficult tasks and persist with them, even in the face of a lack of successful outcomes. </w:t>
      </w:r>
      <w:r>
        <w:t>A</w:t>
      </w:r>
      <w:r w:rsidRPr="00E27461">
        <w:t xml:space="preserve">t the other end is the individual who may be convinced that their success or failure is mainly due to circumstances outside their </w:t>
      </w:r>
      <w:r>
        <w:t>control</w:t>
      </w:r>
      <w:r w:rsidRPr="00E27461">
        <w:t xml:space="preserve"> and hence, generally believes there to be little point in pursuing difficult tasks where they pe</w:t>
      </w:r>
      <w:r>
        <w:t>rceive little chance of success – generating a destructive sense of learned helplessness, an attribute which is known to be associated with dyslexia (Glazzard, 2010);</w:t>
      </w:r>
    </w:p>
    <w:p w14:paraId="02533E26" w14:textId="77777777" w:rsidR="007707AB" w:rsidRPr="00E27461" w:rsidRDefault="007707AB" w:rsidP="007707AB">
      <w:pPr>
        <w:numPr>
          <w:ilvl w:val="0"/>
          <w:numId w:val="26"/>
        </w:numPr>
        <w:spacing w:line="276" w:lineRule="auto"/>
      </w:pPr>
      <w:r w:rsidRPr="002A4C8F">
        <w:rPr>
          <w:b/>
          <w:bCs/>
          <w:color w:val="4472C4" w:themeColor="accent1"/>
        </w:rPr>
        <w:t>affective processes</w:t>
      </w:r>
      <w:r w:rsidRPr="002A4C8F">
        <w:rPr>
          <w:color w:val="4472C4" w:themeColor="accent1"/>
        </w:rPr>
        <w:t> </w:t>
      </w:r>
      <w:r w:rsidRPr="00E27461">
        <w:t>– which are mainly concerned with the impacts of feelings and emotions in regulating (learning) behaviour. Significantly, emotional states such as anxiety, stress and depression have been shown to be strong effectors.</w:t>
      </w:r>
    </w:p>
    <w:p w14:paraId="4E83E8E2" w14:textId="77777777" w:rsidR="007707AB" w:rsidRPr="00E27461" w:rsidRDefault="007707AB" w:rsidP="007707AB">
      <w:pPr>
        <w:numPr>
          <w:ilvl w:val="0"/>
          <w:numId w:val="26"/>
        </w:numPr>
        <w:spacing w:line="276" w:lineRule="auto"/>
      </w:pPr>
      <w:r w:rsidRPr="002A4C8F">
        <w:rPr>
          <w:b/>
          <w:bCs/>
          <w:color w:val="4472C4" w:themeColor="accent1"/>
        </w:rPr>
        <w:t>selective processes</w:t>
      </w:r>
      <w:r w:rsidRPr="002A4C8F">
        <w:rPr>
          <w:color w:val="4472C4" w:themeColor="accent1"/>
        </w:rPr>
        <w:t> </w:t>
      </w:r>
      <w:r w:rsidRPr="00E27461">
        <w:t>– where the interest is with how personal efficacy beliefs influence the types of ((social) learning) activities individuals choose to engage with and the reasons that underpin these choices.</w:t>
      </w:r>
    </w:p>
    <w:p w14:paraId="3589FEF8" w14:textId="77777777" w:rsidR="007707AB" w:rsidRPr="00E27461" w:rsidRDefault="007707AB" w:rsidP="007707AB">
      <w:r w:rsidRPr="00E27461">
        <w:t>However</w:t>
      </w:r>
      <w:r>
        <w:t>,</w:t>
      </w:r>
      <w:r w:rsidRPr="00E27461">
        <w:t xml:space="preserve"> the most significant aspect of </w:t>
      </w:r>
      <w:r>
        <w:t xml:space="preserve">SCT </w:t>
      </w:r>
      <w:r w:rsidRPr="00E27461">
        <w:t>when applied to a social construction of learning where academic self-efficacy is suggested to be one of the most important influential factors, are the four, principal sources of efficacy beliefs. Bandura (1997) identified these four source functions as: mastery experience; vicarious experience; verbal persuasion; and physiological and affective states:</w:t>
      </w:r>
    </w:p>
    <w:p w14:paraId="0A074AE9" w14:textId="77777777" w:rsidR="007707AB" w:rsidRPr="00E27461" w:rsidRDefault="007707AB" w:rsidP="007707AB">
      <w:r w:rsidRPr="002A4C8F">
        <w:rPr>
          <w:b/>
          <w:bCs/>
          <w:color w:val="4472C4" w:themeColor="accent1"/>
        </w:rPr>
        <w:t>Mastery experience</w:t>
      </w:r>
      <w:r w:rsidRPr="002A4C8F">
        <w:rPr>
          <w:color w:val="4472C4" w:themeColor="accent1"/>
        </w:rPr>
        <w:t> </w:t>
      </w:r>
      <w:r w:rsidRPr="00E27461">
        <w:t xml:space="preserve">is about successes won by building upon positive experiences gained through tackling events or undertakings, whether these be practical or physical, theoretical or cerebral. That is, experience gained through actual performance. But building a sense of efficacy through mastery experience is not about just applying off-the-peg, ‘coached’ behaviours, it appears to rely on acquiring cognitive processing, </w:t>
      </w:r>
      <w:r w:rsidRPr="00E27461">
        <w:lastRenderedPageBreak/>
        <w:t>behavioural and self-regulatory skills that can enable an effective course of action to be executed and self-managed throughout the duration of an activity or life-action. For example, experience gained in essay-writing at university that steadily wins better grades for the student is likely to increase beliefs of academic self-efficacy – in essay-writing at least – whereas failures will lower them</w:t>
      </w:r>
      <w:r>
        <w:t>,</w:t>
      </w:r>
      <w:r w:rsidRPr="00E27461">
        <w:t xml:space="preserve"> especially if these failures occur during the early stages of study and do not result from a lack of effort or extenuating external circumstances; academic self-efficacy is widely regarded as </w:t>
      </w:r>
      <w:r w:rsidRPr="00244DCE">
        <w:rPr>
          <w:iCs/>
        </w:rPr>
        <w:t>domain specific</w:t>
      </w:r>
      <w:r w:rsidRPr="00E27461">
        <w:t> in that it must be considered as relational to the </w:t>
      </w:r>
      <w:r w:rsidRPr="00E27461">
        <w:rPr>
          <w:i/>
          <w:iCs/>
        </w:rPr>
        <w:t>criterial </w:t>
      </w:r>
      <w:r w:rsidRPr="00E27461">
        <w:t>task (Pajares, 1996). However, although successes and failures are powerful inducers, Bandura reminds us that it is the cognitive processing of feedback and diagnostic information that is the strongest affector of self-efficacy rather than the performances per se (op cit, p81). This is because many other factors affect performance, especially in academic contexts, relying on a plethora of other judgements about capability, not least perceptions of task difficulty or from revisiting an historical catalogue of past successes and failures, and so personal judgements about self-efficacy are incremental and especially, </w:t>
      </w:r>
      <w:r w:rsidRPr="00244DCE">
        <w:rPr>
          <w:iCs/>
        </w:rPr>
        <w:t>inferential</w:t>
      </w:r>
      <w:r w:rsidRPr="00E27461">
        <w:rPr>
          <w:i/>
          <w:iCs/>
        </w:rPr>
        <w:t> </w:t>
      </w:r>
      <w:r>
        <w:t>(Schunk, 1991).</w:t>
      </w:r>
      <w:hyperlink r:id="rId30" w:anchor="top" w:history="1"/>
    </w:p>
    <w:p w14:paraId="54D185D0" w14:textId="77777777" w:rsidR="007707AB" w:rsidRPr="00E27461" w:rsidRDefault="007707AB" w:rsidP="007707AB">
      <w:r w:rsidRPr="00E27461">
        <w:t>However</w:t>
      </w:r>
      <w:r>
        <w:t>, the</w:t>
      </w:r>
      <w:r w:rsidRPr="00E27461">
        <w:t xml:space="preserve"> essay-writing student will have also formed a judgement of their own capabilities in relation to others in the class. In contrast to the absolutism of an exam mark gained through an assessment process where answers are either correct or not, many academic activities are perceived as a gauge of the attainment of one individual in relation to that of similar others. The influence that this has on the individual is </w:t>
      </w:r>
      <w:r w:rsidRPr="002A4C8F">
        <w:rPr>
          <w:b/>
          <w:bCs/>
          <w:color w:val="4472C4" w:themeColor="accent1"/>
        </w:rPr>
        <w:t>vicarious experience</w:t>
      </w:r>
      <w:r w:rsidRPr="002A4C8F">
        <w:rPr>
          <w:color w:val="4472C4" w:themeColor="accent1"/>
        </w:rPr>
        <w:t> </w:t>
      </w:r>
      <w:r w:rsidRPr="00E27461">
        <w:t>and it is about gaining a sense of capability formed through comparison with others engaged in the same or a similar activity. As such, a vicarious experience is an indirect one, and even though generally regarded as less influential than mastery experiences, the processing of comparative information that is the essential part of vicarious experience may still have a strong influence on efficacy beliefs, especially when learners are uncertain about their own abilities</w:t>
      </w:r>
      <w:r>
        <w:t xml:space="preserve"> </w:t>
      </w:r>
      <w:r w:rsidRPr="00E27461">
        <w:t xml:space="preserve">(Pajares </w:t>
      </w:r>
      <w:r>
        <w:t>et al.</w:t>
      </w:r>
      <w:r w:rsidRPr="00E27461">
        <w:t xml:space="preserve">, 2007). </w:t>
      </w:r>
      <w:r w:rsidRPr="00666F08">
        <w:t>A key aspect of vicarious experience is the process of ‘modelling’ by which an individual externalizes the outcome of the comparative processing into actions and behaviour that are aligned with the immediate comparative peer group. Thus</w:t>
      </w:r>
      <w:r>
        <w:t>,</w:t>
      </w:r>
      <w:r w:rsidRPr="00666F08">
        <w:t xml:space="preserve"> for students engaging in learning activities of which they have limited experience, their efficacy beliefs can be influenced by ways in which they perceive their peers to have achieved outcomes when working on similar tasks (Hutchison </w:t>
      </w:r>
      <w:r>
        <w:t>et al.</w:t>
      </w:r>
      <w:r w:rsidRPr="00666F08">
        <w:t>, 2006). In a sense, this is a kind of quasi-norming process by which an individual uses social comparison inference to view the attainments of ‘similar others’ as a diagnostic of one’s own capabilities. Hence, viewing similar others perform successfully is likely to be a factor in elevating self-efficacy, as equally the converse is likely to depress it. An element of self-persuasion acts to convince the individual that when others are able to su</w:t>
      </w:r>
      <w:r>
        <w:t xml:space="preserve">ccessfully complete a task, </w:t>
      </w:r>
      <w:r w:rsidRPr="00666F08">
        <w:t xml:space="preserve">a similar success will be their reward too. The influence of vicarious experience has been particularly observed in studies concerning the learning </w:t>
      </w:r>
      <w:r w:rsidRPr="00666F08">
        <w:lastRenderedPageBreak/>
        <w:t xml:space="preserve">behaviours of children where although ‘influential adults’ are of course, powerful models for signalling behaviours, when ability is a constraint, the influences induced by comparison with similar peers can be more significant (Schunk </w:t>
      </w:r>
      <w:r>
        <w:t>et al.</w:t>
      </w:r>
      <w:r w:rsidRPr="00666F08">
        <w:t>, 1987).</w:t>
      </w:r>
    </w:p>
    <w:p w14:paraId="05076D1C" w14:textId="3DDCFE93" w:rsidR="007707AB" w:rsidRPr="00E27461" w:rsidRDefault="007707AB" w:rsidP="007707AB">
      <w:r w:rsidRPr="00E27461">
        <w:t>An individual’s self-efficacy can also be developed as a consequence of the </w:t>
      </w:r>
      <w:r w:rsidRPr="002A4C8F">
        <w:rPr>
          <w:b/>
          <w:bCs/>
          <w:color w:val="4472C4" w:themeColor="accent1"/>
        </w:rPr>
        <w:t>verbal persuasion</w:t>
      </w:r>
      <w:r w:rsidRPr="00E27461">
        <w:t> of </w:t>
      </w:r>
      <w:r w:rsidRPr="00B869EA">
        <w:t>significant others</w:t>
      </w:r>
      <w:r w:rsidRPr="00E27461">
        <w:t> who are relational to them. Verbal persuasion in the form of genuine and realistic encouragement from someone who is considered credible and convincing is likely to have a significant positive impact (Wood &amp; Bandura, 1989). In teacher-training, the sense of teaching (self)-efficacy has been found to have a strong influence on teaching behaviour (not unsurprisingly) which is especially significant in student-teachers as they develop their classroom competencies and where encouragement gained from feedback and guidance from more experienced colleagues positively impacts on teaching practice confidence (Tschannen-Moran &amp; Woolfolk Hoy, 2002</w:t>
      </w:r>
      <w:r>
        <w:t>;</w:t>
      </w:r>
      <w:r w:rsidRPr="00E27461">
        <w:t xml:space="preserve"> Oh, 201</w:t>
      </w:r>
      <w:r>
        <w:t xml:space="preserve">0). Additionally, in sport, </w:t>
      </w:r>
      <w:r w:rsidRPr="00E27461">
        <w:t>there are a plethora of studies reporting the positive impact that verbal persuasion has on self-efficacy beliefs either through motivating ‘team talks’ presented by trainers or coaches (eg: Samson, 2014</w:t>
      </w:r>
      <w:r>
        <w:t>;</w:t>
      </w:r>
      <w:r w:rsidRPr="00E27461">
        <w:t xml:space="preserve"> Zagorska &amp; Guszkowska, 2014) but also through actions of ‘self-talk’</w:t>
      </w:r>
      <w:r>
        <w:t>. However</w:t>
      </w:r>
      <w:r w:rsidR="00EB68CC">
        <w:t xml:space="preserve">, </w:t>
      </w:r>
      <w:r w:rsidRPr="00E27461">
        <w:t>one interesting study reported that the grea</w:t>
      </w:r>
      <w:r>
        <w:t>test</w:t>
      </w:r>
      <w:r w:rsidRPr="00E27461">
        <w:t xml:space="preserve"> elevations of self-efficacy, collective efficacy and performance indicators were with individuals who practised self-talk verbal persuasion that took the </w:t>
      </w:r>
      <w:r w:rsidRPr="00244DCE">
        <w:rPr>
          <w:iCs/>
        </w:rPr>
        <w:t>group’s</w:t>
      </w:r>
      <w:r w:rsidRPr="00244DCE">
        <w:t> </w:t>
      </w:r>
      <w:r w:rsidRPr="00E27461">
        <w:t xml:space="preserve">capabilities as the focus (Son </w:t>
      </w:r>
      <w:r>
        <w:t>et al.</w:t>
      </w:r>
      <w:r w:rsidRPr="00E27461">
        <w:t>, 2011).</w:t>
      </w:r>
    </w:p>
    <w:p w14:paraId="08F177E8" w14:textId="77777777" w:rsidR="007707AB" w:rsidRDefault="007707AB" w:rsidP="007707AB">
      <w:r w:rsidRPr="00E27461">
        <w:t>Somatic study is an enquiry that focuses individuals’ awareness holistically and is inclusive of associated physical and emotional needs and where decisions are influenced and informed by an intr</w:t>
      </w:r>
      <w:r>
        <w:t>insic wisdom (Eddy, 2011). If w</w:t>
      </w:r>
      <w:r w:rsidRPr="00E27461">
        <w:t>e understand ‘soma’ to mean in relation</w:t>
      </w:r>
      <w:r>
        <w:t xml:space="preserve"> to the complete living body, then</w:t>
      </w:r>
      <w:r w:rsidRPr="00E27461">
        <w:t xml:space="preserve"> in the context of behavioural regulation, it means a process of </w:t>
      </w:r>
      <w:r w:rsidRPr="00E27461">
        <w:rPr>
          <w:i/>
          <w:iCs/>
        </w:rPr>
        <w:t>doing</w:t>
      </w:r>
      <w:r w:rsidRPr="00E27461">
        <w:t> and </w:t>
      </w:r>
      <w:r w:rsidRPr="00E27461">
        <w:rPr>
          <w:i/>
          <w:iCs/>
        </w:rPr>
        <w:t>being</w:t>
      </w:r>
      <w:r w:rsidRPr="00E27461">
        <w:t>. This is especially distinct from cognitive regulation of actions and decision-making – hence Eddy’s attribution of somatic enquiry to dance. The connection here to Bandura’s work is that in forming judgements about capabilities, individuals’ </w:t>
      </w:r>
      <w:r w:rsidRPr="002A4C8F">
        <w:rPr>
          <w:b/>
          <w:bCs/>
          <w:color w:val="4472C4" w:themeColor="accent1"/>
        </w:rPr>
        <w:t xml:space="preserve">physiological and affective states </w:t>
      </w:r>
      <w:r w:rsidRPr="00E27461">
        <w:t>are partially relied upon and Bandura proposes that whilst somatic indicators are more especially relevant in efficacy judgements about physical accomplishments – in physical exertion such as strenuous exercise for example - our corporeal state is the most significant gauge of achievement, (or not, depending on our level of fitness perhaps)</w:t>
      </w:r>
      <w:r>
        <w:t>. H</w:t>
      </w:r>
      <w:r w:rsidRPr="00E27461">
        <w:t xml:space="preserve">ence </w:t>
      </w:r>
      <w:r>
        <w:t xml:space="preserve">it </w:t>
      </w:r>
      <w:r w:rsidRPr="00E27461">
        <w:t>influences our predictive ability to forecast likely future capacity and potential for further improvement – the ways in which our physiology reacts to</w:t>
      </w:r>
      <w:r>
        <w:t xml:space="preserve">, </w:t>
      </w:r>
      <w:r w:rsidRPr="00E27461">
        <w:t>or anticipates situation-specific circumstances and how our emotions are interrelated with this </w:t>
      </w:r>
      <w:r w:rsidRPr="002A4C8F">
        <w:rPr>
          <w:bCs/>
          <w:i/>
        </w:rPr>
        <w:t>are</w:t>
      </w:r>
      <w:r w:rsidRPr="00E27461">
        <w:t> impacting factors on efficacy judgements. (Bandura, 1997).</w:t>
      </w:r>
    </w:p>
    <w:p w14:paraId="3291C39E" w14:textId="77777777" w:rsidR="007707AB" w:rsidRPr="00E27461" w:rsidRDefault="007707AB" w:rsidP="007707AB">
      <w:r w:rsidRPr="00E27461">
        <w:lastRenderedPageBreak/>
        <w:t>Bandura</w:t>
      </w:r>
      <w:r>
        <w:t xml:space="preserve"> </w:t>
      </w:r>
      <w:r w:rsidRPr="00E27461">
        <w:t xml:space="preserve">was </w:t>
      </w:r>
      <w:r>
        <w:t xml:space="preserve">later </w:t>
      </w:r>
      <w:r w:rsidRPr="00E27461">
        <w:t>taken by the idea of ‘mood congruency’ to support the argument about how affective states are able to directly influence evaluative judge</w:t>
      </w:r>
      <w:r>
        <w:t>ments, (1997, p112, citing</w:t>
      </w:r>
      <w:r w:rsidRPr="00E27461">
        <w:t xml:space="preserve"> Schwartz &amp; Clore, 1988). </w:t>
      </w:r>
      <w:r>
        <w:t>The most important idea concerns</w:t>
      </w:r>
      <w:r w:rsidRPr="00E27461">
        <w:t xml:space="preserve"> how individuals use a perception of an emotional reaction to a task or activity rather than a recall of information about the activity itself as the mechanism through which an evaluation is formed. Hence, positive evaluations tend to be associated with ‘good moods’ and vice versa although it is the attribution of </w:t>
      </w:r>
      <w:r w:rsidRPr="00E27461">
        <w:rPr>
          <w:i/>
          <w:iCs/>
        </w:rPr>
        <w:t>meaning</w:t>
      </w:r>
      <w:r w:rsidRPr="00E27461">
        <w:t xml:space="preserve"> to the associated affective state which can impart the greater impact on the evaluative judgement. For example, a student who is late for an exam may attribute increased heart rate and anxiety levels to their lateness rather than associate these feelings to prior concerns about performing well in the exam – which in this case could possibly be a positive contributor to the likelihood of the student </w:t>
      </w:r>
      <w:r>
        <w:t xml:space="preserve">achieving </w:t>
      </w:r>
      <w:r w:rsidRPr="00E27461">
        <w:t xml:space="preserve">a better result! Of more significance is that where mood can be induced, as opposed to being temporally inherent, a respective positive or negative impact on efficacy beliefs can also be observed, indeed the greater the intensity of mood that is evoked, the more significant the impact on efficacy becomes: individuals induced to ‘feel good’ exhibit more positive perceptions towards task characteristics and claimed to feel more satisfied with their task outcomes (Kraiger </w:t>
      </w:r>
      <w:r>
        <w:t>et al.</w:t>
      </w:r>
      <w:r w:rsidRPr="00E27461">
        <w:t>, 1989) which implies enhanced efficacy beliefs. More interesting still, is that mood inducement is reported to have a more generalized effect on efficacy beliefs rather than be directly connected with the domain of functioning at the time of the mood inducement (Kavanagh &amp; Bower, 1985) which is clearly highly relevant in teaching and learning environments.</w:t>
      </w:r>
    </w:p>
    <w:p w14:paraId="1D0A510D" w14:textId="77777777" w:rsidR="007707AB" w:rsidRDefault="007707AB" w:rsidP="007707AB">
      <w:r w:rsidRPr="00C3234D">
        <w:t>Contradictory evidence does exist</w:t>
      </w:r>
      <w:r>
        <w:t>,</w:t>
      </w:r>
      <w:r w:rsidRPr="00C3234D">
        <w:t xml:space="preserve"> however, suggesting that in some situations, induced negative mood in fact increases standards for performance and judgements of performance capabilities because it lowers satisfaction with potential outcomes and hence, serves to raise standards (Cervone </w:t>
      </w:r>
      <w:r>
        <w:t>et al.</w:t>
      </w:r>
      <w:r w:rsidRPr="00C3234D">
        <w:t xml:space="preserve">, 1994) – at least amongst the undergraduate students in that study. The argument proposed </w:t>
      </w:r>
      <w:r>
        <w:t xml:space="preserve">was </w:t>
      </w:r>
      <w:r w:rsidRPr="00C3234D">
        <w:t>that a consequence of negative mood was an evaluation that prospective outcomes would be lower and hence the level of performance that is judged as satisfactory, is raised, resulting in an outcome that is better</w:t>
      </w:r>
      <w:r>
        <w:t xml:space="preserve"> than expected, suggesting the scenario of making students miserable so they</w:t>
      </w:r>
      <w:r w:rsidRPr="00C3234D">
        <w:t xml:space="preserve"> try harder and hence </w:t>
      </w:r>
      <w:r>
        <w:t xml:space="preserve">achieve </w:t>
      </w:r>
      <w:r w:rsidRPr="00C3234D">
        <w:t>better results.</w:t>
      </w:r>
      <w:r>
        <w:t xml:space="preserve"> </w:t>
      </w:r>
    </w:p>
    <w:p w14:paraId="2FD43298" w14:textId="0C7AA021" w:rsidR="007707AB" w:rsidRPr="00CC5358" w:rsidRDefault="00B3671B" w:rsidP="007707AB">
      <w:pPr>
        <w:pStyle w:val="Heading4"/>
      </w:pPr>
      <w:r>
        <w:t xml:space="preserve">6. </w:t>
      </w:r>
      <w:r w:rsidR="007707AB" w:rsidRPr="00CC5358">
        <w:t>Agency</w:t>
      </w:r>
    </w:p>
    <w:p w14:paraId="44D0971B" w14:textId="227D2DD3" w:rsidR="007707AB" w:rsidRDefault="007707AB" w:rsidP="00B869EA">
      <w:pPr>
        <w:spacing w:after="0"/>
      </w:pPr>
      <w:r w:rsidRPr="00246522">
        <w:t xml:space="preserve">In more recent writing, Bandura has taken an agentic perspective to develop SCT (Bandura, 2001) in which 'agency' is the embodiment of the essential characteristics of individuals' sense of purpose. Sen (1993) argues that agency is rooted in the concept of capability, which is described as the power and freedoms that individuals possess to enjoy being who they are and to engage in actions that they value. Hence in adopting this perspective, the notion of capability becomes more crystalized as a tangible concept </w:t>
      </w:r>
      <w:r w:rsidRPr="00246522">
        <w:lastRenderedPageBreak/>
        <w:t>rather than as an elusive threshold one, as outlined above. Cross-embedded with capability is autonomy</w:t>
      </w:r>
      <w:r>
        <w:t>,</w:t>
      </w:r>
      <w:r w:rsidRPr="00246522">
        <w:t> with both being dimensions of individualism against which most indicators of agency have been shown to have strong correlations (Chirkov et al., 2003) in the field of self-determination theory (Ryan &amp; Deci, 2000). Capability and, to a lesser extent, autonomy have been shown to be key characteristics for successful independent and self-managed learners (Lui &amp; Hongxiu, 2009; Granic et al., 2009), especially in HE contexts where the concepts have been enshrined as guiding principles in establishing universities' aims and purpose, strongly endorsed by the Higher Education Academy some two decades ago (Stephenson, 1998). In this domain, Weaver (1982) laid down the early foundations of the 'capability approach' with strong arguments advocating the 6 Cs of capability - culture, comprehension, competence, communion, creativity, coping - that set to transform the nature and purpose of HE away from the historically-grounded didactic transmission of knowledge to largely passive recipients through a kind of osmotic process, into the kind of interactive, student-centred university learning broadly observed throughout tertiary education today. Capable learners are creative as well as competent, they are adept at meta-learning, have high levels of self-efficacy and can adapt their capabilities to suit the familiar, varied or even unfamiliar activities, situations and circumstances in which they find themselves (Nagarajan &amp; Prabhu, 2015).</w:t>
      </w:r>
      <w:r w:rsidRPr="00246522">
        <w:br/>
      </w:r>
      <w:r w:rsidRPr="00246522">
        <w:br/>
        <w:t>Figure 7 draws from Bandura's extensive writings to summarize the components and factors which enable individuals' self-efficacy beliefs to move them towards a behavioural outcome. It can be seen that the picture is far from straightforward, but it shows that self-efficacy beliefs and performance as an accomplishment can be considered as precursors to</w:t>
      </w:r>
      <w:r w:rsidR="00B869EA">
        <w:t xml:space="preserve"> </w:t>
      </w:r>
      <w:r w:rsidRPr="00863D14">
        <w:t>outcome expectancies and outcome</w:t>
      </w:r>
      <w:r>
        <w:t>s themselves. In the mix are</w:t>
      </w:r>
      <w:r w:rsidRPr="00863D14">
        <w:t xml:space="preserve"> control and agency beliefs, but of particular interest is the extent to which confidence might be considered as a strong agentic factor in the flow from self-efficacy and performance towards outcomes</w:t>
      </w:r>
      <w:r>
        <w:t>,</w:t>
      </w:r>
      <w:r w:rsidRPr="00863D14">
        <w:t xml:space="preserve"> especially in the light of evidence that this process is not as unidirectional as Bandu</w:t>
      </w:r>
      <w:r>
        <w:t>ra would have us believe</w:t>
      </w:r>
      <w:r w:rsidRPr="00863D14">
        <w:t xml:space="preserve">. Nevertheless, Nicholson </w:t>
      </w:r>
      <w:r>
        <w:t>et al.</w:t>
      </w:r>
      <w:r w:rsidRPr="00863D14">
        <w:t xml:space="preserve"> (2013) suggested that confidence, in tandem with 'realistic expectations', were key drivers that can influence academic outcomes. Findings from their study supported their expectation at the outset that more confident students would achieve higher end-of-semester marks (ibid, p12), a point made </w:t>
      </w:r>
      <w:r>
        <w:t>at the start of this thesis</w:t>
      </w:r>
      <w:r w:rsidRPr="00863D14">
        <w:t>.</w:t>
      </w:r>
      <w:r w:rsidRPr="00E27461">
        <w:t> </w:t>
      </w:r>
    </w:p>
    <w:p w14:paraId="1141B88F" w14:textId="77777777" w:rsidR="007707AB" w:rsidRDefault="007707AB" w:rsidP="007707AB">
      <w:r>
        <w:rPr>
          <w:noProof/>
          <w:lang w:eastAsia="en-GB"/>
        </w:rPr>
        <w:lastRenderedPageBreak/>
        <w:drawing>
          <wp:inline distT="0" distB="0" distL="0" distR="0" wp14:anchorId="46A1352A" wp14:editId="1F83B5DB">
            <wp:extent cx="5507990" cy="5782945"/>
            <wp:effectExtent l="0" t="0" r="0" b="8255"/>
            <wp:docPr id="230" name="Picture 230"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elf-efficacy beliefsmap_PRIN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07990" cy="5782945"/>
                    </a:xfrm>
                    <a:prstGeom prst="rect">
                      <a:avLst/>
                    </a:prstGeom>
                  </pic:spPr>
                </pic:pic>
              </a:graphicData>
            </a:graphic>
          </wp:inline>
        </w:drawing>
      </w:r>
    </w:p>
    <w:p w14:paraId="2151FFF2" w14:textId="3B62B36E" w:rsidR="007707AB" w:rsidRPr="00E27461" w:rsidRDefault="007707AB" w:rsidP="007707AB">
      <w:bookmarkStart w:id="88" w:name="notable"/>
      <w:bookmarkStart w:id="89" w:name="_Toc9796121"/>
      <w:bookmarkStart w:id="90" w:name="_Toc9796201"/>
      <w:bookmarkStart w:id="91" w:name="_Toc56495226"/>
      <w:bookmarkEnd w:id="88"/>
      <w:r w:rsidRPr="00246522">
        <w:rPr>
          <w:rStyle w:val="SubtitleChar"/>
        </w:rPr>
        <w:t xml:space="preserve">Figure </w:t>
      </w:r>
      <w:r w:rsidRPr="00246522">
        <w:rPr>
          <w:rStyle w:val="SubtitleChar"/>
        </w:rPr>
        <w:fldChar w:fldCharType="begin"/>
      </w:r>
      <w:r w:rsidRPr="00246522">
        <w:rPr>
          <w:rStyle w:val="SubtitleChar"/>
        </w:rPr>
        <w:instrText xml:space="preserve"> SEQ Figure \* ARABIC </w:instrText>
      </w:r>
      <w:r w:rsidRPr="00246522">
        <w:rPr>
          <w:rStyle w:val="SubtitleChar"/>
        </w:rPr>
        <w:fldChar w:fldCharType="separate"/>
      </w:r>
      <w:r w:rsidR="005F0AB9">
        <w:rPr>
          <w:rStyle w:val="SubtitleChar"/>
          <w:noProof/>
        </w:rPr>
        <w:t>7</w:t>
      </w:r>
      <w:r w:rsidRPr="00246522">
        <w:rPr>
          <w:rStyle w:val="SubtitleChar"/>
        </w:rPr>
        <w:fldChar w:fldCharType="end"/>
      </w:r>
      <w:r w:rsidRPr="00246522">
        <w:rPr>
          <w:rStyle w:val="SubtitleChar"/>
        </w:rPr>
        <w:t>:</w:t>
      </w:r>
      <w:r w:rsidR="003366CE">
        <w:rPr>
          <w:rStyle w:val="SubtitleChar"/>
        </w:rPr>
        <w:tab/>
      </w:r>
      <w:r w:rsidRPr="00246522">
        <w:rPr>
          <w:rStyle w:val="SubtitleChar"/>
        </w:rPr>
        <w:t>Summary of components and factors leading from self-efficacy beliefs to outcome expectancy (summarised from Bandura, 1997a, p23-26).</w:t>
      </w:r>
      <w:bookmarkEnd w:id="89"/>
      <w:bookmarkEnd w:id="90"/>
      <w:bookmarkEnd w:id="91"/>
    </w:p>
    <w:p w14:paraId="576A845E" w14:textId="5A1FC6AE" w:rsidR="007707AB" w:rsidRPr="00E27461" w:rsidRDefault="007707AB" w:rsidP="007707AB">
      <w:pPr>
        <w:pStyle w:val="Heading3"/>
      </w:pPr>
      <w:bookmarkStart w:id="92" w:name="_Toc9795740"/>
      <w:bookmarkStart w:id="93" w:name="_Toc57035904"/>
      <w:r>
        <w:t>III</w:t>
      </w:r>
      <w:r w:rsidR="00CC5358">
        <w:tab/>
      </w:r>
      <w:r>
        <w:t>Social Cognitive Theory in Education and Learning</w:t>
      </w:r>
      <w:bookmarkEnd w:id="92"/>
      <w:bookmarkEnd w:id="93"/>
    </w:p>
    <w:p w14:paraId="2C64FCCA" w14:textId="209EBEEA" w:rsidR="007707AB" w:rsidRDefault="007707AB" w:rsidP="007707AB">
      <w:r w:rsidRPr="00CE30D5">
        <w:t>The a</w:t>
      </w:r>
      <w:r>
        <w:t xml:space="preserve">pplication of SCT in the domain </w:t>
      </w:r>
      <w:r w:rsidRPr="00CE30D5">
        <w:t>of education and learning has attracted a substantial body of research amongst educational psychologists, theorists and research-practitioners</w:t>
      </w:r>
      <w:r>
        <w:t>.</w:t>
      </w:r>
      <w:r w:rsidRPr="00CE30D5">
        <w:t xml:space="preserve"> </w:t>
      </w:r>
      <w:r>
        <w:t>T</w:t>
      </w:r>
      <w:r w:rsidRPr="00CE30D5">
        <w:t>heir interest has been in exploring self-efficacy beliefs as one type of motivational process in academic settings not least because motivation in learning has been widely accepted as one of the major contributing factors to academic achievement (e</w:t>
      </w:r>
      <w:r w:rsidR="00B869EA">
        <w:t>.</w:t>
      </w:r>
      <w:r w:rsidRPr="00CE30D5">
        <w:t>g</w:t>
      </w:r>
      <w:r w:rsidR="00B869EA">
        <w:t>.</w:t>
      </w:r>
      <w:r w:rsidRPr="00CE30D5">
        <w:t>: Pintrich, 2003</w:t>
      </w:r>
      <w:r>
        <w:t>;</w:t>
      </w:r>
      <w:r w:rsidRPr="00CE30D5">
        <w:t xml:space="preserve"> Harackiewicz &amp; Linnenbrook, 2005).</w:t>
      </w:r>
    </w:p>
    <w:p w14:paraId="3942A7C7" w14:textId="77777777" w:rsidR="007707AB" w:rsidRDefault="007707AB" w:rsidP="007707AB">
      <w:r w:rsidRPr="00CE30D5">
        <w:t xml:space="preserve">Studies include for example, exploring motivation and academic achievement in maths in Nigerian secondary school students (Tella, 2007), achievement motivation and academic success of Dutch psychology students at university (Busato </w:t>
      </w:r>
      <w:r>
        <w:t>et al.</w:t>
      </w:r>
      <w:r w:rsidRPr="00CE30D5">
        <w:t xml:space="preserve">, 2000), motivation </w:t>
      </w:r>
      <w:r w:rsidRPr="00CE30D5">
        <w:lastRenderedPageBreak/>
        <w:t>orientations, academic achievement and career goals of music undergraduates (Schmidt</w:t>
      </w:r>
      <w:r>
        <w:t xml:space="preserve"> et al.</w:t>
      </w:r>
      <w:r w:rsidRPr="00CE30D5">
        <w:t xml:space="preserve">, 2006), academic motivation and academic achievement in non-specific curriculum specializations amongst Iranian undergraduates (Amrai </w:t>
      </w:r>
      <w:r>
        <w:t>et al.</w:t>
      </w:r>
      <w:r w:rsidRPr="00CE30D5">
        <w:t xml:space="preserve">, 2011) and in a substantial cohort (n = 5805) of American undergraduates (Mega </w:t>
      </w:r>
      <w:r>
        <w:t>et al., 2014). All</w:t>
      </w:r>
      <w:r w:rsidRPr="00CE30D5">
        <w:t xml:space="preserve"> these studies indicated positive correlations between academic achievement and motivation although it was also </w:t>
      </w:r>
      <w:r>
        <w:t xml:space="preserve">found </w:t>
      </w:r>
      <w:r w:rsidRPr="00CE30D5">
        <w:t xml:space="preserve">that motivation in academic contexts can be a multidimensional attribute, succinctly observed by Green </w:t>
      </w:r>
      <w:r>
        <w:t>et al.</w:t>
      </w:r>
      <w:r w:rsidRPr="00CE30D5">
        <w:t xml:space="preserve"> (2006) in their extensive longitudinal study of secondary students (n = 4000) in Australia.</w:t>
      </w:r>
    </w:p>
    <w:p w14:paraId="4D2B4154" w14:textId="77777777" w:rsidR="007707AB" w:rsidRPr="00E27461" w:rsidRDefault="007707AB" w:rsidP="007707AB">
      <w:r>
        <w:rPr>
          <w:bCs/>
        </w:rPr>
        <w:t xml:space="preserve">Zimmerman has also made a significant contribution to this discourse, </w:t>
      </w:r>
      <w:r w:rsidRPr="00E27461">
        <w:t>emphasiz</w:t>
      </w:r>
      <w:r>
        <w:t>ing</w:t>
      </w:r>
      <w:r w:rsidRPr="00E27461">
        <w:t xml:space="preserve"> the idea of self-regulated learning as a central force that can drive academic achievement. </w:t>
      </w:r>
      <w:r>
        <w:t xml:space="preserve">Results have </w:t>
      </w:r>
      <w:r w:rsidRPr="00E27461">
        <w:t>demonstrated that students who are efficient at setting themselves specific and proximal goals tend to gain higher academic rewards when compared with other, less self-regulated peers (Zimmerman, 2002). Hence becoming more self-aware as a learner is agentic in developing learning effectiveness (Zimmerman, 2001).</w:t>
      </w:r>
    </w:p>
    <w:p w14:paraId="650B5D73" w14:textId="77777777" w:rsidR="00B869EA" w:rsidRDefault="007707AB" w:rsidP="007707AB">
      <w:r w:rsidRPr="00E27461">
        <w:t>In reviewing the literature more carefully, three features of Zimmerman's research interes</w:t>
      </w:r>
      <w:r>
        <w:t>ts emerge that are significant. F</w:t>
      </w:r>
      <w:r w:rsidRPr="00E27461">
        <w:t>irstly, both his own, and his meta-analyses of others' studies, generally focus on finding out more about whether learners display the specific attributes of initiative, perseverance and adaptability in their learning strategies and explore how </w:t>
      </w:r>
      <w:r w:rsidRPr="00E27461">
        <w:rPr>
          <w:i/>
          <w:iCs/>
        </w:rPr>
        <w:t>proactive</w:t>
      </w:r>
      <w:r w:rsidRPr="00E27461">
        <w:t> learning qualities are driven by strong motivational beliefs and feelings as well as metacognitive strategies (Zimmerman &amp; Sch</w:t>
      </w:r>
      <w:r>
        <w:t>unk, 2007); S</w:t>
      </w:r>
      <w:r w:rsidRPr="00CE30D5">
        <w:t>econdly, a 'soft' conclusion is reached arguing that</w:t>
      </w:r>
      <w:r>
        <w:t xml:space="preserve"> </w:t>
      </w:r>
      <w:r w:rsidRPr="00CE30D5">
        <w:t>skills and strategies associated with self-regulated learning had to be taught to students in order for them to subsequently gain academic advantages and that such strategies were seldom observed as spontaneous or intrinsically derived (e</w:t>
      </w:r>
      <w:r>
        <w:t>.</w:t>
      </w:r>
      <w:r w:rsidRPr="00CE30D5">
        <w:t>g</w:t>
      </w:r>
      <w:r>
        <w:t>.</w:t>
      </w:r>
      <w:r w:rsidRPr="00CE30D5">
        <w:t xml:space="preserve">: Pressley &amp; McCormick, 1995). This is interesting because it appears to support the approach adopted in </w:t>
      </w:r>
      <w:r>
        <w:t>UK HE</w:t>
      </w:r>
      <w:r w:rsidRPr="00CE30D5">
        <w:t xml:space="preserve"> </w:t>
      </w:r>
      <w:r>
        <w:t xml:space="preserve">institutions </w:t>
      </w:r>
      <w:r w:rsidRPr="00CE30D5">
        <w:t>that academic 'coaching' is likely to enhance academic achievement and, anecdotally at least, this coaching appears ubiquitous throughout universities who enrol learners from a range of backgrounds with an equally diverse portfolio of academic credentials.</w:t>
      </w:r>
      <w:r>
        <w:t xml:space="preserve"> </w:t>
      </w:r>
      <w:r w:rsidRPr="00E27461">
        <w:t>What is not clear without deeper evaluation of the relevant literature</w:t>
      </w:r>
      <w:r>
        <w:t>,</w:t>
      </w:r>
      <w:r w:rsidRPr="00E27461">
        <w:t xml:space="preserve"> is whether academic coaching is a remedial activity</w:t>
      </w:r>
      <w:r>
        <w:t xml:space="preserve"> </w:t>
      </w:r>
      <w:r w:rsidRPr="00E27461">
        <w:t xml:space="preserve">focused on bringing 'strugglers' </w:t>
      </w:r>
      <w:r>
        <w:t xml:space="preserve">or those deemed as ‘learning disabled’ </w:t>
      </w:r>
      <w:r w:rsidRPr="00E27461">
        <w:t>up to the required standard</w:t>
      </w:r>
      <w:r>
        <w:t>. Or conversely,</w:t>
      </w:r>
      <w:r w:rsidRPr="00E27461">
        <w:t xml:space="preserve"> in being repackaged as </w:t>
      </w:r>
      <w:r w:rsidRPr="00B869EA">
        <w:t>learning development or academic enhancement, coaching services are being more widely taken up by a much broader range</w:t>
      </w:r>
      <w:r w:rsidRPr="00E27461">
        <w:t xml:space="preserve"> of learners from the student community, or even whether the more general academic portfolio that learners are bringing to university is not a match for the challenges of the curriculum and hence demands learner upskilling.</w:t>
      </w:r>
    </w:p>
    <w:p w14:paraId="0F760AA9" w14:textId="27AAF87B" w:rsidR="007707AB" w:rsidRPr="00E27461" w:rsidRDefault="007707AB" w:rsidP="007707AB">
      <w:r w:rsidRPr="00E27461">
        <w:lastRenderedPageBreak/>
        <w:t>A</w:t>
      </w:r>
      <w:r>
        <w:t xml:space="preserve">nother </w:t>
      </w:r>
      <w:r w:rsidRPr="00E27461">
        <w:t xml:space="preserve">interpretation may be that as a result of recent government initiatives ostensibly to drive academic standards upwards through hierarchical university grading systems such as the Research Excellence Framework and the Teaching Excellence Framework (Johnes, 2016), it is in the business interests of universities to maximize the visibility of their academic 'standing' so that this can be used as a student recruitment initiative. In such circumstances, it might be argued that fostering a learning climate </w:t>
      </w:r>
      <w:r>
        <w:t>base</w:t>
      </w:r>
      <w:r w:rsidRPr="00E27461">
        <w:t xml:space="preserve">d on curiosity and inquisitiveness has been superseded by a need to ensure financial viability, even survival, in an uncertain economic climate in </w:t>
      </w:r>
      <w:r>
        <w:t>HE</w:t>
      </w:r>
      <w:r w:rsidRPr="00E27461">
        <w:t>, and that the desire to attract students has led to a lowering of academic standards and an element of 'grade inflation' (Bachan, 2017</w:t>
      </w:r>
      <w:r>
        <w:t>)</w:t>
      </w:r>
    </w:p>
    <w:p w14:paraId="3E83B263" w14:textId="77777777" w:rsidR="007707AB" w:rsidRPr="00E27461" w:rsidRDefault="007707AB" w:rsidP="007707AB">
      <w:r w:rsidRPr="009F014E">
        <w:t xml:space="preserve">The final observation is that in Zimmerman's and others' interest in developing devices to evaluate elements of self-regulated learning, these evaluative processes all seem to regard self-regulated learning as a global (learning) attribute and do not appear to have considered any domain specificity that may need to be accounted for. In other words, the assumption is that </w:t>
      </w:r>
      <w:r>
        <w:t xml:space="preserve">students’ </w:t>
      </w:r>
      <w:r w:rsidRPr="009F014E">
        <w:t xml:space="preserve">study strategies are likely to be consistent across all their subject disciplines and no account is taken of differences that may be measurable in </w:t>
      </w:r>
      <w:r>
        <w:t xml:space="preserve">their </w:t>
      </w:r>
      <w:r w:rsidRPr="009F014E">
        <w:t xml:space="preserve">approaches to say, maths or sciences in contrast to humanities. This is all the more interesting given the American roots of both Zimmerman's research and the evaluative processes that his studies have contributed to because the curriculum in US tertiary education tends to be broader than </w:t>
      </w:r>
      <w:r>
        <w:t xml:space="preserve">that </w:t>
      </w:r>
      <w:r w:rsidRPr="009F014E">
        <w:t>in the UK at least, and so we might have expected that the opportunity to explore curriculum differences in self-regulated learning would have been exploited.</w:t>
      </w:r>
    </w:p>
    <w:p w14:paraId="5D5F5442" w14:textId="77777777" w:rsidR="007707AB" w:rsidRDefault="007707AB" w:rsidP="007707AB">
      <w:r w:rsidRPr="009F014E">
        <w:t xml:space="preserve">Building on earlier research about links between levels of achievement in academics and in sport (Jonker </w:t>
      </w:r>
      <w:r>
        <w:t>et al.</w:t>
      </w:r>
      <w:r w:rsidRPr="009F014E">
        <w:t xml:space="preserve">, 2009), McCardle </w:t>
      </w:r>
      <w:r>
        <w:t>et al.</w:t>
      </w:r>
      <w:r w:rsidRPr="009F014E">
        <w:t xml:space="preserve"> (201</w:t>
      </w:r>
      <w:r>
        <w:t>7</w:t>
      </w:r>
      <w:r w:rsidRPr="009F014E">
        <w:t>) studied competitive pre-university athletes and found that those presenting high engagement metacognitive processes and variables in their sports were also highly engaged in their academic studies. As demonstrated above, this highligh</w:t>
      </w:r>
      <w:r>
        <w:t>ts</w:t>
      </w:r>
      <w:r w:rsidRPr="009F014E">
        <w:t xml:space="preserve"> the important point that within the umbrella of </w:t>
      </w:r>
      <w:r>
        <w:t>SCT</w:t>
      </w:r>
      <w:r w:rsidRPr="009F014E">
        <w:t>, under which self-regulated learning resides, the co-associated construct of self-efficacy beliefs has been shown to be less general but more domain specific in not only learning contexts but in other areas of human functioning too. This example of self-regulation in sport may be an indication that high-engagement, self-efficacy beliefs can be a transferable learning approach. This is in keeping with the construct of academic confidence, considered as closely related to self-efficacy, but which appears to present as a more generalized learning attribute, with variances across disciplines, academic or otherwise, being less observable (Sander &amp; Sanders, 2009).</w:t>
      </w:r>
    </w:p>
    <w:p w14:paraId="0207F5E9" w14:textId="77777777" w:rsidR="00B869EA" w:rsidRDefault="007707AB" w:rsidP="007707AB">
      <w:r>
        <w:rPr>
          <w:bCs/>
        </w:rPr>
        <w:t xml:space="preserve">It is also worth mentioning </w:t>
      </w:r>
      <w:r w:rsidRPr="00B32460">
        <w:rPr>
          <w:bCs/>
        </w:rPr>
        <w:t>Schunk's</w:t>
      </w:r>
      <w:r w:rsidRPr="00E27461">
        <w:t> contribution</w:t>
      </w:r>
      <w:r>
        <w:t>s</w:t>
      </w:r>
      <w:r w:rsidRPr="00E27461">
        <w:t xml:space="preserve"> to research about the application of </w:t>
      </w:r>
      <w:r w:rsidRPr="00AF0C8D">
        <w:t>S</w:t>
      </w:r>
      <w:r>
        <w:t>CT</w:t>
      </w:r>
      <w:r w:rsidRPr="00AF0C8D">
        <w:t xml:space="preserve"> to educational domains</w:t>
      </w:r>
      <w:r>
        <w:t xml:space="preserve">, particularly to </w:t>
      </w:r>
      <w:r w:rsidRPr="00AF0C8D">
        <w:t xml:space="preserve">learning more about the effects of social and </w:t>
      </w:r>
      <w:r w:rsidRPr="00AF0C8D">
        <w:lastRenderedPageBreak/>
        <w:t>learning-and-teaching variables on self-regulated learning</w:t>
      </w:r>
      <w:r>
        <w:t>,</w:t>
      </w:r>
      <w:r w:rsidRPr="00AF0C8D">
        <w:t xml:space="preserve"> with a particular emphasis on academic motivation, framed through the lens of Bandura's theories of self-efficacy (Schunk, 1991). In this early paper (ibid), goal-setting is said to be a key process that affects motivation, and in learning contexts Schunk suggests that close-to-the-moment or 'proximal' learning objectives tend to elicit stronger motivational behaviours in children in comparison to more distant goals, an argument that is supported by a brief meta-analysis of other studies. In young learners at least, Schunk finds that elevated motivation towards proximal learning goals is observed because students are able to make more realistic judgments of their progress towards these, whereas distant objectives by their very nature require a much more 'regulated' approach - hence the interest and connection with self-regulated learning.</w:t>
      </w:r>
    </w:p>
    <w:p w14:paraId="2D304F14" w14:textId="0AB94E92" w:rsidR="007707AB" w:rsidRDefault="007707AB" w:rsidP="007707AB">
      <w:r w:rsidRPr="00AF0C8D">
        <w:t xml:space="preserve">Schunk also indicates that a significant difference in levels of motivation can be observed between target goals that are specific </w:t>
      </w:r>
      <w:r>
        <w:t>rather than g</w:t>
      </w:r>
      <w:r w:rsidRPr="00AF0C8D">
        <w:t>eneral</w:t>
      </w:r>
      <w:r>
        <w:t>. F</w:t>
      </w:r>
      <w:r w:rsidRPr="00AF0C8D">
        <w:t xml:space="preserve">or example, this might be where an assessment requires a student to achieve a minimum mark in comparison to where a more general instruction to 'do </w:t>
      </w:r>
      <w:r>
        <w:t>as well as you can</w:t>
      </w:r>
      <w:r w:rsidR="00EB68CC">
        <w:t xml:space="preserve"> </w:t>
      </w:r>
      <w:r w:rsidRPr="00AF0C8D">
        <w:t xml:space="preserve">is provided as the target (ibid, p213). These are conclusions that are also evidenced in earlier studies: for example, in their meta-analysis of research of the previous two decades, Locke </w:t>
      </w:r>
      <w:r>
        <w:t>et al.</w:t>
      </w:r>
      <w:r w:rsidRPr="00AF0C8D">
        <w:t xml:space="preserve"> (1981) found that in 90% of the studies they considered, higher motivational levels of behaviour and subsequent performance were demonstrated</w:t>
      </w:r>
      <w:r>
        <w:t xml:space="preserve"> towards specific </w:t>
      </w:r>
      <w:r w:rsidRPr="00AF0C8D">
        <w:t>goals when compared with targets that were easy to achieve, or learners were instructed to 'do your best', or no goals were set at all.</w:t>
      </w:r>
    </w:p>
    <w:p w14:paraId="315689B5" w14:textId="1E035123" w:rsidR="007707AB" w:rsidRPr="00E27461" w:rsidRDefault="007707AB" w:rsidP="007707AB">
      <w:r w:rsidRPr="00121457">
        <w:t xml:space="preserve">Schunk also </w:t>
      </w:r>
      <w:r>
        <w:t xml:space="preserve">showed interest </w:t>
      </w:r>
      <w:r w:rsidRPr="00121457">
        <w:t>in the social origins of self-regulative b</w:t>
      </w:r>
      <w:r>
        <w:t>ehaviours in learning contexts</w:t>
      </w:r>
      <w:r w:rsidRPr="00121457">
        <w:t xml:space="preserve"> through an interesting study which considered self-regulation from a social cognitive perspective</w:t>
      </w:r>
      <w:r>
        <w:t>. It was noted</w:t>
      </w:r>
      <w:r w:rsidRPr="00121457">
        <w:t xml:space="preserve"> that through this lens, it can be shown that students' academic competencies tend to develop firstly from social sources of academic skill. This idea draws on earlier and much vaunted sociocultural learning theory, typically attributed to Vygotsky's thesis about the zone of proximal development, which is where learners are said to develop academic capabilities through supportive associations with their peers as much as through a teacher. Academic competency acquisition then can be shown to progress through the four stages of observational, imitative, self-controlled and finally self-regulated learning (Schunk &amp; Zimmerman, 1997). The authors recommended that further research should be conducted, not least into how peer-assisted learning strategies might be established in learning environments and we have witnessed the legacy of this idea in universities where many such initiatives have been established in recent years. Advocates of such programmes cite studies which support their benefits in terms of improved grades and skills development (e</w:t>
      </w:r>
      <w:r>
        <w:t>.</w:t>
      </w:r>
      <w:r w:rsidRPr="00121457">
        <w:t>g</w:t>
      </w:r>
      <w:r>
        <w:t>.</w:t>
      </w:r>
      <w:r w:rsidRPr="00121457">
        <w:t xml:space="preserve">: Capstick </w:t>
      </w:r>
      <w:r>
        <w:t>et al.</w:t>
      </w:r>
      <w:r w:rsidRPr="00121457">
        <w:t>, 2004</w:t>
      </w:r>
      <w:r>
        <w:t>;</w:t>
      </w:r>
      <w:r w:rsidRPr="00121457">
        <w:t xml:space="preserve"> Hammond </w:t>
      </w:r>
      <w:r>
        <w:t>et al.</w:t>
      </w:r>
      <w:r w:rsidRPr="00121457">
        <w:t>, 2010</w:t>
      </w:r>
      <w:r>
        <w:t>;</w:t>
      </w:r>
      <w:r w:rsidRPr="00121457">
        <w:t xml:space="preserve"> Longfellow </w:t>
      </w:r>
      <w:r>
        <w:t>et al.</w:t>
      </w:r>
      <w:r w:rsidRPr="00121457">
        <w:t>, 2008).</w:t>
      </w:r>
      <w:r w:rsidR="00B869EA">
        <w:t xml:space="preserve"> </w:t>
      </w:r>
      <w:r w:rsidRPr="00121457">
        <w:t xml:space="preserve">This has been especially true in medicine and clinical skills </w:t>
      </w:r>
      <w:r w:rsidRPr="00121457">
        <w:lastRenderedPageBreak/>
        <w:t>education where a development of peer-assisted learning, that of problem-based learning (PBL), actively generates learning through collaborative student learning enterprises.</w:t>
      </w:r>
    </w:p>
    <w:p w14:paraId="6200FBE5" w14:textId="77777777" w:rsidR="00B869EA" w:rsidRDefault="007707AB" w:rsidP="00EB68CC">
      <w:pPr>
        <w:spacing w:before="0" w:after="0"/>
        <w:rPr>
          <w:bCs/>
        </w:rPr>
      </w:pPr>
      <w:r>
        <w:rPr>
          <w:bCs/>
        </w:rPr>
        <w:t xml:space="preserve">Finally, it is pertinent to include a brief overview of the substantial contribution to SCT in education made by </w:t>
      </w:r>
      <w:r w:rsidRPr="00E41012">
        <w:rPr>
          <w:bCs/>
        </w:rPr>
        <w:t>P</w:t>
      </w:r>
      <w:r>
        <w:rPr>
          <w:bCs/>
        </w:rPr>
        <w:t>ajares. His</w:t>
      </w:r>
      <w:r w:rsidRPr="00E41012">
        <w:rPr>
          <w:bCs/>
        </w:rPr>
        <w:t> early research explore</w:t>
      </w:r>
      <w:r>
        <w:rPr>
          <w:bCs/>
        </w:rPr>
        <w:t>d</w:t>
      </w:r>
      <w:r w:rsidRPr="00E41012">
        <w:rPr>
          <w:bCs/>
        </w:rPr>
        <w:t xml:space="preserve"> 'teacher thinking' and in particular, how teachers' beliefs about their work, their students, their subject knowledge, their roles and responsibilities could each or all impact on educational processes, not least the learning quality of their students. The core point to be drawn was that teachers' beliefs should become an important focus for educational enquiry</w:t>
      </w:r>
      <w:r>
        <w:rPr>
          <w:bCs/>
        </w:rPr>
        <w:t>,</w:t>
      </w:r>
      <w:r w:rsidRPr="00E41012">
        <w:rPr>
          <w:bCs/>
        </w:rPr>
        <w:t xml:space="preserve"> so as to contribute more fully towards understanding learning processes and engagement with education (Pajares, 1992). This </w:t>
      </w:r>
      <w:r>
        <w:rPr>
          <w:bCs/>
        </w:rPr>
        <w:t xml:space="preserve">early </w:t>
      </w:r>
      <w:r w:rsidRPr="00E41012">
        <w:rPr>
          <w:bCs/>
        </w:rPr>
        <w:t>line of research was supplanted with a deeper interest in self-efficacy beliefs and especially how these related to mathematical problem-solving in adolescents.</w:t>
      </w:r>
    </w:p>
    <w:p w14:paraId="6E6F0A10" w14:textId="77777777" w:rsidR="00B869EA" w:rsidRDefault="00B869EA" w:rsidP="00EB68CC">
      <w:pPr>
        <w:spacing w:before="0" w:after="0"/>
        <w:rPr>
          <w:bCs/>
        </w:rPr>
      </w:pPr>
    </w:p>
    <w:p w14:paraId="79DD6AE1" w14:textId="77777777" w:rsidR="00B869EA" w:rsidRDefault="007707AB" w:rsidP="00EB68CC">
      <w:pPr>
        <w:spacing w:before="0" w:after="0"/>
        <w:rPr>
          <w:bCs/>
        </w:rPr>
      </w:pPr>
      <w:r w:rsidRPr="00E41012">
        <w:rPr>
          <w:bCs/>
        </w:rPr>
        <w:t>A useful paper tried to establish key differences between math self-efficacy and</w:t>
      </w:r>
      <w:r>
        <w:rPr>
          <w:bCs/>
        </w:rPr>
        <w:t xml:space="preserve"> </w:t>
      </w:r>
      <w:r w:rsidRPr="00E41012">
        <w:rPr>
          <w:bCs/>
        </w:rPr>
        <w:t>self-concept, finding that self-efficacy was a better predictor for problem-solving capabilities than other constructs, notably prior experience of maths</w:t>
      </w:r>
      <w:r>
        <w:rPr>
          <w:bCs/>
        </w:rPr>
        <w:t>,</w:t>
      </w:r>
      <w:r w:rsidRPr="00E41012">
        <w:rPr>
          <w:bCs/>
        </w:rPr>
        <w:t xml:space="preserve"> and gender, in addition to math self-concept (Pajares &amp; Miller, 1994). Other papers exploring the relationships between maths self-efficacy beliefs and performance predictors showed support for Bandura's contention that due to the task-specific nature of self-efficacy, measures of self-efficacy should be closely focused on the criterial task being explored and the domain of function being analysed (Pajares &amp; Miller, 1995). It is in these and other, related papers not only with a mathematics focus but also exploring the influences of self-efficacy beliefs on student writing, (e</w:t>
      </w:r>
      <w:r w:rsidR="00B869EA">
        <w:rPr>
          <w:bCs/>
        </w:rPr>
        <w:t>.</w:t>
      </w:r>
      <w:r w:rsidRPr="00E41012">
        <w:rPr>
          <w:bCs/>
        </w:rPr>
        <w:t>g</w:t>
      </w:r>
      <w:r w:rsidR="00B869EA">
        <w:rPr>
          <w:bCs/>
        </w:rPr>
        <w:t>.</w:t>
      </w:r>
      <w:r w:rsidRPr="00E41012">
        <w:rPr>
          <w:bCs/>
        </w:rPr>
        <w:t>: Pajares, 1996b, Pajares &amp; Kranzler, 1995, Pajares &amp; Johnson, 1995) that we see Bandura's self-efficacy theories enshrined and used to underpin much of Pajares' writing, not least drawn together in an important summary paper that sought to more generally apply Bandura's ideas to educational, academic settings (Pajares, 1996a) which also acted as a prequel for Pajares' deeper interest in the developing idea of academic self-efficacy.</w:t>
      </w:r>
    </w:p>
    <w:p w14:paraId="26B860F0" w14:textId="77777777" w:rsidR="00B869EA" w:rsidRDefault="00B869EA" w:rsidP="00EB68CC">
      <w:pPr>
        <w:spacing w:before="0" w:after="0"/>
        <w:rPr>
          <w:bCs/>
        </w:rPr>
      </w:pPr>
    </w:p>
    <w:p w14:paraId="3E904092" w14:textId="3E5A3BE4" w:rsidR="007707AB" w:rsidRPr="00E27461" w:rsidRDefault="007707AB" w:rsidP="00EB68CC">
      <w:pPr>
        <w:spacing w:before="0" w:after="0"/>
      </w:pPr>
      <w:r w:rsidRPr="002178EA">
        <w:t xml:space="preserve">Work of a slightly later period focused on maths self-efficacy in </w:t>
      </w:r>
      <w:r>
        <w:t xml:space="preserve">US </w:t>
      </w:r>
      <w:r w:rsidRPr="002178EA">
        <w:t>undergraduates. For example</w:t>
      </w:r>
      <w:r>
        <w:t>,</w:t>
      </w:r>
      <w:r w:rsidRPr="002178EA">
        <w:t xml:space="preserve"> one study conducted a review of a previously developed Maths Self-Efficacy Scale</w:t>
      </w:r>
      <w:r>
        <w:t xml:space="preserve"> </w:t>
      </w:r>
      <w:r w:rsidRPr="002178EA">
        <w:t>(MSES</w:t>
      </w:r>
      <w:r>
        <w:t xml:space="preserve"> - </w:t>
      </w:r>
      <w:r w:rsidRPr="002178EA">
        <w:t>Hackett</w:t>
      </w:r>
      <w:r>
        <w:t xml:space="preserve"> &amp; Betz</w:t>
      </w:r>
      <w:r w:rsidRPr="002178EA">
        <w:t xml:space="preserve"> 1982) which is of interest to this project because it applied factor analysis to the scale's results when used with a sizable cohort of undergraduates (n = 522) (Kranzler &amp; Pajares, 1997). Although the MSES had become a widely used and trusted psychometric assessment for establishing the interrelationships between maths self-efficacy and, for example, maths problem-solving, Kranzler </w:t>
      </w:r>
      <w:r>
        <w:t>and</w:t>
      </w:r>
      <w:r w:rsidRPr="002178EA">
        <w:t xml:space="preserve"> Pajares argued that looking at the factor structure of the scale is an essential process for gaining an understanding of the sources of variance which account for individual differences, claiming </w:t>
      </w:r>
      <w:r w:rsidRPr="002178EA">
        <w:lastRenderedPageBreak/>
        <w:t xml:space="preserve">that this is required to substantiate results. The point is that through </w:t>
      </w:r>
      <w:r>
        <w:t>this statistical procedure, Paja</w:t>
      </w:r>
      <w:r w:rsidRPr="002178EA">
        <w:t xml:space="preserve">res and collaborators have shown a clear understanding of the multidimensional aspects of, in this case, maths self-efficacy but also the pertinence and value of factor analysis being applied to local study-captured data. It was also interesting to note that for this study at least, Kranzler </w:t>
      </w:r>
      <w:r>
        <w:t>and</w:t>
      </w:r>
      <w:r w:rsidRPr="002178EA">
        <w:t xml:space="preserve"> Pajares' analysis led to their claim for the identification of a general measure of self-efficacy which is at variance with Bandura's contention that self-efficacy beliefs are quite clearly context-specific (Bandura, 1997)</w:t>
      </w:r>
      <w:r>
        <w:t xml:space="preserve">. It is </w:t>
      </w:r>
      <w:r w:rsidRPr="002178EA">
        <w:t xml:space="preserve">also at variance with one of Pajares' own earlier studies (Pajares &amp; Miller, 1995) which argued for context specificity if research outcomes are to be considered reliable and valid. It is of note that in that study (ibid, 1995), the cohort of 391 undergraduate students' self-efficacy judgement were assessed according to three criteria: confidence to solve mathematical problems, confidence to succeed in math-related courses, and confidence to perform math-related tasks. Sanders' later (2006) contention is that (academic) confidence is a sub-construct of (academic) self-efficacy and although similar, the differentiation is necessary, and so we are left to consider that Pajares </w:t>
      </w:r>
      <w:r>
        <w:t>and</w:t>
      </w:r>
      <w:r w:rsidRPr="002178EA">
        <w:t xml:space="preserve"> Miller's study was in fact assessing maths self-confidence rather than maths self-efficacy albeit on the basis that this small but important distinction was yet to emerge. Key to this summary of Pajares' research output and contribution to self-efficacy theory in educational settings is more recent research and summary papers which sharpen his area of interest into the emerging field of academic self-efficacy (e</w:t>
      </w:r>
      <w:r>
        <w:t>.</w:t>
      </w:r>
      <w:r w:rsidRPr="002178EA">
        <w:t>g</w:t>
      </w:r>
      <w:r>
        <w:t>.</w:t>
      </w:r>
      <w:r w:rsidRPr="002178EA">
        <w:t>: Pajares &amp; Schunk, 200</w:t>
      </w:r>
      <w:r>
        <w:t>2</w:t>
      </w:r>
      <w:r w:rsidRPr="002178EA">
        <w:t>)</w:t>
      </w:r>
      <w:r>
        <w:t>. I</w:t>
      </w:r>
      <w:r w:rsidRPr="002178EA">
        <w:t>t is this sub-construct of self-efficacy that is the umbrella construct for academic confidence</w:t>
      </w:r>
      <w:r>
        <w:t xml:space="preserve">, </w:t>
      </w:r>
      <w:r w:rsidRPr="00752390">
        <w:t>operationalized as Academic Behavioural Confidence, as the dependent variable to which connections will be establis</w:t>
      </w:r>
      <w:r>
        <w:t>hed with dyslexia so</w:t>
      </w:r>
      <w:r w:rsidRPr="00752390">
        <w:t xml:space="preserve"> not </w:t>
      </w:r>
      <w:r>
        <w:t xml:space="preserve">to </w:t>
      </w:r>
      <w:r w:rsidRPr="00752390">
        <w:t xml:space="preserve">lose focus on </w:t>
      </w:r>
      <w:r>
        <w:t xml:space="preserve">one of </w:t>
      </w:r>
      <w:r w:rsidRPr="00752390">
        <w:t>the key objectives of the project</w:t>
      </w:r>
      <w:r>
        <w:t>: t</w:t>
      </w:r>
      <w:r w:rsidRPr="00752390">
        <w:t xml:space="preserve">o establish that the process of identifying dyslexia in whatever form we may choose to define it in </w:t>
      </w:r>
      <w:r>
        <w:t>HE</w:t>
      </w:r>
      <w:r w:rsidRPr="00752390">
        <w:t xml:space="preserve"> contexts will impact on the academic confidence of students at university thus labelled.</w:t>
      </w:r>
      <w:bookmarkStart w:id="94" w:name="ase_conflearn"/>
      <w:bookmarkStart w:id="95" w:name="ase_acconf"/>
      <w:bookmarkEnd w:id="94"/>
      <w:bookmarkEnd w:id="95"/>
      <w:r>
        <w:fldChar w:fldCharType="begin"/>
      </w:r>
      <w:r>
        <w:instrText xml:space="preserve"> HYPERLINK "http://www.ad1281.uk/phdthesis_theory.html" \l "top" </w:instrText>
      </w:r>
      <w:r>
        <w:fldChar w:fldCharType="end"/>
      </w:r>
    </w:p>
    <w:p w14:paraId="07D5B879" w14:textId="77777777" w:rsidR="00EB68CC" w:rsidRDefault="00EB68CC" w:rsidP="007707AB">
      <w:pPr>
        <w:pStyle w:val="Heading3"/>
      </w:pPr>
      <w:bookmarkStart w:id="96" w:name="ase_ABC"/>
      <w:bookmarkStart w:id="97" w:name="_Toc9795741"/>
      <w:bookmarkEnd w:id="96"/>
    </w:p>
    <w:p w14:paraId="3F0A09A4" w14:textId="36161EA1" w:rsidR="007707AB" w:rsidRPr="00E27461" w:rsidRDefault="007707AB" w:rsidP="007707AB">
      <w:pPr>
        <w:pStyle w:val="Heading3"/>
      </w:pPr>
      <w:bookmarkStart w:id="98" w:name="_Toc57035905"/>
      <w:r>
        <w:t>IV</w:t>
      </w:r>
      <w:r w:rsidR="00CC5358">
        <w:tab/>
      </w:r>
      <w:r w:rsidRPr="00E27461">
        <w:t>Academic Behavioural Confidence</w:t>
      </w:r>
      <w:bookmarkEnd w:id="97"/>
      <w:bookmarkEnd w:id="98"/>
    </w:p>
    <w:p w14:paraId="7F20A1EE" w14:textId="29E61C08" w:rsidR="007707AB" w:rsidRDefault="007707AB" w:rsidP="007707AB">
      <w:r w:rsidRPr="00430DF6">
        <w:t xml:space="preserve">Academic Behavioural Confidence </w:t>
      </w:r>
      <w:r>
        <w:t xml:space="preserve">(ABC) </w:t>
      </w:r>
      <w:r w:rsidRPr="00430DF6">
        <w:t>is the key metric being used as the dependent variable in the data an</w:t>
      </w:r>
      <w:r>
        <w:t>alysis for this research study. M</w:t>
      </w:r>
      <w:r w:rsidRPr="00430DF6">
        <w:t>easures obtained through the application of the A</w:t>
      </w:r>
      <w:r>
        <w:t xml:space="preserve">BC </w:t>
      </w:r>
      <w:r w:rsidRPr="00430DF6">
        <w:t>Scale to the three, research subgroups in this study are interesting because outcomes derived from the analysis may be suggesting that identif</w:t>
      </w:r>
      <w:r>
        <w:t>ying</w:t>
      </w:r>
      <w:r w:rsidRPr="00430DF6">
        <w:t xml:space="preserve"> dyslexia has a negative impact on academic confidence and hence possibly on academic achievement, even though no research evidence o date show</w:t>
      </w:r>
      <w:r>
        <w:t>s</w:t>
      </w:r>
      <w:r w:rsidRPr="00430DF6">
        <w:t xml:space="preserve"> that absolute scores of ABC are directly linked to absolute academic outcomes such as degree classification or grade point averages. It is suggested that a study to directly explore this possible use of </w:t>
      </w:r>
      <w:r>
        <w:t>ABC</w:t>
      </w:r>
      <w:r w:rsidRPr="00430DF6">
        <w:t xml:space="preserve"> as a predictor of academic outcome is overdue, especially amongst groups of students conventionally considered as being under-represented at university</w:t>
      </w:r>
      <w:r>
        <w:t>.</w:t>
      </w:r>
      <w:r w:rsidRPr="00430DF6">
        <w:t xml:space="preserve"> However</w:t>
      </w:r>
      <w:r>
        <w:t>,</w:t>
      </w:r>
      <w:r w:rsidRPr="00430DF6">
        <w:t xml:space="preserve"> it</w:t>
      </w:r>
      <w:r>
        <w:t xml:space="preserve"> </w:t>
      </w:r>
      <w:r>
        <w:lastRenderedPageBreak/>
        <w:t>is considered that this study</w:t>
      </w:r>
      <w:r w:rsidRPr="00430DF6">
        <w:t xml:space="preserve"> offers</w:t>
      </w:r>
      <w:r>
        <w:t xml:space="preserve"> a valuable contribution to the</w:t>
      </w:r>
      <w:r w:rsidRPr="00430DF6">
        <w:t xml:space="preserve"> field of research, especially since it will be reported later that the comparison of ABC values between the three research subgroups in this project clearly demonstrates that for this research datapool at least, the </w:t>
      </w:r>
      <w:r>
        <w:t xml:space="preserve">ABC </w:t>
      </w:r>
      <w:r w:rsidRPr="00430DF6">
        <w:t>of students with dyslexia is not only statistically lower than for non-dyslexic students, but also lower than for students with unreported dyslexia-like profiles.</w:t>
      </w:r>
    </w:p>
    <w:p w14:paraId="21F120FF" w14:textId="6345AD21" w:rsidR="007707AB" w:rsidRPr="00A52304" w:rsidRDefault="00474F0B" w:rsidP="007707AB">
      <w:pPr>
        <w:pStyle w:val="Heading4"/>
      </w:pPr>
      <w:r>
        <w:t xml:space="preserve">1. </w:t>
      </w:r>
      <w:r w:rsidR="007707AB" w:rsidRPr="00A52304">
        <w:t>Historical development of the Academic Behavioural Confidence Scale</w:t>
      </w:r>
    </w:p>
    <w:p w14:paraId="3A8BA217" w14:textId="77777777" w:rsidR="007707AB" w:rsidRDefault="007707AB" w:rsidP="007707AB">
      <w:r w:rsidRPr="00BC30C4">
        <w:t xml:space="preserve">In her doctoral dissertation, Decandia (2014) looked at relationships between academic identity and academic achievement in low-income urban adolescents in the USA. Although briefly reporting on the original Academic Confidence Scale developed by Sander </w:t>
      </w:r>
      <w:r>
        <w:t>and</w:t>
      </w:r>
      <w:r w:rsidRPr="00BC30C4">
        <w:t xml:space="preserve"> Sanders in 2003, her study </w:t>
      </w:r>
      <w:r>
        <w:t xml:space="preserve">used </w:t>
      </w:r>
      <w:r w:rsidRPr="00BC30C4">
        <w:t>neither that metric, nor the more recently developed version – the Academic Behavioural Confidence Scale – but instea</w:t>
      </w:r>
      <w:r>
        <w:t xml:space="preserve">d, </w:t>
      </w:r>
      <w:r w:rsidRPr="00BC30C4">
        <w:t xml:space="preserve">an Academic Confidence Scale originating in a near-twenty-year-old doctoral thesis (McCue-Herlihy, 1997), which Decandia developed as </w:t>
      </w:r>
      <w:r>
        <w:t>“</w:t>
      </w:r>
      <w:r w:rsidRPr="00BC30C4">
        <w:t>an organic measure of confidence in academic abilities</w:t>
      </w:r>
      <w:r>
        <w:t>”</w:t>
      </w:r>
      <w:r w:rsidRPr="00BC30C4">
        <w:t xml:space="preserve"> (op cit, p44). This earlier thesis does not appear to have been published and thus remains lodged in its home-university repository. However</w:t>
      </w:r>
      <w:r>
        <w:t>,</w:t>
      </w:r>
      <w:r w:rsidRPr="00BC30C4">
        <w:t xml:space="preserve"> </w:t>
      </w:r>
      <w:r>
        <w:t xml:space="preserve">it </w:t>
      </w:r>
      <w:r w:rsidRPr="00BC30C4">
        <w:t>would be of interest, as McCue-Herlihy’s Academic Confidence Scale appears to be the first time such a metric was constructed. It is assumed that it was created to contribute to</w:t>
      </w:r>
      <w:r>
        <w:t xml:space="preserve"> gauging</w:t>
      </w:r>
      <w:r w:rsidRPr="00BC30C4">
        <w:t xml:space="preserve"> how the elements self-efficacy, academic achievement, resource utilization and persistence might be interrelated in a group of non-traditional college students</w:t>
      </w:r>
      <w:r>
        <w:t>.</w:t>
      </w:r>
      <w:r w:rsidRPr="00BC30C4">
        <w:t xml:space="preserve"> </w:t>
      </w:r>
      <w:r>
        <w:t xml:space="preserve">Hence </w:t>
      </w:r>
      <w:r w:rsidRPr="00BC30C4">
        <w:t>McCue-Herlihy's work, presumably suggesting a measurable connection between confidence and routes towards achievement in academic study, appears to have pre-dated Sander's development of the Academic Confidence Scale</w:t>
      </w:r>
      <w:r>
        <w:t>.</w:t>
      </w:r>
    </w:p>
    <w:p w14:paraId="19D622D3" w14:textId="12C3471D" w:rsidR="007707AB" w:rsidRDefault="007707AB" w:rsidP="007707AB">
      <w:r w:rsidRPr="00BC30C4">
        <w:t xml:space="preserve">Sander's </w:t>
      </w:r>
      <w:r>
        <w:t>s</w:t>
      </w:r>
      <w:r w:rsidRPr="00BC30C4">
        <w:t xml:space="preserve">cale </w:t>
      </w:r>
      <w:r>
        <w:t xml:space="preserve">was </w:t>
      </w:r>
      <w:r w:rsidRPr="00BC30C4">
        <w:t xml:space="preserve">designed and used to explain the differences in students’ expectations of the teaching-and-learning environment of university (Sander </w:t>
      </w:r>
      <w:r>
        <w:t>et al.</w:t>
      </w:r>
      <w:r w:rsidRPr="00BC30C4">
        <w:t>, 2000</w:t>
      </w:r>
      <w:r>
        <w:t xml:space="preserve">). </w:t>
      </w:r>
      <w:r w:rsidRPr="00BC30C4">
        <w:t>The research group in th</w:t>
      </w:r>
      <w:r>
        <w:t>is</w:t>
      </w:r>
      <w:r w:rsidRPr="00BC30C4">
        <w:t xml:space="preserve"> first study consisted of medical students (n=167), business studies students (n=109) and psychology students (n=59)</w:t>
      </w:r>
      <w:r>
        <w:t xml:space="preserve">, </w:t>
      </w:r>
      <w:r w:rsidRPr="00BC30C4">
        <w:t>each studying at a different university.</w:t>
      </w:r>
      <w:r>
        <w:t xml:space="preserve"> </w:t>
      </w:r>
      <w:r w:rsidRPr="00BC30C4">
        <w:t>Aside from results and discussion that were specifically pertinent to this study, the construct of academic confidence was proposed as a possible explanation for significant differences in groups’ preferences in relation to role-play exercises and peer-group presentations as approaches for delivering the respective curricula. In particular, the medical students and the psychology students both expressed strong negativity about these teaching approaches</w:t>
      </w:r>
      <w:r>
        <w:t>,</w:t>
      </w:r>
      <w:r w:rsidRPr="00BC30C4">
        <w:t xml:space="preserve"> but it was the difference in reasons given that prompted interest: the medical students </w:t>
      </w:r>
      <w:r>
        <w:t xml:space="preserve">argued </w:t>
      </w:r>
      <w:r w:rsidRPr="00BC30C4">
        <w:t xml:space="preserve">that neither of these teaching approaches were likely to be effective, whereas the psychology students attributed their views about the ineffectiveness of both approaches more to their own lack of competence in participating in them. Sander </w:t>
      </w:r>
      <w:r>
        <w:t>et al.</w:t>
      </w:r>
      <w:r w:rsidRPr="00BC30C4">
        <w:t xml:space="preserve"> suggested that these differences may have arisen from students' </w:t>
      </w:r>
      <w:r w:rsidRPr="00BC30C4">
        <w:lastRenderedPageBreak/>
        <w:t>levels of academic confidence</w:t>
      </w:r>
      <w:r>
        <w:t>,</w:t>
      </w:r>
      <w:r w:rsidRPr="00BC30C4">
        <w:t xml:space="preserve"> possibly arising out of the different academic entry profiles of the two groups.</w:t>
      </w:r>
    </w:p>
    <w:p w14:paraId="2DB89B16" w14:textId="77777777" w:rsidR="00B869EA" w:rsidRDefault="007707AB" w:rsidP="007707AB">
      <w:r w:rsidRPr="00F64490">
        <w:t>The idea of academic confidence was developed into a metric, the Academic Confidence Scale (ACS</w:t>
      </w:r>
      <w:r>
        <w:t xml:space="preserve"> - </w:t>
      </w:r>
      <w:r w:rsidRPr="00F64490">
        <w:t xml:space="preserve">Sander &amp; Sanders, 2003), where academic confidence was conceptualized as the extent to which </w:t>
      </w:r>
      <w:r>
        <w:t xml:space="preserve">university </w:t>
      </w:r>
      <w:r w:rsidRPr="00F64490">
        <w:t xml:space="preserve">students express strong belief or sure expectation about what the university learning experience will offer them. Hence academic confidence is a less domain-specific construct than academic self-efficacy and Sander's rationale for developing a distinct metric for exploring academic confidence </w:t>
      </w:r>
      <w:r>
        <w:t>had</w:t>
      </w:r>
      <w:r w:rsidRPr="00F64490">
        <w:t xml:space="preserve"> been a consequence of practitioner observations about how university teaching regimes and artefacts appear to influence student learning behaviours. This is significant for the researcher as it means that the metric can be used to explore attitudes and feelings towards study at university without these being in relation to a particular academic discipline or a specific academic competency – </w:t>
      </w:r>
      <w:r>
        <w:t xml:space="preserve">for example, </w:t>
      </w:r>
      <w:r w:rsidRPr="00F64490">
        <w:t>dealing with sta</w:t>
      </w:r>
      <w:r>
        <w:t xml:space="preserve">tistics </w:t>
      </w:r>
      <w:r w:rsidRPr="00F64490">
        <w:t>or writing a good essay.</w:t>
      </w:r>
    </w:p>
    <w:p w14:paraId="3DD65159" w14:textId="77777777" w:rsidR="00B869EA" w:rsidRDefault="007707AB" w:rsidP="007707AB">
      <w:r w:rsidRPr="00F64490">
        <w:t xml:space="preserve">Underpinning academic confidence as a sub-construct of academic self-efficacy, this later study set out to explore the extent to which academic confidence might interact with learning styles and </w:t>
      </w:r>
      <w:r>
        <w:t xml:space="preserve">impact </w:t>
      </w:r>
      <w:r w:rsidRPr="00F64490">
        <w:t xml:space="preserve">on academic achievement. Sander </w:t>
      </w:r>
      <w:r>
        <w:t>and</w:t>
      </w:r>
      <w:r w:rsidRPr="00F64490">
        <w:t xml:space="preserve"> Sanders argue that academic confidence is a </w:t>
      </w:r>
      <w:r>
        <w:t>“</w:t>
      </w:r>
      <w:r w:rsidRPr="00F64490">
        <w:t xml:space="preserve">mediating variable between an individual’s inherent abilities, their learning styles and the opportunities afforded by the academic environment of </w:t>
      </w:r>
      <w:r>
        <w:t>HE”</w:t>
      </w:r>
      <w:r w:rsidRPr="00F64490">
        <w:t xml:space="preserve"> (ibid, p4). For that investigation, two further groups of medical and psychology students were recruited (n=182, n=102 respectively) although rather than attempt to relate their evaluation of the students' academic confidence to particular teaching artefacts or learning interventions, the aim of this research was to explore changes in academic confidence between two time-points, presumably to gain an insight into the impact that the university teaching and learning environment had on their levels of academic confidence although this was not a clea</w:t>
      </w:r>
      <w:r>
        <w:t>rly stated aim.</w:t>
      </w:r>
    </w:p>
    <w:p w14:paraId="4702C3A8" w14:textId="26C710A5" w:rsidR="007707AB" w:rsidRDefault="007707AB" w:rsidP="007707AB">
      <w:r>
        <w:t>Findings revealed</w:t>
      </w:r>
      <w:r w:rsidRPr="00F64490">
        <w:t xml:space="preserve"> that academic confidence was moderated by academic performance rather than act</w:t>
      </w:r>
      <w:r>
        <w:t>ing</w:t>
      </w:r>
      <w:r w:rsidRPr="00F64490">
        <w:t xml:space="preserve"> as a predictor, and for these students at least, their studies appeared to have commenced with unrealistic expectations about their academic performance and this was tempered by actual academic assessment outcomes.</w:t>
      </w:r>
      <w:r>
        <w:t xml:space="preserve"> </w:t>
      </w:r>
      <w:r w:rsidRPr="00E27461">
        <w:t>However, as a result of this study, construct validity was established for the ACS and a preliminary factor analysis was conducted although differences between the factor loadings for the two student groups led the researchers to conclude that analysis on a factor-by-factor basi</w:t>
      </w:r>
      <w:r>
        <w:t>s would be inappropriate in that</w:t>
      </w:r>
      <w:r w:rsidRPr="00E27461">
        <w:t xml:space="preserve"> study, although as we will see, the process of dimensional reduction was returned to later.</w:t>
      </w:r>
    </w:p>
    <w:p w14:paraId="7BD45C9F" w14:textId="77777777" w:rsidR="00B869EA" w:rsidRDefault="007707AB" w:rsidP="007707AB">
      <w:r w:rsidRPr="00084F9C">
        <w:t xml:space="preserve">Research interest in the Academic Confidence Scale in this early period was modest. Of the 18 studies </w:t>
      </w:r>
      <w:r>
        <w:t xml:space="preserve">found, these included an </w:t>
      </w:r>
      <w:r w:rsidRPr="00084F9C">
        <w:t xml:space="preserve">exploration of music preferences amongst </w:t>
      </w:r>
      <w:r w:rsidRPr="00084F9C">
        <w:lastRenderedPageBreak/>
        <w:t>adolescents, relating these to personality dimensions and developmental issues (Schwartz &amp; Fouts, 2003)</w:t>
      </w:r>
      <w:r>
        <w:t xml:space="preserve">, to a </w:t>
      </w:r>
      <w:r w:rsidRPr="00084F9C">
        <w:t>study explor</w:t>
      </w:r>
      <w:r>
        <w:t>ing</w:t>
      </w:r>
      <w:r w:rsidRPr="00084F9C">
        <w:t xml:space="preserve"> university students’ differences in attitudes towards online learning using the Academic Confidence Scale in a longitudinal survey to gauge student engagement with an online health psychology module before and after the module was completed (Upton &amp; Adams, 2005</w:t>
      </w:r>
      <w:r>
        <w:t>).</w:t>
      </w:r>
    </w:p>
    <w:p w14:paraId="389FC325" w14:textId="77777777" w:rsidR="00B869EA" w:rsidRDefault="007707AB" w:rsidP="007707AB">
      <w:r w:rsidRPr="00084F9C">
        <w:t>Lockhart</w:t>
      </w:r>
      <w:r>
        <w:t>’s</w:t>
      </w:r>
      <w:r w:rsidRPr="00084F9C">
        <w:t xml:space="preserve"> (2004) study </w:t>
      </w:r>
      <w:r>
        <w:t>explored</w:t>
      </w:r>
      <w:r w:rsidRPr="00084F9C">
        <w:t xml:space="preserve"> attrition amongst university students </w:t>
      </w:r>
      <w:r>
        <w:t>and</w:t>
      </w:r>
      <w:r w:rsidRPr="00084F9C">
        <w:t xml:space="preserve"> was the first to explore the phenomenon using a sample of student drop-outs, matched </w:t>
      </w:r>
      <w:r>
        <w:t xml:space="preserve">with </w:t>
      </w:r>
      <w:r w:rsidRPr="00084F9C">
        <w:t>students remaining at, and students who had left university</w:t>
      </w:r>
      <w:r>
        <w:t>.</w:t>
      </w:r>
      <w:r w:rsidRPr="00084F9C">
        <w:t xml:space="preserve"> The Academic Confidence Scale was </w:t>
      </w:r>
      <w:r>
        <w:t xml:space="preserve">used </w:t>
      </w:r>
      <w:r w:rsidRPr="00084F9C">
        <w:t xml:space="preserve">to </w:t>
      </w:r>
      <w:r>
        <w:t xml:space="preserve">explore </w:t>
      </w:r>
      <w:r w:rsidRPr="00084F9C">
        <w:t xml:space="preserve">how different levels of confidence were related to student expectations of </w:t>
      </w:r>
      <w:r>
        <w:t>HE</w:t>
      </w:r>
      <w:r w:rsidRPr="00084F9C">
        <w:t xml:space="preserve">. One of the </w:t>
      </w:r>
      <w:r>
        <w:t xml:space="preserve">findings </w:t>
      </w:r>
      <w:r w:rsidRPr="00084F9C">
        <w:t>determined academic confidence to be a significant contributor to attrition</w:t>
      </w:r>
      <w:r>
        <w:t xml:space="preserve"> although it </w:t>
      </w:r>
      <w:r w:rsidRPr="00084F9C">
        <w:t xml:space="preserve">was acknowledged that many other factors also had a strong influence on students’ likelihood of leaving university study early. Lockhart’s results also appeared to indicate academic confidence to be a transitory characteristic which is affected by the most recent academic attainments. This is consistent with the idea of academic confidence as a malleable characteristic, suggested earlier through Sander’s original research and more strongly proposed in a later, summary paper (Sander </w:t>
      </w:r>
      <w:r>
        <w:t>et al.</w:t>
      </w:r>
      <w:r w:rsidRPr="00084F9C">
        <w:t>, 2006a).</w:t>
      </w:r>
    </w:p>
    <w:p w14:paraId="5018D70D" w14:textId="4E87539E" w:rsidR="007707AB" w:rsidRPr="00E27461" w:rsidRDefault="007707AB" w:rsidP="007707AB">
      <w:r w:rsidRPr="00084F9C">
        <w:t>In a</w:t>
      </w:r>
      <w:r w:rsidR="00B869EA">
        <w:t xml:space="preserve"> </w:t>
      </w:r>
      <w:r w:rsidRPr="00084F9C">
        <w:t>study similar to Lockhart’s</w:t>
      </w:r>
      <w:r>
        <w:t xml:space="preserve">, also </w:t>
      </w:r>
      <w:r w:rsidRPr="00084F9C">
        <w:t xml:space="preserve">into student retention and likelihood of course change, Duncan, (2006) integrated </w:t>
      </w:r>
      <w:r>
        <w:t>five</w:t>
      </w:r>
      <w:r w:rsidRPr="00084F9C">
        <w:t xml:space="preserve"> items from the Academic Confidence Scale into the research questionnaire </w:t>
      </w:r>
      <w:r>
        <w:t xml:space="preserve">to explore </w:t>
      </w:r>
      <w:r w:rsidRPr="00084F9C">
        <w:t xml:space="preserve">the mediating effect of academic confidence on the relationship between academic ability and academic integration, although no reasons for identifying these specific items from the full ACS as being particularly appropriate were offered. It is possible that the reason was simple expediency for reducing the questionnaire to a manageable size even though it still comprised 151 scale items. Results indicated </w:t>
      </w:r>
      <w:r>
        <w:t xml:space="preserve">low </w:t>
      </w:r>
      <w:r w:rsidRPr="00084F9C">
        <w:t>academic confidence to be strongly correlated with cours</w:t>
      </w:r>
      <w:r>
        <w:t>e-change or drop-out intention.</w:t>
      </w:r>
      <w:hyperlink r:id="rId32" w:anchor="top" w:history="1"/>
    </w:p>
    <w:p w14:paraId="63FEF173" w14:textId="1C54B0EA" w:rsidR="007707AB" w:rsidRDefault="007707AB" w:rsidP="007707AB">
      <w:r w:rsidRPr="00CB74D6">
        <w:t xml:space="preserve">Of the remaining studies that included or implied use of the Academic Confidence Scale, all were either conducted by Sander, usually with </w:t>
      </w:r>
      <w:r>
        <w:t>collea</w:t>
      </w:r>
      <w:r w:rsidR="003366CE">
        <w:t>gu</w:t>
      </w:r>
      <w:r>
        <w:t>es</w:t>
      </w:r>
      <w:r w:rsidRPr="00CB74D6">
        <w:t xml:space="preserve">, or Sander appears to have been a contributing author. This collection of studies includes Sander’s own doctoral thesis (Sander, 2004) which explored the connections between academic confidence and student expectations of their university learning experience and built on the original project for which the Academic Confidence Scale was developed. The thesis comprised the author’s prior, published works which were all concerned with exploring students’ expectations and preferences towards teaching, learning and assessment at university. These early studies increased research assurances about the use of academic confidence to explain differences in students’ learning preferences with the findings providing </w:t>
      </w:r>
      <w:r w:rsidRPr="00CB74D6">
        <w:lastRenderedPageBreak/>
        <w:t>evidence that teaching institutions should attempt to gain a greater understanding of their students as learners in order for their teaching regimes, artefacts and processes of curriculum delivery to be more effective (Sander, 2005a, Sander, 2005b). This was pertinent in the university climate</w:t>
      </w:r>
      <w:r>
        <w:t xml:space="preserve"> of a decade or so ago </w:t>
      </w:r>
      <w:r w:rsidRPr="00CB74D6">
        <w:t>w</w:t>
      </w:r>
      <w:r>
        <w:t xml:space="preserve">hen </w:t>
      </w:r>
      <w:r w:rsidRPr="00CB74D6">
        <w:t>student numbers increa</w:t>
      </w:r>
      <w:r>
        <w:t>sed</w:t>
      </w:r>
      <w:r w:rsidRPr="00CB74D6">
        <w:t xml:space="preserve"> to record levels through a variety of initiatives, not least the emergence of widening participation as a social learning construct in education and the greater diversity of students that this and other new routes into </w:t>
      </w:r>
      <w:r>
        <w:t>HE</w:t>
      </w:r>
      <w:r w:rsidRPr="00CB74D6">
        <w:t xml:space="preserve"> through foundation and access courses was bringing to the university community. An apparent consequence of this however, appeared to be greater attrition rates (e</w:t>
      </w:r>
      <w:r>
        <w:t>.</w:t>
      </w:r>
      <w:r w:rsidRPr="00CB74D6">
        <w:t>g</w:t>
      </w:r>
      <w:r>
        <w:t>.</w:t>
      </w:r>
      <w:r w:rsidRPr="00CB74D6">
        <w:t>: Fitzgibbon &amp; Prior, 2003</w:t>
      </w:r>
      <w:r>
        <w:t>;</w:t>
      </w:r>
      <w:r w:rsidRPr="00CB74D6">
        <w:t xml:space="preserve"> Simpson, 2005) leading to research attention being directed towards finding explanations for increasingly poor student retention with academic confidence being linked to students terminating their courses</w:t>
      </w:r>
      <w:r>
        <w:t>.</w:t>
      </w:r>
    </w:p>
    <w:p w14:paraId="4681BFEA" w14:textId="19E6463F" w:rsidR="007707AB" w:rsidRDefault="007707AB" w:rsidP="007707AB">
      <w:r w:rsidRPr="00084F9C">
        <w:t>The scale was renamed the A</w:t>
      </w:r>
      <w:r>
        <w:t>cademic Behavioural Confidence (ABC) Scale to recognize that it</w:t>
      </w:r>
      <w:r w:rsidRPr="00084F9C">
        <w:t xml:space="preserve"> is more properly a gauge of confidence in actions and plans in relation to academic study behaviour (Sander &amp; Sanders, 2006b)</w:t>
      </w:r>
      <w:r>
        <w:t>,</w:t>
      </w:r>
      <w:r w:rsidRPr="00084F9C">
        <w:t xml:space="preserve"> but in all other respects the metric was unchanged. </w:t>
      </w:r>
      <w:r>
        <w:t xml:space="preserve">Later studies using the </w:t>
      </w:r>
      <w:r w:rsidRPr="00512983">
        <w:t>ABC Scale</w:t>
      </w:r>
      <w:r>
        <w:t xml:space="preserve"> </w:t>
      </w:r>
      <w:r w:rsidRPr="00512983">
        <w:t xml:space="preserve">augmented the theory </w:t>
      </w:r>
      <w:r>
        <w:t xml:space="preserve">that </w:t>
      </w:r>
      <w:r w:rsidRPr="00512983">
        <w:t xml:space="preserve">academic confidence </w:t>
      </w:r>
      <w:r>
        <w:t xml:space="preserve">is </w:t>
      </w:r>
      <w:r w:rsidRPr="00512983">
        <w:t>a sub-construct of academic self-efficacy, arguing that the ABC Scale bridges the gap between self-efficacy and self-concept measures (Sander, 2006</w:t>
      </w:r>
      <w:r>
        <w:t>)</w:t>
      </w:r>
      <w:r w:rsidRPr="00512983">
        <w:t xml:space="preserve">. As with earlier studies, the research was </w:t>
      </w:r>
      <w:r>
        <w:t xml:space="preserve">exploring </w:t>
      </w:r>
      <w:r w:rsidRPr="00512983">
        <w:t xml:space="preserve">ways to improve university teaching by understanding more about students’ attitudes towards teaching processes commonly used to deliver the curriculum. </w:t>
      </w:r>
      <w:r>
        <w:t xml:space="preserve">For example, findings revealed </w:t>
      </w:r>
      <w:r w:rsidRPr="00512983">
        <w:t xml:space="preserve">significant differences in post-presentation academic confidence </w:t>
      </w:r>
      <w:r>
        <w:t xml:space="preserve">which were </w:t>
      </w:r>
      <w:r w:rsidRPr="00512983">
        <w:t xml:space="preserve">attributed to whether the presentations were assessed or not assessed, with measurable gains in ABC being recorded following presentations that were assessed. Of particular interest in the discussion was an item-by-item analysis of ABC Scale statements </w:t>
      </w:r>
      <w:r>
        <w:t xml:space="preserve">enabling </w:t>
      </w:r>
      <w:r w:rsidRPr="00512983">
        <w:t>a better understanding of participant responses to be gained. This indicates that although ABC is designed to be a global measure of academic confidence, by exploring specificity, as revealed by comparisons taken from items within the scale, this can reveal detail</w:t>
      </w:r>
      <w:r>
        <w:t>ed</w:t>
      </w:r>
      <w:r w:rsidRPr="00512983">
        <w:t xml:space="preserve"> academic confidence profiles. </w:t>
      </w:r>
      <w:r>
        <w:t xml:space="preserve">Conclusions suggested that </w:t>
      </w:r>
      <w:r w:rsidRPr="00512983">
        <w:t>where self-efficacy measures stress the significance of mastery experience as a major part of the establishment and maintenance of efficacy beliefs</w:t>
      </w:r>
      <w:r>
        <w:t xml:space="preserve"> - </w:t>
      </w:r>
      <w:r w:rsidRPr="00512983">
        <w:t>hence drawing on the underlying themes of Bandura's Social Cognitive Theory</w:t>
      </w:r>
      <w:r>
        <w:t xml:space="preserve"> - </w:t>
      </w:r>
      <w:r w:rsidRPr="00512983">
        <w:t>these may not take a sufficient account of the wider socio-educational components in university study that affect students' concepts of themselves as learners</w:t>
      </w:r>
      <w:r>
        <w:t>, whereas the sub-construct of academic confidence is more able to do this.</w:t>
      </w:r>
    </w:p>
    <w:p w14:paraId="41DDB35D" w14:textId="77777777" w:rsidR="00B869EA" w:rsidRDefault="007707AB" w:rsidP="007707AB">
      <w:r>
        <w:t>A</w:t>
      </w:r>
      <w:r w:rsidRPr="00CA5972">
        <w:t>rguing that females generally lack academic confidence and that males are more likely to rate their academic abilities more highly than female students</w:t>
      </w:r>
      <w:r>
        <w:t xml:space="preserve">, subsequent </w:t>
      </w:r>
      <w:r w:rsidRPr="00CA5972">
        <w:t>stud</w:t>
      </w:r>
      <w:r>
        <w:t>ies</w:t>
      </w:r>
      <w:r w:rsidRPr="00CA5972">
        <w:t xml:space="preserve"> </w:t>
      </w:r>
      <w:r>
        <w:t xml:space="preserve">used the ABC Scale to </w:t>
      </w:r>
      <w:r w:rsidRPr="00CA5972">
        <w:t xml:space="preserve">explore gender differences in student attitudes towards the academic </w:t>
      </w:r>
      <w:r w:rsidRPr="00CA5972">
        <w:lastRenderedPageBreak/>
        <w:t>and the non-academic aspects of university life</w:t>
      </w:r>
      <w:r>
        <w:t xml:space="preserve"> </w:t>
      </w:r>
      <w:r w:rsidRPr="00CA5972">
        <w:t>(Sander &amp; Sanders, 2006b</w:t>
      </w:r>
      <w:r>
        <w:t xml:space="preserve">; </w:t>
      </w:r>
      <w:r w:rsidRPr="00DE1B17">
        <w:t>Sander &amp; Sanders, 2007</w:t>
      </w:r>
      <w:r>
        <w:t>; Sanders et al., 2009</w:t>
      </w:r>
      <w:r w:rsidRPr="00DE1B17">
        <w:t>).</w:t>
      </w:r>
      <w:r>
        <w:t xml:space="preserve"> Although these studies’ findings indicated </w:t>
      </w:r>
      <w:r w:rsidRPr="00DE1B17">
        <w:t>little significant difference</w:t>
      </w:r>
      <w:r>
        <w:t xml:space="preserve"> </w:t>
      </w:r>
      <w:r w:rsidRPr="00DE1B17">
        <w:t>between ABC scores of males and females overall, detail differences on an item-by-item basis</w:t>
      </w:r>
      <w:r>
        <w:t xml:space="preserve"> did emerge. For example, it was shown </w:t>
      </w:r>
      <w:r w:rsidRPr="00DE1B17">
        <w:t>that male students were significantly less likely to prepare for tutorials and also less likely to make the most of studying at university in comparison to their female peers</w:t>
      </w:r>
      <w:r>
        <w:t xml:space="preserve">, </w:t>
      </w:r>
      <w:r w:rsidRPr="00DE1B17">
        <w:t>especially in the first year of study</w:t>
      </w:r>
      <w:r>
        <w:t xml:space="preserve">. Although this was initially </w:t>
      </w:r>
      <w:r w:rsidRPr="00DE1B17">
        <w:t>explained as possibly revealing a measure of over-confidence in males’ expectation of academic achievement</w:t>
      </w:r>
      <w:r>
        <w:t>,</w:t>
      </w:r>
      <w:r w:rsidRPr="00DE1B17">
        <w:t xml:space="preserve"> it was noted that this perception was not displaced later, as actual academic achievement was comparable overall to that achieved by females</w:t>
      </w:r>
      <w:r>
        <w:t>, suggesting</w:t>
      </w:r>
      <w:r w:rsidRPr="00DE1B17">
        <w:t xml:space="preserve"> that males saw themselves as able to achieve as good a result as females but with less work, with poorer organization and less engagement with teaching sessions.</w:t>
      </w:r>
    </w:p>
    <w:p w14:paraId="7AAC4680" w14:textId="0E17CB44" w:rsidR="007707AB" w:rsidRDefault="007707AB" w:rsidP="007707AB">
      <w:r>
        <w:t>These findings demonstrate the value of examining ABC Scale outcomes in detail in addition to drawing conclusions based on overall scores. This appears to have prompted a deeper</w:t>
      </w:r>
      <w:r w:rsidRPr="00D97C3B">
        <w:t xml:space="preserve"> interest in the </w:t>
      </w:r>
      <w:r w:rsidRPr="00B047B9">
        <w:rPr>
          <w:i/>
        </w:rPr>
        <w:t>structure</w:t>
      </w:r>
      <w:r w:rsidRPr="00D97C3B">
        <w:t xml:space="preserve"> of the A</w:t>
      </w:r>
      <w:r>
        <w:t xml:space="preserve">BC </w:t>
      </w:r>
      <w:r w:rsidRPr="00D97C3B">
        <w:t>Scale</w:t>
      </w:r>
      <w:r>
        <w:t>. A later study</w:t>
      </w:r>
      <w:r w:rsidRPr="00D97C3B">
        <w:t xml:space="preserve"> used factor analysis (Principal Component Analysis (PCA)) to search for subscales in the main scale (Sander &amp; Sanders, 2009) with the claim that were these revealed, this may lead to a more satisfying explanation of unexpected lack of differences in academic confidence when examining the between-groups scores in earlier studies. This process </w:t>
      </w:r>
      <w:r>
        <w:t xml:space="preserve">had been </w:t>
      </w:r>
      <w:r w:rsidRPr="00D97C3B">
        <w:t>applied to</w:t>
      </w:r>
      <w:r>
        <w:t xml:space="preserve"> data in earlier </w:t>
      </w:r>
      <w:r w:rsidRPr="00D97C3B">
        <w:t>studies</w:t>
      </w:r>
      <w:r>
        <w:t>,</w:t>
      </w:r>
      <w:r w:rsidRPr="00D97C3B">
        <w:t xml:space="preserve"> resulting in six subscales being suggested: Grades, Studying, Verbalizing, Attendance, Understanding, </w:t>
      </w:r>
      <w:r>
        <w:t xml:space="preserve">and </w:t>
      </w:r>
      <w:r w:rsidRPr="00D97C3B">
        <w:t xml:space="preserve">Requesting. </w:t>
      </w:r>
      <w:r>
        <w:t>O</w:t>
      </w:r>
      <w:r w:rsidRPr="00D97C3B">
        <w:t>ut of the later application of PCA to the combined datasets from their previous studies (n</w:t>
      </w:r>
      <w:r w:rsidRPr="00A3230D">
        <w:rPr>
          <w:vertAlign w:val="subscript"/>
        </w:rPr>
        <w:t>total</w:t>
      </w:r>
      <w:r w:rsidRPr="00D97C3B">
        <w:t>=865) the same six subscales</w:t>
      </w:r>
      <w:r>
        <w:t xml:space="preserve"> initially emerged, although through further, </w:t>
      </w:r>
      <w:r w:rsidRPr="00D97C3B">
        <w:t>structural equation modelling</w:t>
      </w:r>
      <w:r>
        <w:t>,</w:t>
      </w:r>
      <w:r w:rsidRPr="00D97C3B">
        <w:t xml:space="preserve"> a revised, four-factor structure </w:t>
      </w:r>
      <w:r>
        <w:t xml:space="preserve">which </w:t>
      </w:r>
      <w:r w:rsidRPr="00D97C3B">
        <w:t>more accurately reflected the most likely nature of the complete ABC Scale</w:t>
      </w:r>
      <w:r>
        <w:t xml:space="preserve"> was suggested</w:t>
      </w:r>
      <w:r w:rsidRPr="00D97C3B">
        <w:t>. These were designated: Grades, Verbalizing, Studying, and Attendance, and following further analysis exploring scale-item redundancy, the original 24-item scale was reduced to 17 items</w:t>
      </w:r>
      <w:r>
        <w:t xml:space="preserve">, a reduction which was later validated with a substantial sample of university students (n=2065) </w:t>
      </w:r>
      <w:r w:rsidRPr="00D97C3B">
        <w:t xml:space="preserve">(Sander </w:t>
      </w:r>
      <w:r>
        <w:t>et al.</w:t>
      </w:r>
      <w:r w:rsidRPr="00D97C3B">
        <w:t>, 2011)</w:t>
      </w:r>
      <w:r>
        <w:t>.</w:t>
      </w:r>
      <w:r w:rsidRPr="00D97C3B">
        <w:t xml:space="preserve"> The </w:t>
      </w:r>
      <w:r>
        <w:t>findings</w:t>
      </w:r>
      <w:r w:rsidRPr="00D97C3B">
        <w:t xml:space="preserve"> from that research w</w:t>
      </w:r>
      <w:r>
        <w:t xml:space="preserve">ere </w:t>
      </w:r>
      <w:r w:rsidRPr="00D97C3B">
        <w:t>used to suggest that the ABC Scale can be helpful in gaining an understanding of students' orientation to their studies, notably as a diagnostic tool to aid tutors in creating more effective learning opportunities.</w:t>
      </w:r>
    </w:p>
    <w:p w14:paraId="000705F9" w14:textId="27456071" w:rsidR="00EB68CC" w:rsidRPr="00E27461" w:rsidRDefault="007707AB" w:rsidP="007707AB">
      <w:r w:rsidRPr="00A67456">
        <w:t>Meanwhile, other studies using the A</w:t>
      </w:r>
      <w:r>
        <w:t xml:space="preserve">BC </w:t>
      </w:r>
      <w:r w:rsidRPr="00A67456">
        <w:t xml:space="preserve">Scale were beginning to emerge, possibly as a result of more widespread interest in a paper presented Sander </w:t>
      </w:r>
      <w:r>
        <w:t>and</w:t>
      </w:r>
      <w:r w:rsidRPr="00A67456">
        <w:t xml:space="preserve"> Sanders, </w:t>
      </w:r>
      <w:r>
        <w:t>(</w:t>
      </w:r>
      <w:r w:rsidRPr="00A67456">
        <w:t xml:space="preserve">2006a) </w:t>
      </w:r>
      <w:r>
        <w:t xml:space="preserve">which drew </w:t>
      </w:r>
      <w:r w:rsidRPr="00A67456">
        <w:t xml:space="preserve">useful comparisons between attributes of the related constructs of academic self-concept, academic self-efficacy and </w:t>
      </w:r>
      <w:r>
        <w:t>ABC</w:t>
      </w:r>
      <w:r w:rsidR="00CC5358">
        <w:t xml:space="preserve"> (Table 1)</w:t>
      </w:r>
      <w:r w:rsidRPr="00A67456">
        <w:t>, grounded in theories of academic motivation (Bong &amp; Skaa</w:t>
      </w:r>
      <w:r>
        <w:t>lvik, 2003)</w:t>
      </w:r>
      <w:r w:rsidR="00CC5358">
        <w:t>.</w:t>
      </w:r>
    </w:p>
    <w:tbl>
      <w:tblPr>
        <w:tblStyle w:val="GridTable5Dark-Accent1"/>
        <w:tblW w:w="4971" w:type="pct"/>
        <w:tblLook w:val="04A0" w:firstRow="1" w:lastRow="0" w:firstColumn="1" w:lastColumn="0" w:noHBand="0" w:noVBand="1"/>
      </w:tblPr>
      <w:tblGrid>
        <w:gridCol w:w="1642"/>
        <w:gridCol w:w="2362"/>
        <w:gridCol w:w="2362"/>
        <w:gridCol w:w="2362"/>
      </w:tblGrid>
      <w:tr w:rsidR="007707AB" w:rsidRPr="00647589" w14:paraId="7C775F09" w14:textId="77777777" w:rsidTr="003366CE">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B0094F7" w14:textId="77777777" w:rsidR="007707AB" w:rsidRPr="00647589" w:rsidRDefault="007707AB" w:rsidP="003366CE">
            <w:pPr>
              <w:spacing w:before="0" w:after="0"/>
              <w:jc w:val="center"/>
              <w:rPr>
                <w:rFonts w:ascii="Gill Sans MT" w:hAnsi="Gill Sans MT"/>
                <w:sz w:val="18"/>
                <w:szCs w:val="18"/>
              </w:rPr>
            </w:pPr>
            <w:r w:rsidRPr="00647589">
              <w:rPr>
                <w:rFonts w:ascii="Gill Sans MT" w:hAnsi="Gill Sans MT"/>
                <w:sz w:val="18"/>
                <w:szCs w:val="18"/>
              </w:rPr>
              <w:lastRenderedPageBreak/>
              <w:t>Comparison dimension</w:t>
            </w:r>
          </w:p>
        </w:tc>
        <w:tc>
          <w:tcPr>
            <w:tcW w:w="1353" w:type="pct"/>
            <w:vAlign w:val="center"/>
            <w:hideMark/>
          </w:tcPr>
          <w:p w14:paraId="105FB9D9" w14:textId="77777777" w:rsidR="007707AB" w:rsidRPr="00647589" w:rsidRDefault="007707AB" w:rsidP="003366CE">
            <w:pPr>
              <w:spacing w:before="0" w:after="0"/>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18"/>
                <w:szCs w:val="18"/>
              </w:rPr>
            </w:pPr>
            <w:r w:rsidRPr="00647589">
              <w:rPr>
                <w:rFonts w:ascii="Gill Sans MT" w:hAnsi="Gill Sans MT"/>
                <w:sz w:val="18"/>
                <w:szCs w:val="18"/>
              </w:rPr>
              <w:t>Academic self-concept</w:t>
            </w:r>
          </w:p>
        </w:tc>
        <w:tc>
          <w:tcPr>
            <w:tcW w:w="1353" w:type="pct"/>
            <w:vAlign w:val="center"/>
            <w:hideMark/>
          </w:tcPr>
          <w:p w14:paraId="436985E2" w14:textId="77777777" w:rsidR="007707AB" w:rsidRPr="00647589" w:rsidRDefault="007707AB" w:rsidP="003366CE">
            <w:pPr>
              <w:spacing w:before="0" w:after="0"/>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18"/>
                <w:szCs w:val="18"/>
              </w:rPr>
            </w:pPr>
            <w:r w:rsidRPr="00647589">
              <w:rPr>
                <w:rFonts w:ascii="Gill Sans MT" w:hAnsi="Gill Sans MT"/>
                <w:sz w:val="18"/>
                <w:szCs w:val="18"/>
              </w:rPr>
              <w:t>Academic self-efficacy</w:t>
            </w:r>
          </w:p>
        </w:tc>
        <w:tc>
          <w:tcPr>
            <w:tcW w:w="1353" w:type="pct"/>
            <w:vAlign w:val="center"/>
            <w:hideMark/>
          </w:tcPr>
          <w:p w14:paraId="424216F4" w14:textId="77777777" w:rsidR="007707AB" w:rsidRPr="00647589" w:rsidRDefault="007707AB" w:rsidP="003366CE">
            <w:pPr>
              <w:spacing w:before="0" w:after="0"/>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18"/>
                <w:szCs w:val="18"/>
              </w:rPr>
            </w:pPr>
            <w:r w:rsidRPr="00647589">
              <w:rPr>
                <w:rFonts w:ascii="Gill Sans MT" w:hAnsi="Gill Sans MT"/>
                <w:sz w:val="18"/>
                <w:szCs w:val="18"/>
              </w:rPr>
              <w:t>Academic Behavioural Confidence</w:t>
            </w:r>
          </w:p>
        </w:tc>
      </w:tr>
      <w:tr w:rsidR="007707AB" w:rsidRPr="00647589" w14:paraId="4BD54639" w14:textId="77777777" w:rsidTr="003366CE">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0A85D8A7" w14:textId="77777777" w:rsidR="007707AB" w:rsidRPr="00647589" w:rsidRDefault="007707AB" w:rsidP="007707AB">
            <w:pPr>
              <w:rPr>
                <w:rFonts w:ascii="Gill Sans MT" w:hAnsi="Gill Sans MT"/>
              </w:rPr>
            </w:pPr>
          </w:p>
        </w:tc>
      </w:tr>
      <w:tr w:rsidR="007707AB" w:rsidRPr="00647589" w14:paraId="67C2982F" w14:textId="77777777" w:rsidTr="003366CE">
        <w:trPr>
          <w:trHeight w:val="884"/>
        </w:trPr>
        <w:tc>
          <w:tcPr>
            <w:cnfStyle w:val="001000000000" w:firstRow="0" w:lastRow="0" w:firstColumn="1" w:lastColumn="0" w:oddVBand="0" w:evenVBand="0" w:oddHBand="0" w:evenHBand="0" w:firstRowFirstColumn="0" w:firstRowLastColumn="0" w:lastRowFirstColumn="0" w:lastRowLastColumn="0"/>
            <w:tcW w:w="0" w:type="auto"/>
            <w:hideMark/>
          </w:tcPr>
          <w:p w14:paraId="4FF3E474" w14:textId="77777777" w:rsidR="007707AB" w:rsidRPr="00647589" w:rsidRDefault="007707AB" w:rsidP="007707AB">
            <w:pPr>
              <w:spacing w:before="0" w:after="0"/>
              <w:rPr>
                <w:rFonts w:ascii="Gill Sans MT" w:hAnsi="Gill Sans MT"/>
                <w:sz w:val="18"/>
                <w:szCs w:val="18"/>
              </w:rPr>
            </w:pPr>
            <w:r w:rsidRPr="00647589">
              <w:rPr>
                <w:rFonts w:ascii="Gill Sans MT" w:hAnsi="Gill Sans MT"/>
                <w:sz w:val="18"/>
                <w:szCs w:val="18"/>
              </w:rPr>
              <w:t>Working definition</w:t>
            </w:r>
          </w:p>
        </w:tc>
        <w:tc>
          <w:tcPr>
            <w:tcW w:w="1353" w:type="pct"/>
            <w:hideMark/>
          </w:tcPr>
          <w:p w14:paraId="5A90179F"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Knowledge and perceptions about oneself in achievement situations</w:t>
            </w:r>
          </w:p>
        </w:tc>
        <w:tc>
          <w:tcPr>
            <w:tcW w:w="1353" w:type="pct"/>
            <w:hideMark/>
          </w:tcPr>
          <w:p w14:paraId="64E714AA"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Convictions for successfully performing given academic tasks at designated levels</w:t>
            </w:r>
          </w:p>
        </w:tc>
        <w:tc>
          <w:tcPr>
            <w:tcW w:w="1353" w:type="pct"/>
            <w:hideMark/>
          </w:tcPr>
          <w:p w14:paraId="101098CD"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Confidence in ability to engage in behaviour that might be required during a (student) academic career.</w:t>
            </w:r>
          </w:p>
        </w:tc>
      </w:tr>
      <w:tr w:rsidR="007707AB" w:rsidRPr="00647589" w14:paraId="70CFBCD4" w14:textId="77777777" w:rsidTr="003366CE">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2F552741" w14:textId="77777777" w:rsidR="007707AB" w:rsidRPr="00647589" w:rsidRDefault="007707AB" w:rsidP="007707AB">
            <w:pPr>
              <w:spacing w:before="0" w:after="0" w:line="240" w:lineRule="auto"/>
              <w:rPr>
                <w:rFonts w:ascii="Gill Sans MT" w:hAnsi="Gill Sans MT"/>
                <w:sz w:val="18"/>
                <w:szCs w:val="18"/>
              </w:rPr>
            </w:pPr>
          </w:p>
        </w:tc>
      </w:tr>
      <w:tr w:rsidR="007707AB" w:rsidRPr="00647589" w14:paraId="3AF54A82" w14:textId="77777777" w:rsidTr="003366CE">
        <w:trPr>
          <w:trHeight w:val="794"/>
        </w:trPr>
        <w:tc>
          <w:tcPr>
            <w:cnfStyle w:val="001000000000" w:firstRow="0" w:lastRow="0" w:firstColumn="1" w:lastColumn="0" w:oddVBand="0" w:evenVBand="0" w:oddHBand="0" w:evenHBand="0" w:firstRowFirstColumn="0" w:firstRowLastColumn="0" w:lastRowFirstColumn="0" w:lastRowLastColumn="0"/>
            <w:tcW w:w="0" w:type="auto"/>
            <w:hideMark/>
          </w:tcPr>
          <w:p w14:paraId="6C8C1782" w14:textId="77777777" w:rsidR="007707AB" w:rsidRPr="00647589" w:rsidRDefault="007707AB" w:rsidP="007707AB">
            <w:pPr>
              <w:spacing w:before="0" w:after="0"/>
              <w:rPr>
                <w:rFonts w:ascii="Gill Sans MT" w:hAnsi="Gill Sans MT"/>
                <w:sz w:val="18"/>
                <w:szCs w:val="18"/>
              </w:rPr>
            </w:pPr>
            <w:r w:rsidRPr="00647589">
              <w:rPr>
                <w:rFonts w:ascii="Gill Sans MT" w:hAnsi="Gill Sans MT"/>
                <w:sz w:val="18"/>
                <w:szCs w:val="18"/>
              </w:rPr>
              <w:t>Central element</w:t>
            </w:r>
          </w:p>
        </w:tc>
        <w:tc>
          <w:tcPr>
            <w:tcW w:w="1353" w:type="pct"/>
            <w:hideMark/>
          </w:tcPr>
          <w:p w14:paraId="556ED83A"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Perceived competence</w:t>
            </w:r>
          </w:p>
        </w:tc>
        <w:tc>
          <w:tcPr>
            <w:tcW w:w="1353" w:type="pct"/>
            <w:hideMark/>
          </w:tcPr>
          <w:p w14:paraId="186A089B"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Perceived confidence</w:t>
            </w:r>
          </w:p>
        </w:tc>
        <w:tc>
          <w:tcPr>
            <w:tcW w:w="1353" w:type="pct"/>
            <w:hideMark/>
          </w:tcPr>
          <w:p w14:paraId="36D8EC7D"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Confidence in abilities</w:t>
            </w:r>
          </w:p>
        </w:tc>
      </w:tr>
      <w:tr w:rsidR="007707AB" w:rsidRPr="00647589" w14:paraId="576C5DF7" w14:textId="77777777" w:rsidTr="003366CE">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6F38218F" w14:textId="77777777" w:rsidR="007707AB" w:rsidRPr="00647589" w:rsidRDefault="007707AB" w:rsidP="007707AB">
            <w:pPr>
              <w:spacing w:before="0" w:after="0" w:line="240" w:lineRule="auto"/>
              <w:rPr>
                <w:rFonts w:ascii="Gill Sans MT" w:hAnsi="Gill Sans MT"/>
                <w:sz w:val="18"/>
                <w:szCs w:val="18"/>
              </w:rPr>
            </w:pPr>
          </w:p>
        </w:tc>
      </w:tr>
      <w:tr w:rsidR="007707AB" w:rsidRPr="00647589" w14:paraId="43CD77BA" w14:textId="77777777" w:rsidTr="003366CE">
        <w:trPr>
          <w:trHeight w:val="441"/>
        </w:trPr>
        <w:tc>
          <w:tcPr>
            <w:cnfStyle w:val="001000000000" w:firstRow="0" w:lastRow="0" w:firstColumn="1" w:lastColumn="0" w:oddVBand="0" w:evenVBand="0" w:oddHBand="0" w:evenHBand="0" w:firstRowFirstColumn="0" w:firstRowLastColumn="0" w:lastRowFirstColumn="0" w:lastRowLastColumn="0"/>
            <w:tcW w:w="0" w:type="auto"/>
            <w:hideMark/>
          </w:tcPr>
          <w:p w14:paraId="735D9FAC" w14:textId="77777777" w:rsidR="007707AB" w:rsidRPr="00647589" w:rsidRDefault="007707AB" w:rsidP="007707AB">
            <w:pPr>
              <w:spacing w:before="0" w:after="0"/>
              <w:rPr>
                <w:rFonts w:ascii="Gill Sans MT" w:hAnsi="Gill Sans MT"/>
                <w:sz w:val="18"/>
                <w:szCs w:val="18"/>
              </w:rPr>
            </w:pPr>
            <w:r w:rsidRPr="00647589">
              <w:rPr>
                <w:rFonts w:ascii="Gill Sans MT" w:hAnsi="Gill Sans MT"/>
                <w:sz w:val="18"/>
                <w:szCs w:val="18"/>
              </w:rPr>
              <w:t>Composition</w:t>
            </w:r>
          </w:p>
        </w:tc>
        <w:tc>
          <w:tcPr>
            <w:tcW w:w="1353" w:type="pct"/>
            <w:hideMark/>
          </w:tcPr>
          <w:p w14:paraId="69C38C9B"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Cognitive and affective appraisal of self</w:t>
            </w:r>
          </w:p>
        </w:tc>
        <w:tc>
          <w:tcPr>
            <w:tcW w:w="1353" w:type="pct"/>
            <w:hideMark/>
          </w:tcPr>
          <w:p w14:paraId="0DF611B8"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Cognitive appraisal of self</w:t>
            </w:r>
          </w:p>
        </w:tc>
        <w:tc>
          <w:tcPr>
            <w:tcW w:w="1353" w:type="pct"/>
            <w:hideMark/>
          </w:tcPr>
          <w:p w14:paraId="3412798A"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Assessment of potential behavioural repertoire</w:t>
            </w:r>
          </w:p>
        </w:tc>
      </w:tr>
      <w:tr w:rsidR="007707AB" w:rsidRPr="00647589" w14:paraId="3AF58D08" w14:textId="77777777" w:rsidTr="003366CE">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3C76F72F" w14:textId="77777777" w:rsidR="007707AB" w:rsidRPr="00647589" w:rsidRDefault="007707AB" w:rsidP="007707AB">
            <w:pPr>
              <w:spacing w:before="0" w:after="0" w:line="240" w:lineRule="auto"/>
              <w:rPr>
                <w:rFonts w:ascii="Gill Sans MT" w:hAnsi="Gill Sans MT"/>
                <w:sz w:val="18"/>
                <w:szCs w:val="18"/>
              </w:rPr>
            </w:pPr>
          </w:p>
        </w:tc>
      </w:tr>
      <w:tr w:rsidR="007707AB" w:rsidRPr="00647589" w14:paraId="18D9661C" w14:textId="77777777" w:rsidTr="003366CE">
        <w:trPr>
          <w:trHeight w:val="1182"/>
        </w:trPr>
        <w:tc>
          <w:tcPr>
            <w:cnfStyle w:val="001000000000" w:firstRow="0" w:lastRow="0" w:firstColumn="1" w:lastColumn="0" w:oddVBand="0" w:evenVBand="0" w:oddHBand="0" w:evenHBand="0" w:firstRowFirstColumn="0" w:firstRowLastColumn="0" w:lastRowFirstColumn="0" w:lastRowLastColumn="0"/>
            <w:tcW w:w="0" w:type="auto"/>
            <w:hideMark/>
          </w:tcPr>
          <w:p w14:paraId="79304644" w14:textId="77777777" w:rsidR="007707AB" w:rsidRPr="00647589" w:rsidRDefault="007707AB" w:rsidP="007707AB">
            <w:pPr>
              <w:spacing w:before="0" w:after="0"/>
              <w:rPr>
                <w:rFonts w:ascii="Gill Sans MT" w:hAnsi="Gill Sans MT"/>
                <w:sz w:val="18"/>
                <w:szCs w:val="18"/>
              </w:rPr>
            </w:pPr>
            <w:r w:rsidRPr="00647589">
              <w:rPr>
                <w:rFonts w:ascii="Gill Sans MT" w:hAnsi="Gill Sans MT"/>
                <w:sz w:val="18"/>
                <w:szCs w:val="18"/>
              </w:rPr>
              <w:t>Nature of competence evaluation</w:t>
            </w:r>
          </w:p>
        </w:tc>
        <w:tc>
          <w:tcPr>
            <w:tcW w:w="1353" w:type="pct"/>
            <w:hideMark/>
          </w:tcPr>
          <w:p w14:paraId="4C04A127"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Normative and ipsative</w:t>
            </w:r>
          </w:p>
        </w:tc>
        <w:tc>
          <w:tcPr>
            <w:tcW w:w="1353" w:type="pct"/>
            <w:hideMark/>
          </w:tcPr>
          <w:p w14:paraId="68A73825"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Goal-referenced and normative</w:t>
            </w:r>
          </w:p>
        </w:tc>
        <w:tc>
          <w:tcPr>
            <w:tcW w:w="1353" w:type="pct"/>
            <w:hideMark/>
          </w:tcPr>
          <w:p w14:paraId="7221E19E"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Response to situational demands</w:t>
            </w:r>
          </w:p>
        </w:tc>
      </w:tr>
      <w:tr w:rsidR="007707AB" w:rsidRPr="00647589" w14:paraId="0EA50039" w14:textId="77777777" w:rsidTr="003366CE">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672EEF73" w14:textId="77777777" w:rsidR="007707AB" w:rsidRPr="00647589" w:rsidRDefault="007707AB" w:rsidP="007707AB">
            <w:pPr>
              <w:spacing w:before="0" w:after="0" w:line="240" w:lineRule="auto"/>
              <w:rPr>
                <w:rFonts w:ascii="Gill Sans MT" w:hAnsi="Gill Sans MT"/>
                <w:sz w:val="18"/>
                <w:szCs w:val="18"/>
              </w:rPr>
            </w:pPr>
          </w:p>
        </w:tc>
      </w:tr>
      <w:tr w:rsidR="007707AB" w:rsidRPr="00647589" w14:paraId="5613AACE" w14:textId="77777777" w:rsidTr="003366CE">
        <w:trPr>
          <w:trHeight w:val="794"/>
        </w:trPr>
        <w:tc>
          <w:tcPr>
            <w:cnfStyle w:val="001000000000" w:firstRow="0" w:lastRow="0" w:firstColumn="1" w:lastColumn="0" w:oddVBand="0" w:evenVBand="0" w:oddHBand="0" w:evenHBand="0" w:firstRowFirstColumn="0" w:firstRowLastColumn="0" w:lastRowFirstColumn="0" w:lastRowLastColumn="0"/>
            <w:tcW w:w="0" w:type="auto"/>
            <w:hideMark/>
          </w:tcPr>
          <w:p w14:paraId="6B063E55" w14:textId="77777777" w:rsidR="007707AB" w:rsidRPr="00647589" w:rsidRDefault="007707AB" w:rsidP="007707AB">
            <w:pPr>
              <w:spacing w:before="0" w:after="0"/>
              <w:rPr>
                <w:rFonts w:ascii="Gill Sans MT" w:hAnsi="Gill Sans MT"/>
                <w:sz w:val="18"/>
                <w:szCs w:val="18"/>
              </w:rPr>
            </w:pPr>
            <w:r w:rsidRPr="00647589">
              <w:rPr>
                <w:rFonts w:ascii="Gill Sans MT" w:hAnsi="Gill Sans MT"/>
                <w:sz w:val="18"/>
                <w:szCs w:val="18"/>
              </w:rPr>
              <w:t>Judgement specificity</w:t>
            </w:r>
          </w:p>
        </w:tc>
        <w:tc>
          <w:tcPr>
            <w:tcW w:w="1353" w:type="pct"/>
            <w:hideMark/>
          </w:tcPr>
          <w:p w14:paraId="6992227C"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Domain specific</w:t>
            </w:r>
          </w:p>
        </w:tc>
        <w:tc>
          <w:tcPr>
            <w:tcW w:w="1353" w:type="pct"/>
            <w:hideMark/>
          </w:tcPr>
          <w:p w14:paraId="2641E68F"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Domain specific and context specific</w:t>
            </w:r>
          </w:p>
        </w:tc>
        <w:tc>
          <w:tcPr>
            <w:tcW w:w="1353" w:type="pct"/>
            <w:hideMark/>
          </w:tcPr>
          <w:p w14:paraId="4936CAEC"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Domain and narrowly context specific</w:t>
            </w:r>
          </w:p>
        </w:tc>
      </w:tr>
      <w:tr w:rsidR="007707AB" w:rsidRPr="00647589" w14:paraId="6A89CB24" w14:textId="77777777" w:rsidTr="003366CE">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4B8C9054" w14:textId="77777777" w:rsidR="007707AB" w:rsidRPr="00647589" w:rsidRDefault="007707AB" w:rsidP="007707AB">
            <w:pPr>
              <w:spacing w:before="0" w:after="0" w:line="240" w:lineRule="auto"/>
              <w:rPr>
                <w:rFonts w:ascii="Gill Sans MT" w:hAnsi="Gill Sans MT"/>
                <w:sz w:val="18"/>
                <w:szCs w:val="18"/>
              </w:rPr>
            </w:pPr>
          </w:p>
        </w:tc>
      </w:tr>
      <w:tr w:rsidR="007707AB" w:rsidRPr="00647589" w14:paraId="3A858B48" w14:textId="77777777" w:rsidTr="003366CE">
        <w:trPr>
          <w:trHeight w:val="397"/>
        </w:trPr>
        <w:tc>
          <w:tcPr>
            <w:cnfStyle w:val="001000000000" w:firstRow="0" w:lastRow="0" w:firstColumn="1" w:lastColumn="0" w:oddVBand="0" w:evenVBand="0" w:oddHBand="0" w:evenHBand="0" w:firstRowFirstColumn="0" w:firstRowLastColumn="0" w:lastRowFirstColumn="0" w:lastRowLastColumn="0"/>
            <w:tcW w:w="0" w:type="auto"/>
            <w:hideMark/>
          </w:tcPr>
          <w:p w14:paraId="4343221C" w14:textId="77777777" w:rsidR="007707AB" w:rsidRPr="00647589" w:rsidRDefault="007707AB" w:rsidP="007707AB">
            <w:pPr>
              <w:spacing w:before="0" w:after="0"/>
              <w:rPr>
                <w:rFonts w:ascii="Gill Sans MT" w:hAnsi="Gill Sans MT"/>
                <w:sz w:val="18"/>
                <w:szCs w:val="18"/>
              </w:rPr>
            </w:pPr>
            <w:r w:rsidRPr="00647589">
              <w:rPr>
                <w:rFonts w:ascii="Gill Sans MT" w:hAnsi="Gill Sans MT"/>
                <w:sz w:val="18"/>
                <w:szCs w:val="18"/>
              </w:rPr>
              <w:t>Dimensionality</w:t>
            </w:r>
          </w:p>
        </w:tc>
        <w:tc>
          <w:tcPr>
            <w:tcW w:w="1353" w:type="pct"/>
            <w:hideMark/>
          </w:tcPr>
          <w:p w14:paraId="01805395"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Multidimensional</w:t>
            </w:r>
          </w:p>
        </w:tc>
        <w:tc>
          <w:tcPr>
            <w:tcW w:w="1353" w:type="pct"/>
            <w:hideMark/>
          </w:tcPr>
          <w:p w14:paraId="33133294"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Multidimensional</w:t>
            </w:r>
          </w:p>
        </w:tc>
        <w:tc>
          <w:tcPr>
            <w:tcW w:w="1353" w:type="pct"/>
            <w:hideMark/>
          </w:tcPr>
          <w:p w14:paraId="02881B22"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Multidimensional</w:t>
            </w:r>
          </w:p>
        </w:tc>
      </w:tr>
      <w:tr w:rsidR="007707AB" w:rsidRPr="00647589" w14:paraId="3222E3FB" w14:textId="77777777" w:rsidTr="003366CE">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303D1387" w14:textId="77777777" w:rsidR="007707AB" w:rsidRPr="00647589" w:rsidRDefault="007707AB" w:rsidP="007707AB">
            <w:pPr>
              <w:spacing w:before="0" w:after="0" w:line="240" w:lineRule="auto"/>
              <w:rPr>
                <w:rFonts w:ascii="Gill Sans MT" w:hAnsi="Gill Sans MT"/>
                <w:sz w:val="18"/>
                <w:szCs w:val="18"/>
              </w:rPr>
            </w:pPr>
          </w:p>
        </w:tc>
      </w:tr>
      <w:tr w:rsidR="007707AB" w:rsidRPr="00647589" w14:paraId="337771BB" w14:textId="77777777" w:rsidTr="003366CE">
        <w:trPr>
          <w:trHeight w:val="385"/>
        </w:trPr>
        <w:tc>
          <w:tcPr>
            <w:cnfStyle w:val="001000000000" w:firstRow="0" w:lastRow="0" w:firstColumn="1" w:lastColumn="0" w:oddVBand="0" w:evenVBand="0" w:oddHBand="0" w:evenHBand="0" w:firstRowFirstColumn="0" w:firstRowLastColumn="0" w:lastRowFirstColumn="0" w:lastRowLastColumn="0"/>
            <w:tcW w:w="0" w:type="auto"/>
            <w:hideMark/>
          </w:tcPr>
          <w:p w14:paraId="7F90E806" w14:textId="77777777" w:rsidR="007707AB" w:rsidRPr="00647589" w:rsidRDefault="007707AB" w:rsidP="007707AB">
            <w:pPr>
              <w:spacing w:before="0" w:after="0"/>
              <w:rPr>
                <w:rFonts w:ascii="Gill Sans MT" w:hAnsi="Gill Sans MT"/>
                <w:sz w:val="18"/>
                <w:szCs w:val="18"/>
              </w:rPr>
            </w:pPr>
            <w:r w:rsidRPr="00647589">
              <w:rPr>
                <w:rFonts w:ascii="Gill Sans MT" w:hAnsi="Gill Sans MT"/>
                <w:sz w:val="18"/>
                <w:szCs w:val="18"/>
              </w:rPr>
              <w:t>Structure</w:t>
            </w:r>
          </w:p>
        </w:tc>
        <w:tc>
          <w:tcPr>
            <w:tcW w:w="1353" w:type="pct"/>
            <w:hideMark/>
          </w:tcPr>
          <w:p w14:paraId="75223832"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Hierarchical</w:t>
            </w:r>
          </w:p>
        </w:tc>
        <w:tc>
          <w:tcPr>
            <w:tcW w:w="1353" w:type="pct"/>
            <w:hideMark/>
          </w:tcPr>
          <w:p w14:paraId="3CD2C67B"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Loosely hierarchical</w:t>
            </w:r>
          </w:p>
        </w:tc>
        <w:tc>
          <w:tcPr>
            <w:tcW w:w="1353" w:type="pct"/>
            <w:hideMark/>
          </w:tcPr>
          <w:p w14:paraId="7D15414F"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Flat and summative</w:t>
            </w:r>
          </w:p>
        </w:tc>
      </w:tr>
      <w:tr w:rsidR="007707AB" w:rsidRPr="00647589" w14:paraId="6D94D928" w14:textId="77777777" w:rsidTr="003366CE">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0852DA7E" w14:textId="77777777" w:rsidR="007707AB" w:rsidRPr="00647589" w:rsidRDefault="007707AB" w:rsidP="007707AB">
            <w:pPr>
              <w:spacing w:before="0" w:after="0" w:line="240" w:lineRule="auto"/>
              <w:rPr>
                <w:rFonts w:ascii="Gill Sans MT" w:hAnsi="Gill Sans MT"/>
                <w:sz w:val="18"/>
                <w:szCs w:val="18"/>
              </w:rPr>
            </w:pPr>
          </w:p>
        </w:tc>
      </w:tr>
      <w:tr w:rsidR="007707AB" w:rsidRPr="00647589" w14:paraId="5E22AA64" w14:textId="77777777" w:rsidTr="003366CE">
        <w:trPr>
          <w:trHeight w:val="794"/>
        </w:trPr>
        <w:tc>
          <w:tcPr>
            <w:cnfStyle w:val="001000000000" w:firstRow="0" w:lastRow="0" w:firstColumn="1" w:lastColumn="0" w:oddVBand="0" w:evenVBand="0" w:oddHBand="0" w:evenHBand="0" w:firstRowFirstColumn="0" w:firstRowLastColumn="0" w:lastRowFirstColumn="0" w:lastRowLastColumn="0"/>
            <w:tcW w:w="0" w:type="auto"/>
            <w:hideMark/>
          </w:tcPr>
          <w:p w14:paraId="025BB504" w14:textId="77777777" w:rsidR="007707AB" w:rsidRPr="00647589" w:rsidRDefault="007707AB" w:rsidP="007707AB">
            <w:pPr>
              <w:spacing w:before="0" w:after="0"/>
              <w:rPr>
                <w:rFonts w:ascii="Gill Sans MT" w:hAnsi="Gill Sans MT"/>
                <w:sz w:val="18"/>
                <w:szCs w:val="18"/>
              </w:rPr>
            </w:pPr>
            <w:r w:rsidRPr="00647589">
              <w:rPr>
                <w:rFonts w:ascii="Gill Sans MT" w:hAnsi="Gill Sans MT"/>
                <w:sz w:val="18"/>
                <w:szCs w:val="18"/>
              </w:rPr>
              <w:t>Time orientation</w:t>
            </w:r>
          </w:p>
        </w:tc>
        <w:tc>
          <w:tcPr>
            <w:tcW w:w="1353" w:type="pct"/>
            <w:hideMark/>
          </w:tcPr>
          <w:p w14:paraId="133C1A12"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Past-oriented</w:t>
            </w:r>
          </w:p>
        </w:tc>
        <w:tc>
          <w:tcPr>
            <w:tcW w:w="1353" w:type="pct"/>
            <w:hideMark/>
          </w:tcPr>
          <w:p w14:paraId="03C0E030"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Future-oriented</w:t>
            </w:r>
          </w:p>
        </w:tc>
        <w:tc>
          <w:tcPr>
            <w:tcW w:w="1353" w:type="pct"/>
            <w:hideMark/>
          </w:tcPr>
          <w:p w14:paraId="19654C09"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Future-oriented</w:t>
            </w:r>
          </w:p>
        </w:tc>
      </w:tr>
      <w:tr w:rsidR="007707AB" w:rsidRPr="00647589" w14:paraId="712E276E" w14:textId="77777777" w:rsidTr="003366CE">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72EFB636" w14:textId="77777777" w:rsidR="007707AB" w:rsidRPr="00647589" w:rsidRDefault="007707AB" w:rsidP="007707AB">
            <w:pPr>
              <w:spacing w:before="0" w:after="0" w:line="240" w:lineRule="auto"/>
              <w:rPr>
                <w:rFonts w:ascii="Gill Sans MT" w:hAnsi="Gill Sans MT"/>
              </w:rPr>
            </w:pPr>
          </w:p>
        </w:tc>
      </w:tr>
      <w:tr w:rsidR="007707AB" w:rsidRPr="00647589" w14:paraId="38A0F9F4" w14:textId="77777777" w:rsidTr="003366CE">
        <w:trPr>
          <w:trHeight w:val="794"/>
        </w:trPr>
        <w:tc>
          <w:tcPr>
            <w:cnfStyle w:val="001000000000" w:firstRow="0" w:lastRow="0" w:firstColumn="1" w:lastColumn="0" w:oddVBand="0" w:evenVBand="0" w:oddHBand="0" w:evenHBand="0" w:firstRowFirstColumn="0" w:firstRowLastColumn="0" w:lastRowFirstColumn="0" w:lastRowLastColumn="0"/>
            <w:tcW w:w="0" w:type="auto"/>
            <w:hideMark/>
          </w:tcPr>
          <w:p w14:paraId="12ABA3DF" w14:textId="77777777" w:rsidR="007707AB" w:rsidRPr="00647589" w:rsidRDefault="007707AB" w:rsidP="007707AB">
            <w:pPr>
              <w:spacing w:before="0" w:after="0"/>
              <w:rPr>
                <w:rFonts w:ascii="Gill Sans MT" w:hAnsi="Gill Sans MT"/>
              </w:rPr>
            </w:pPr>
            <w:r w:rsidRPr="00647589">
              <w:rPr>
                <w:rFonts w:ascii="Gill Sans MT" w:hAnsi="Gill Sans MT"/>
              </w:rPr>
              <w:t>Temporal stability</w:t>
            </w:r>
          </w:p>
        </w:tc>
        <w:tc>
          <w:tcPr>
            <w:tcW w:w="1353" w:type="pct"/>
            <w:hideMark/>
          </w:tcPr>
          <w:p w14:paraId="5DBA4DB2"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Stable</w:t>
            </w:r>
          </w:p>
        </w:tc>
        <w:tc>
          <w:tcPr>
            <w:tcW w:w="1353" w:type="pct"/>
            <w:hideMark/>
          </w:tcPr>
          <w:p w14:paraId="4F437B88"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Malleable</w:t>
            </w:r>
          </w:p>
        </w:tc>
        <w:tc>
          <w:tcPr>
            <w:tcW w:w="1353" w:type="pct"/>
            <w:hideMark/>
          </w:tcPr>
          <w:p w14:paraId="6AE6F063"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Malleable</w:t>
            </w:r>
          </w:p>
        </w:tc>
      </w:tr>
      <w:tr w:rsidR="007707AB" w:rsidRPr="00647589" w14:paraId="680FB775" w14:textId="77777777" w:rsidTr="003366CE">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12A1E660" w14:textId="77777777" w:rsidR="007707AB" w:rsidRPr="00647589" w:rsidRDefault="007707AB" w:rsidP="007707AB">
            <w:pPr>
              <w:spacing w:before="0" w:after="0" w:line="240" w:lineRule="auto"/>
              <w:rPr>
                <w:rFonts w:ascii="Gill Sans MT" w:hAnsi="Gill Sans MT"/>
              </w:rPr>
            </w:pPr>
          </w:p>
        </w:tc>
      </w:tr>
      <w:tr w:rsidR="007707AB" w:rsidRPr="00647589" w14:paraId="5D91D977" w14:textId="77777777" w:rsidTr="003366CE">
        <w:trPr>
          <w:trHeight w:val="784"/>
        </w:trPr>
        <w:tc>
          <w:tcPr>
            <w:cnfStyle w:val="001000000000" w:firstRow="0" w:lastRow="0" w:firstColumn="1" w:lastColumn="0" w:oddVBand="0" w:evenVBand="0" w:oddHBand="0" w:evenHBand="0" w:firstRowFirstColumn="0" w:firstRowLastColumn="0" w:lastRowFirstColumn="0" w:lastRowLastColumn="0"/>
            <w:tcW w:w="0" w:type="auto"/>
            <w:hideMark/>
          </w:tcPr>
          <w:p w14:paraId="3DFDE164" w14:textId="77777777" w:rsidR="007707AB" w:rsidRPr="00647589" w:rsidRDefault="007707AB" w:rsidP="007707AB">
            <w:pPr>
              <w:spacing w:before="0" w:after="0"/>
              <w:rPr>
                <w:rFonts w:ascii="Gill Sans MT" w:hAnsi="Gill Sans MT"/>
              </w:rPr>
            </w:pPr>
            <w:r w:rsidRPr="00647589">
              <w:rPr>
                <w:rFonts w:ascii="Gill Sans MT" w:hAnsi="Gill Sans MT"/>
              </w:rPr>
              <w:t>Predictive outcomes</w:t>
            </w:r>
          </w:p>
        </w:tc>
        <w:tc>
          <w:tcPr>
            <w:tcW w:w="1353" w:type="pct"/>
            <w:hideMark/>
          </w:tcPr>
          <w:p w14:paraId="4FBC83A8"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Motivation, emotion and performance</w:t>
            </w:r>
          </w:p>
        </w:tc>
        <w:tc>
          <w:tcPr>
            <w:tcW w:w="1353" w:type="pct"/>
            <w:hideMark/>
          </w:tcPr>
          <w:p w14:paraId="0E13A511"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Motivation, emotion, cognition and self-regulatory processes and performance</w:t>
            </w:r>
          </w:p>
        </w:tc>
        <w:tc>
          <w:tcPr>
            <w:tcW w:w="1353" w:type="pct"/>
            <w:hideMark/>
          </w:tcPr>
          <w:p w14:paraId="22B03945"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Motivation, coping, help-seeking and performance</w:t>
            </w:r>
          </w:p>
        </w:tc>
      </w:tr>
      <w:tr w:rsidR="007707AB" w:rsidRPr="00647589" w14:paraId="128DAE2F" w14:textId="77777777" w:rsidTr="003366CE">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3F509C6C" w14:textId="77777777" w:rsidR="007707AB" w:rsidRPr="00647589" w:rsidRDefault="007707AB" w:rsidP="007707AB">
            <w:pPr>
              <w:rPr>
                <w:rFonts w:ascii="Gill Sans MT" w:hAnsi="Gill Sans MT"/>
              </w:rPr>
            </w:pPr>
          </w:p>
        </w:tc>
      </w:tr>
      <w:tr w:rsidR="007707AB" w:rsidRPr="00647589" w14:paraId="5CA5B1D9" w14:textId="77777777" w:rsidTr="003366CE">
        <w:trPr>
          <w:trHeight w:val="489"/>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605FF778" w14:textId="77777777" w:rsidR="007707AB" w:rsidRPr="00647589" w:rsidRDefault="007707AB" w:rsidP="007707AB">
            <w:pPr>
              <w:spacing w:before="0" w:after="0" w:line="276" w:lineRule="auto"/>
              <w:jc w:val="right"/>
              <w:rPr>
                <w:rFonts w:ascii="Gill Sans MT" w:hAnsi="Gill Sans MT"/>
                <w:b w:val="0"/>
              </w:rPr>
            </w:pPr>
            <w:r w:rsidRPr="00647589">
              <w:rPr>
                <w:rFonts w:ascii="Gill Sans MT" w:hAnsi="Gill Sans MT"/>
                <w:b w:val="0"/>
              </w:rPr>
              <w:t> (Sander &amp; Sanders, 2006a, Table 1, p36; adapted from Bong &amp; Skaalvik, 2003)</w:t>
            </w:r>
          </w:p>
        </w:tc>
      </w:tr>
    </w:tbl>
    <w:p w14:paraId="5BA4CA51" w14:textId="23137D96" w:rsidR="007707AB" w:rsidRDefault="007707AB" w:rsidP="007707AB">
      <w:pPr>
        <w:pStyle w:val="Tables"/>
      </w:pPr>
      <w:bookmarkStart w:id="99" w:name="_Toc9796156"/>
      <w:bookmarkStart w:id="100" w:name="_Toc9796234"/>
      <w:bookmarkStart w:id="101" w:name="_Toc57033180"/>
      <w:r>
        <w:t>Table 1:</w:t>
      </w:r>
      <w:r w:rsidR="00CC5358">
        <w:tab/>
      </w:r>
      <w:r>
        <w:t>Dimensions and components of academic self-concept, academic self-efficacy and Academic Behavioural Confidence.</w:t>
      </w:r>
      <w:bookmarkEnd w:id="99"/>
      <w:bookmarkEnd w:id="100"/>
      <w:bookmarkEnd w:id="101"/>
    </w:p>
    <w:p w14:paraId="5BF26243" w14:textId="77777777" w:rsidR="007707AB" w:rsidRPr="00CC17F7" w:rsidRDefault="007707AB" w:rsidP="007707AB">
      <w:r w:rsidRPr="00D36FFF">
        <w:t>This comparison of dimensions demonstrates a cascade relationship between academic self-concept, academic self-efficacy and academic behavioural confidence. For example</w:t>
      </w:r>
      <w:r>
        <w:t>,</w:t>
      </w:r>
      <w:r w:rsidRPr="00D36FFF">
        <w:t xml:space="preserve"> where academic self-concept can be thought of as how an individual holds self-knowledge and self-perceptions in broad, academic outcome-d</w:t>
      </w:r>
      <w:r>
        <w:t>riven situations, such as</w:t>
      </w:r>
      <w:r w:rsidRPr="00D36FFF">
        <w:t xml:space="preserve"> studying at university - within this will be held beliefs about performance in a particular academic task at a specified level - say, constructing a final-year dissertation - in order to accomplish this academic outcome, levels of confidence in engaging in the academic activities necessary to accomplish the task are functions of those academic activities. In a dissertation task</w:t>
      </w:r>
      <w:r>
        <w:t>,</w:t>
      </w:r>
      <w:r w:rsidRPr="00D36FFF">
        <w:t xml:space="preserve"> this may be a student's level of confidence about how likely they are to </w:t>
      </w:r>
      <w:r w:rsidRPr="00D36FFF">
        <w:lastRenderedPageBreak/>
        <w:t>be able to work out how to construct their primary argument without recourse to tutorial assistance.</w:t>
      </w:r>
    </w:p>
    <w:p w14:paraId="7CB08033" w14:textId="2096AE77" w:rsidR="007707AB" w:rsidRPr="00474F0B" w:rsidRDefault="00474F0B" w:rsidP="007707AB">
      <w:pPr>
        <w:pStyle w:val="Heading4"/>
      </w:pPr>
      <w:r>
        <w:t xml:space="preserve">2. </w:t>
      </w:r>
      <w:r w:rsidR="007707AB" w:rsidRPr="00474F0B">
        <w:t>Recent research using the ABC Scale</w:t>
      </w:r>
    </w:p>
    <w:p w14:paraId="355530A5" w14:textId="77777777" w:rsidR="002D76D9" w:rsidRDefault="007707AB" w:rsidP="007707AB">
      <w:pPr>
        <w:rPr>
          <w:bCs/>
        </w:rPr>
      </w:pPr>
      <w:r w:rsidRPr="00E27461">
        <w:rPr>
          <w:bCs/>
        </w:rPr>
        <w:t>Since Sander's re-launch of his Academic Confidence Scale as the Academic Behavioural Confidence (ABC) Scale (</w:t>
      </w:r>
      <w:r>
        <w:rPr>
          <w:bCs/>
        </w:rPr>
        <w:t>Sander &amp; Sanders</w:t>
      </w:r>
      <w:r w:rsidRPr="00E27461">
        <w:rPr>
          <w:bCs/>
        </w:rPr>
        <w:t>, 2006a) to date, 25 studies have been found which use the ABC Scale</w:t>
      </w:r>
      <w:r>
        <w:rPr>
          <w:bCs/>
        </w:rPr>
        <w:t xml:space="preserve">, all conducted with participants in HE. Although ranging quite widely in their foci, all were concerned with using ABC as an evaluator of pre- post- interventions in academic enhancement or engagement programmes, for example, using the metric to assess the effectiveness of new approaches to teaching (Keinhuis et al., 2011; Keinhuis et al., 2013; Nicholson et al, 2013); or to evaluate initiatives such as peer- and other mentoring schemes (Chester et al., 2010; Miller 2015); or using new technology (pod-casts or other online learning devices) as a teaching-and-learning artefact, finding that students who widely used these demonstrated slightly elevated academic self-efficacy; or were interested in exploring specific aspects of students’ approaches to their studies - for example, to demonstrate the unpreparedness of access students for wider university programmes (Hlalele, 2010); or finding greater study resilience amongst older students in comparison to their younger peers (McLafferty &amp; McCauley, 2012) or how academic ‘grit’ (resilience) positively contributes to academic achievement (DeCandia, 2014). </w:t>
      </w:r>
      <w:r w:rsidRPr="000A6C1E">
        <w:rPr>
          <w:bCs/>
        </w:rPr>
        <w:t xml:space="preserve">Sanders, Daly </w:t>
      </w:r>
      <w:r>
        <w:rPr>
          <w:bCs/>
        </w:rPr>
        <w:t>and</w:t>
      </w:r>
      <w:r w:rsidRPr="000A6C1E">
        <w:rPr>
          <w:bCs/>
        </w:rPr>
        <w:t xml:space="preserve"> Fitzgerald (2016) used the ABC Scale to explore foundation year students' expectations of the</w:t>
      </w:r>
      <w:r>
        <w:rPr>
          <w:bCs/>
        </w:rPr>
        <w:t>ir</w:t>
      </w:r>
      <w:r w:rsidRPr="000A6C1E">
        <w:rPr>
          <w:bCs/>
        </w:rPr>
        <w:t xml:space="preserve"> academic performance and achievement specifically to determine whether the levels of academic behavioural confidence might forecast attrition and hence be an early indicator of the need for learning development interventions.</w:t>
      </w:r>
      <w:r>
        <w:rPr>
          <w:bCs/>
        </w:rPr>
        <w:t xml:space="preserve"> Findings showed that low scores on the ABC subscales, ‘attendance’ and ‘grades’ were good predictors of subsequent likely learning difficulties, with another study demonstrating that </w:t>
      </w:r>
      <w:r w:rsidRPr="000A6C1E">
        <w:rPr>
          <w:bCs/>
        </w:rPr>
        <w:t xml:space="preserve">starting a learning course with a realistic expectation of a successful outcome is more likely to lead to a successful outcome </w:t>
      </w:r>
      <w:r>
        <w:rPr>
          <w:bCs/>
        </w:rPr>
        <w:t>(</w:t>
      </w:r>
      <w:r w:rsidRPr="000A6C1E">
        <w:rPr>
          <w:bCs/>
        </w:rPr>
        <w:t xml:space="preserve">Sanders, Mair </w:t>
      </w:r>
      <w:r>
        <w:rPr>
          <w:bCs/>
        </w:rPr>
        <w:t>&amp;</w:t>
      </w:r>
      <w:r w:rsidRPr="000A6C1E">
        <w:rPr>
          <w:bCs/>
        </w:rPr>
        <w:t xml:space="preserve"> Racheal</w:t>
      </w:r>
      <w:r>
        <w:rPr>
          <w:bCs/>
        </w:rPr>
        <w:t xml:space="preserve">, </w:t>
      </w:r>
      <w:r w:rsidRPr="000A6C1E">
        <w:rPr>
          <w:bCs/>
        </w:rPr>
        <w:t>2016</w:t>
      </w:r>
      <w:r>
        <w:rPr>
          <w:bCs/>
        </w:rPr>
        <w:t>).</w:t>
      </w:r>
    </w:p>
    <w:p w14:paraId="1D764FE3" w14:textId="711E5FFC" w:rsidR="00EB68CC" w:rsidRDefault="007707AB" w:rsidP="007707AB">
      <w:pPr>
        <w:rPr>
          <w:bCs/>
        </w:rPr>
      </w:pPr>
      <w:r>
        <w:rPr>
          <w:bCs/>
        </w:rPr>
        <w:t xml:space="preserve">Other studies used ABC to set baseline measures (Hlalele, 2012) or as a profiling tool (Sander et al., 2014) for developing targeted learning development initiatives; or explored transience in students’ academic confidence as they progress through their studies at university, where one study showed those with high levels of ABC over-predicted their final grades, suggesting that guidance to ‘re-calibrate’ academic confidence levels should be offered to students as they develop their study skills and gain academic experience (Wesson &amp; Derre-Rendall, 2011). Another study also demonstrated how students’ ABC were malleable, showing that students who developed higher levels of ABC as their studies progressed gained better final grades, as did those whose academic expectations were focused and realistic (Putwain et al., 2013), with a further study showing that students’ </w:t>
      </w:r>
      <w:r>
        <w:rPr>
          <w:bCs/>
        </w:rPr>
        <w:lastRenderedPageBreak/>
        <w:t>confidence declines during the first year of study due to unrealistic expectations about the academic challenges of their courses. However, by using a system of ‘achievement goal profiling’, students could be guided towards ‘mastery’ goals by developing their academic competence in study-related cognitions and behaviours such as effort, persistence, help-seeking, and planning, compared to settling on ‘performance’ goals, which relied on (academic) comparisons with peers. This demonstrated that early decline in academic confidence could be ameliorated with such interventions.</w:t>
      </w:r>
    </w:p>
    <w:p w14:paraId="036D318A" w14:textId="77777777" w:rsidR="002D76D9" w:rsidRDefault="007707AB" w:rsidP="007707AB">
      <w:pPr>
        <w:rPr>
          <w:bCs/>
        </w:rPr>
      </w:pPr>
      <w:r>
        <w:rPr>
          <w:bCs/>
        </w:rPr>
        <w:t>A significant, further study</w:t>
      </w:r>
      <w:r w:rsidRPr="00E879BE">
        <w:rPr>
          <w:bCs/>
        </w:rPr>
        <w:t xml:space="preserve"> (n=2429) reiterated Bandura's (2008) argument that there is a bidirectional relationship between [academic] self-efficacy and [academic] performance</w:t>
      </w:r>
      <w:r>
        <w:rPr>
          <w:bCs/>
        </w:rPr>
        <w:t xml:space="preserve"> </w:t>
      </w:r>
      <w:r w:rsidRPr="00E879BE">
        <w:rPr>
          <w:bCs/>
        </w:rPr>
        <w:t xml:space="preserve">(de la Fuente, </w:t>
      </w:r>
      <w:r>
        <w:rPr>
          <w:bCs/>
        </w:rPr>
        <w:t>et al.</w:t>
      </w:r>
      <w:r w:rsidRPr="00E879BE">
        <w:rPr>
          <w:bCs/>
        </w:rPr>
        <w:t>, 2013),</w:t>
      </w:r>
      <w:r>
        <w:rPr>
          <w:bCs/>
        </w:rPr>
        <w:t xml:space="preserve"> finding</w:t>
      </w:r>
      <w:r w:rsidRPr="00E879BE">
        <w:rPr>
          <w:bCs/>
        </w:rPr>
        <w:t xml:space="preserve"> that academic performance influences academic self-efficacy through mastery experience</w:t>
      </w:r>
      <w:r>
        <w:rPr>
          <w:bCs/>
        </w:rPr>
        <w:t>,</w:t>
      </w:r>
      <w:r w:rsidRPr="00E879BE">
        <w:rPr>
          <w:bCs/>
        </w:rPr>
        <w:t xml:space="preserve"> and that students with high levels </w:t>
      </w:r>
      <w:r>
        <w:rPr>
          <w:bCs/>
        </w:rPr>
        <w:t xml:space="preserve">of </w:t>
      </w:r>
      <w:r w:rsidRPr="00E879BE">
        <w:rPr>
          <w:bCs/>
        </w:rPr>
        <w:t xml:space="preserve">self-efficacy tend to perform better. The study's outcome </w:t>
      </w:r>
      <w:r>
        <w:rPr>
          <w:bCs/>
        </w:rPr>
        <w:t xml:space="preserve">further </w:t>
      </w:r>
      <w:r w:rsidRPr="00E879BE">
        <w:rPr>
          <w:bCs/>
        </w:rPr>
        <w:t>concluded that academic confidence, as one aspect of academic self-efficacy, can be a realistic predictor of academic performance</w:t>
      </w:r>
      <w:r>
        <w:rPr>
          <w:bCs/>
        </w:rPr>
        <w:t>,</w:t>
      </w:r>
      <w:r w:rsidRPr="00E879BE">
        <w:rPr>
          <w:bCs/>
        </w:rPr>
        <w:t xml:space="preserve"> although added that it is not the only predictor with other factors, notably prior achievement, having a significant effect. </w:t>
      </w:r>
      <w:r>
        <w:rPr>
          <w:bCs/>
        </w:rPr>
        <w:t xml:space="preserve">In the same vein, a later study was </w:t>
      </w:r>
      <w:r w:rsidRPr="00A93813">
        <w:rPr>
          <w:bCs/>
        </w:rPr>
        <w:t>grounded in trying to understand which student learning factors might influence teaching and learning parameters so that ways to enhance student academic performance might be suggested</w:t>
      </w:r>
      <w:r>
        <w:rPr>
          <w:bCs/>
        </w:rPr>
        <w:t xml:space="preserve"> </w:t>
      </w:r>
      <w:r w:rsidRPr="00A93813">
        <w:rPr>
          <w:bCs/>
        </w:rPr>
        <w:t>(Sander, Putwain &amp; de la Fuente, 2014)</w:t>
      </w:r>
      <w:r>
        <w:rPr>
          <w:bCs/>
        </w:rPr>
        <w:t>.</w:t>
      </w:r>
    </w:p>
    <w:p w14:paraId="155B99D1" w14:textId="2120D3E1" w:rsidR="00EB68CC" w:rsidRDefault="007707AB" w:rsidP="007707AB">
      <w:pPr>
        <w:rPr>
          <w:bCs/>
        </w:rPr>
      </w:pPr>
      <w:r>
        <w:rPr>
          <w:bCs/>
        </w:rPr>
        <w:t>Findings suggested that although academic confidence was an important factor, it was amongst others such as [academic] expectations, emotional stability, and the ‘person-environment fit’</w:t>
      </w:r>
      <w:r w:rsidRPr="00A93813">
        <w:rPr>
          <w:bCs/>
        </w:rPr>
        <w:t xml:space="preserve">. </w:t>
      </w:r>
      <w:r>
        <w:rPr>
          <w:bCs/>
        </w:rPr>
        <w:t>I</w:t>
      </w:r>
      <w:r w:rsidRPr="00A93813">
        <w:rPr>
          <w:bCs/>
        </w:rPr>
        <w:t>nterpretation of the meaning of academic confidence was that it is an academic self-efficacy measure that assesses more general academic capabilities through exploration of behaviours in academic learning management and study-skill competencies, rather than a more specific</w:t>
      </w:r>
      <w:r>
        <w:rPr>
          <w:bCs/>
        </w:rPr>
        <w:t>.</w:t>
      </w:r>
      <w:r w:rsidRPr="00A93813">
        <w:rPr>
          <w:bCs/>
        </w:rPr>
        <w:t xml:space="preserve"> self-efficacy measure which might attempt to gauge confidence</w:t>
      </w:r>
      <w:r>
        <w:rPr>
          <w:bCs/>
        </w:rPr>
        <w:t xml:space="preserve"> to achieve a particular grade</w:t>
      </w:r>
      <w:r w:rsidRPr="00A93813">
        <w:rPr>
          <w:bCs/>
        </w:rPr>
        <w:t xml:space="preserve"> target or other clearly defined academic achievement criteria</w:t>
      </w:r>
      <w:r>
        <w:rPr>
          <w:bCs/>
        </w:rPr>
        <w:t xml:space="preserve">. Hence, </w:t>
      </w:r>
      <w:r w:rsidRPr="00A93813">
        <w:rPr>
          <w:bCs/>
        </w:rPr>
        <w:t xml:space="preserve">that academic confidence, when operationalized as Academic Behavioural Confidence, should be considered more as a multi-dimensional construct rather than as a uni-dimensional one. </w:t>
      </w:r>
      <w:r>
        <w:rPr>
          <w:bCs/>
        </w:rPr>
        <w:t>A</w:t>
      </w:r>
      <w:r w:rsidRPr="00A93813">
        <w:rPr>
          <w:bCs/>
        </w:rPr>
        <w:t xml:space="preserve"> recognition of the multi-facetedness of the processes that are mutually interacting in teaching and learning spaces were strongly advocated</w:t>
      </w:r>
      <w:r>
        <w:rPr>
          <w:bCs/>
        </w:rPr>
        <w:t>, n</w:t>
      </w:r>
      <w:r w:rsidRPr="00A93813">
        <w:rPr>
          <w:bCs/>
        </w:rPr>
        <w:t xml:space="preserve">otably, these were the relationships between student self-regulated learning processes and those which are external and regulatory as part of the construction of teaching. </w:t>
      </w:r>
      <w:r>
        <w:rPr>
          <w:bCs/>
        </w:rPr>
        <w:t>It was thus argued that ABC is a useful</w:t>
      </w:r>
      <w:r w:rsidRPr="00A93813">
        <w:rPr>
          <w:bCs/>
        </w:rPr>
        <w:t xml:space="preserve"> metric for profiling individual learners so that individualized and highly targeted learning development interventions can be designed in response to specific scale-item responses in the ABC Scale.</w:t>
      </w:r>
    </w:p>
    <w:p w14:paraId="1A3318E5" w14:textId="442D351E" w:rsidR="007707AB" w:rsidRDefault="007707AB" w:rsidP="007707AB">
      <w:pPr>
        <w:rPr>
          <w:bCs/>
        </w:rPr>
      </w:pPr>
      <w:r>
        <w:rPr>
          <w:bCs/>
        </w:rPr>
        <w:t xml:space="preserve">A related study had </w:t>
      </w:r>
      <w:r w:rsidRPr="008E726C">
        <w:rPr>
          <w:bCs/>
        </w:rPr>
        <w:t>explor</w:t>
      </w:r>
      <w:r>
        <w:rPr>
          <w:bCs/>
        </w:rPr>
        <w:t>ed</w:t>
      </w:r>
      <w:r w:rsidRPr="008E726C">
        <w:rPr>
          <w:bCs/>
        </w:rPr>
        <w:t xml:space="preserve"> confidence in study-related skills and behaviours </w:t>
      </w:r>
      <w:r>
        <w:rPr>
          <w:bCs/>
        </w:rPr>
        <w:t xml:space="preserve">amongst </w:t>
      </w:r>
      <w:r w:rsidRPr="008E726C">
        <w:rPr>
          <w:bCs/>
        </w:rPr>
        <w:t xml:space="preserve">undergraduates (n=206), </w:t>
      </w:r>
      <w:r>
        <w:rPr>
          <w:bCs/>
        </w:rPr>
        <w:t>aiming</w:t>
      </w:r>
      <w:r w:rsidRPr="008E726C">
        <w:rPr>
          <w:bCs/>
        </w:rPr>
        <w:t xml:space="preserve"> to relate levels of A</w:t>
      </w:r>
      <w:r>
        <w:rPr>
          <w:bCs/>
        </w:rPr>
        <w:t>BC</w:t>
      </w:r>
      <w:r w:rsidRPr="008E726C">
        <w:rPr>
          <w:bCs/>
        </w:rPr>
        <w:t xml:space="preserve"> to academic achievement</w:t>
      </w:r>
      <w:r>
        <w:rPr>
          <w:bCs/>
        </w:rPr>
        <w:t xml:space="preserve"> </w:t>
      </w:r>
      <w:r>
        <w:rPr>
          <w:bCs/>
        </w:rPr>
        <w:lastRenderedPageBreak/>
        <w:t>(Putwain et al., 2013)</w:t>
      </w:r>
      <w:r w:rsidRPr="008E726C">
        <w:rPr>
          <w:bCs/>
        </w:rPr>
        <w:t xml:space="preserve">. </w:t>
      </w:r>
      <w:r>
        <w:rPr>
          <w:bCs/>
        </w:rPr>
        <w:t>It was found</w:t>
      </w:r>
      <w:r w:rsidRPr="008E726C">
        <w:rPr>
          <w:bCs/>
        </w:rPr>
        <w:t xml:space="preserve"> that academic self-efficacy can be usefully assessed by gauging self-efficacy in self-regulated learning - which is the principle concern of the ABC metric - and that this is then a good predictor of future academic performance. This study also highlighted the value of information derived from the ABC subscales as a means to hone analysis conclusions more specifically. </w:t>
      </w:r>
      <w:r>
        <w:rPr>
          <w:bCs/>
        </w:rPr>
        <w:t>For example, findings</w:t>
      </w:r>
      <w:r w:rsidRPr="008E726C">
        <w:rPr>
          <w:bCs/>
        </w:rPr>
        <w:t xml:space="preserve"> showed that levels of students' readiness to engage in the various kinds of study-related skills and behaviours which are required on their courses and which are assessed by the subscales, were strong predictors of their subsequent academic success at the end of their first year. </w:t>
      </w:r>
      <w:r>
        <w:rPr>
          <w:bCs/>
        </w:rPr>
        <w:t>It was also argued that</w:t>
      </w:r>
      <w:r w:rsidRPr="008E726C">
        <w:rPr>
          <w:bCs/>
        </w:rPr>
        <w:t xml:space="preserve"> </w:t>
      </w:r>
      <w:r>
        <w:rPr>
          <w:bCs/>
        </w:rPr>
        <w:t xml:space="preserve">academic learning management </w:t>
      </w:r>
      <w:r w:rsidRPr="008E726C">
        <w:rPr>
          <w:bCs/>
        </w:rPr>
        <w:t xml:space="preserve">information gained about new undergraduates could be useful for designing learning development initiatives that focus on developing perceptions of their own abilities </w:t>
      </w:r>
      <w:r>
        <w:rPr>
          <w:bCs/>
        </w:rPr>
        <w:t>for</w:t>
      </w:r>
      <w:r w:rsidRPr="008E726C">
        <w:rPr>
          <w:bCs/>
        </w:rPr>
        <w:t xml:space="preserve"> grounding them at more realistic levels at the beginning of their courses</w:t>
      </w:r>
      <w:r>
        <w:rPr>
          <w:bCs/>
        </w:rPr>
        <w:t>, supporting other studies’ findings (above).</w:t>
      </w:r>
    </w:p>
    <w:p w14:paraId="45EC5B5B" w14:textId="77777777" w:rsidR="002D76D9" w:rsidRDefault="007707AB" w:rsidP="007707AB">
      <w:pPr>
        <w:rPr>
          <w:bCs/>
        </w:rPr>
      </w:pPr>
      <w:r w:rsidRPr="00436C21">
        <w:rPr>
          <w:bCs/>
        </w:rPr>
        <w:t>The summary of literature so far demonstrates the increasing interest in academic behavioural confidence as a construct worthy of research in tertiary learning contexts. The design rationale of the A</w:t>
      </w:r>
      <w:r>
        <w:rPr>
          <w:bCs/>
        </w:rPr>
        <w:t xml:space="preserve">BC </w:t>
      </w:r>
      <w:r w:rsidRPr="00436C21">
        <w:rPr>
          <w:bCs/>
        </w:rPr>
        <w:t>Scale as an evaluator of student study behaviours is rooted in a strong theoretical background stemming from Bandura's widely accepted Social Cognitive Theory and the metric add</w:t>
      </w:r>
      <w:r>
        <w:rPr>
          <w:bCs/>
        </w:rPr>
        <w:t>s</w:t>
      </w:r>
      <w:r w:rsidRPr="00436C21">
        <w:rPr>
          <w:bCs/>
        </w:rPr>
        <w:t xml:space="preserve"> to a body of research in support of measuring academic confidence to find out more about how non-cognitive learning parameters impact on student learning effectiveness</w:t>
      </w:r>
      <w:r>
        <w:rPr>
          <w:bCs/>
        </w:rPr>
        <w:t>,</w:t>
      </w:r>
      <w:r w:rsidRPr="00436C21">
        <w:rPr>
          <w:bCs/>
        </w:rPr>
        <w:t xml:space="preserve"> and ultimately, their academic achievements at university. Such was the premise that underpinned a substantial meta-analysis (Braithwaite &amp; Corr, 2016) which drew its research rationale from the work </w:t>
      </w:r>
      <w:r>
        <w:rPr>
          <w:bCs/>
        </w:rPr>
        <w:t>of</w:t>
      </w:r>
      <w:r w:rsidRPr="00436C21">
        <w:rPr>
          <w:bCs/>
        </w:rPr>
        <w:t xml:space="preserve"> Eysenck.</w:t>
      </w:r>
    </w:p>
    <w:p w14:paraId="321174D1" w14:textId="77777777" w:rsidR="002D76D9" w:rsidRDefault="007707AB" w:rsidP="007707AB">
      <w:pPr>
        <w:rPr>
          <w:bCs/>
        </w:rPr>
      </w:pPr>
      <w:r w:rsidRPr="00436C21">
        <w:rPr>
          <w:bCs/>
        </w:rPr>
        <w:t xml:space="preserve"> Although principally a personality theorist, Eysenck also wrote on the relationships between personality and learning, indicating an emphasis for empirical, experimental studies of the effectiveness of education design and pedagogy, that is, how learners' personalities might influence their reactions to specific methods of teaching and the learning environment, and hence how this might impact on their academic attainments (e</w:t>
      </w:r>
      <w:r>
        <w:rPr>
          <w:bCs/>
        </w:rPr>
        <w:t>.</w:t>
      </w:r>
      <w:r w:rsidRPr="00436C21">
        <w:rPr>
          <w:bCs/>
        </w:rPr>
        <w:t>g</w:t>
      </w:r>
      <w:r>
        <w:rPr>
          <w:bCs/>
        </w:rPr>
        <w:t>.</w:t>
      </w:r>
      <w:r w:rsidRPr="00436C21">
        <w:rPr>
          <w:bCs/>
        </w:rPr>
        <w:t xml:space="preserve">: Eysenck, 1996). Brathwaite </w:t>
      </w:r>
      <w:r>
        <w:rPr>
          <w:bCs/>
        </w:rPr>
        <w:t>and</w:t>
      </w:r>
      <w:r w:rsidRPr="00436C21">
        <w:rPr>
          <w:bCs/>
        </w:rPr>
        <w:t xml:space="preserve"> Corr's meta-analysis looked at 47 studies (n</w:t>
      </w:r>
      <w:r w:rsidRPr="00753C79">
        <w:rPr>
          <w:bCs/>
          <w:vertAlign w:val="subscript"/>
        </w:rPr>
        <w:t>total</w:t>
      </w:r>
      <w:r w:rsidRPr="00436C21">
        <w:rPr>
          <w:bCs/>
        </w:rPr>
        <w:t xml:space="preserve"> = 5771) that were all interested in testing methods of enhancing university student self-efficacy and self-confidence attributes as a means to influence a range of academic outcomes. Whilst it must be recognized that the process of combining data from multiple studies has the advantage of creating a much larger datapool, a cautious approach must be adopted to ensure that the parameters being explored in the combined data are as close as possible to those originally measured in each individual study. Ignoring this, not least because studies are rarely exact replications of each other, runs the risk of introducing bias and reducing the credibility of the</w:t>
      </w:r>
      <w:r>
        <w:rPr>
          <w:bCs/>
        </w:rPr>
        <w:t xml:space="preserve"> </w:t>
      </w:r>
      <w:r w:rsidRPr="00436C21">
        <w:rPr>
          <w:bCs/>
        </w:rPr>
        <w:t xml:space="preserve">outcome (Egger </w:t>
      </w:r>
      <w:r>
        <w:rPr>
          <w:bCs/>
        </w:rPr>
        <w:t>et al.</w:t>
      </w:r>
      <w:r w:rsidRPr="00436C21">
        <w:rPr>
          <w:bCs/>
        </w:rPr>
        <w:t>, 1997</w:t>
      </w:r>
      <w:r>
        <w:rPr>
          <w:bCs/>
        </w:rPr>
        <w:t>;</w:t>
      </w:r>
      <w:r w:rsidRPr="00436C21">
        <w:rPr>
          <w:bCs/>
        </w:rPr>
        <w:t xml:space="preserve"> Card, 2015).</w:t>
      </w:r>
    </w:p>
    <w:p w14:paraId="354EC01D" w14:textId="2BB3F6D8" w:rsidR="007707AB" w:rsidRDefault="007707AB" w:rsidP="007707AB">
      <w:pPr>
        <w:rPr>
          <w:bCs/>
        </w:rPr>
      </w:pPr>
      <w:r w:rsidRPr="00436C21">
        <w:rPr>
          <w:bCs/>
        </w:rPr>
        <w:lastRenderedPageBreak/>
        <w:t xml:space="preserve">Notwithstanding this, the meta-analysis reported small to moderate but statistically significant positive effect sizes across all of the domain outcomes examined, </w:t>
      </w:r>
      <w:r>
        <w:rPr>
          <w:bCs/>
        </w:rPr>
        <w:t>notably</w:t>
      </w:r>
      <w:r w:rsidRPr="00436C21">
        <w:rPr>
          <w:bCs/>
        </w:rPr>
        <w:t xml:space="preserve"> in respect of supporting the usefulness of the ABC Scale a significant positive correlation was identified between ABC score and final degree outcome. This was consistent with a much earlier meta-analysis of 39 studies (Multon </w:t>
      </w:r>
      <w:r>
        <w:rPr>
          <w:bCs/>
        </w:rPr>
        <w:t>et al.</w:t>
      </w:r>
      <w:r w:rsidRPr="00436C21">
        <w:rPr>
          <w:bCs/>
        </w:rPr>
        <w:t>,</w:t>
      </w:r>
      <w:r>
        <w:rPr>
          <w:bCs/>
        </w:rPr>
        <w:t xml:space="preserve"> </w:t>
      </w:r>
      <w:r w:rsidRPr="00436C21">
        <w:rPr>
          <w:bCs/>
        </w:rPr>
        <w:t>1991)</w:t>
      </w:r>
      <w:r>
        <w:rPr>
          <w:bCs/>
        </w:rPr>
        <w:t>,</w:t>
      </w:r>
      <w:r w:rsidRPr="00436C21">
        <w:rPr>
          <w:bCs/>
        </w:rPr>
        <w:t xml:space="preserve"> which found a statistically significant relationship between self-efficacy and academic performance</w:t>
      </w:r>
      <w:r>
        <w:rPr>
          <w:bCs/>
        </w:rPr>
        <w:t>,</w:t>
      </w:r>
      <w:r w:rsidRPr="00436C21">
        <w:rPr>
          <w:bCs/>
        </w:rPr>
        <w:t xml:space="preserve"> although in citing this earlier study, Br</w:t>
      </w:r>
      <w:r>
        <w:rPr>
          <w:bCs/>
        </w:rPr>
        <w:t>ai</w:t>
      </w:r>
      <w:r w:rsidRPr="00436C21">
        <w:rPr>
          <w:bCs/>
        </w:rPr>
        <w:t xml:space="preserve">thwaite </w:t>
      </w:r>
      <w:r>
        <w:rPr>
          <w:bCs/>
        </w:rPr>
        <w:t>and</w:t>
      </w:r>
      <w:r w:rsidRPr="00436C21">
        <w:rPr>
          <w:bCs/>
        </w:rPr>
        <w:t xml:space="preserve"> Corr indicated that because Multon</w:t>
      </w:r>
      <w:r>
        <w:rPr>
          <w:bCs/>
        </w:rPr>
        <w:t xml:space="preserve"> and colleagues</w:t>
      </w:r>
      <w:r w:rsidRPr="00436C21">
        <w:rPr>
          <w:bCs/>
        </w:rPr>
        <w:t xml:space="preserve"> had </w:t>
      </w:r>
      <w:r>
        <w:rPr>
          <w:bCs/>
        </w:rPr>
        <w:t>included</w:t>
      </w:r>
      <w:r w:rsidRPr="00436C21">
        <w:rPr>
          <w:bCs/>
        </w:rPr>
        <w:t xml:space="preserve"> results from some non-experimental (observational) studies on learning development interventions designed to enhance student self-evaluation processes to impact on a range of university-outcome-capabilities, caution should be adopted in drawing too much </w:t>
      </w:r>
      <w:r>
        <w:rPr>
          <w:bCs/>
        </w:rPr>
        <w:t xml:space="preserve">from </w:t>
      </w:r>
      <w:r w:rsidRPr="00436C21">
        <w:rPr>
          <w:bCs/>
        </w:rPr>
        <w:t xml:space="preserve">the </w:t>
      </w:r>
      <w:r>
        <w:rPr>
          <w:bCs/>
        </w:rPr>
        <w:t>findings</w:t>
      </w:r>
      <w:r w:rsidRPr="00436C21">
        <w:rPr>
          <w:bCs/>
        </w:rPr>
        <w:t>. However</w:t>
      </w:r>
      <w:r>
        <w:rPr>
          <w:bCs/>
        </w:rPr>
        <w:t>,</w:t>
      </w:r>
      <w:r w:rsidRPr="00436C21">
        <w:rPr>
          <w:bCs/>
        </w:rPr>
        <w:t xml:space="preserve"> the significance of both of these meta-analyses, caution accepted, is the emergence of evidence that indicates that student learning behaviours, includ</w:t>
      </w:r>
      <w:r>
        <w:rPr>
          <w:bCs/>
        </w:rPr>
        <w:t>ing</w:t>
      </w:r>
      <w:r w:rsidRPr="00436C21">
        <w:rPr>
          <w:bCs/>
        </w:rPr>
        <w:t xml:space="preserve"> academic learning management activities, are additional to absolute ability in influencing academic outcomes at university.</w:t>
      </w:r>
    </w:p>
    <w:p w14:paraId="62CFD881" w14:textId="77777777" w:rsidR="002D76D9" w:rsidRDefault="007707AB" w:rsidP="007707AB">
      <w:pPr>
        <w:rPr>
          <w:bCs/>
        </w:rPr>
      </w:pPr>
      <w:r>
        <w:rPr>
          <w:bCs/>
        </w:rPr>
        <w:t xml:space="preserve">Finally, </w:t>
      </w:r>
      <w:r w:rsidRPr="00A31AC4">
        <w:rPr>
          <w:bCs/>
        </w:rPr>
        <w:t>recent use of the A</w:t>
      </w:r>
      <w:r>
        <w:rPr>
          <w:bCs/>
        </w:rPr>
        <w:t xml:space="preserve">BC </w:t>
      </w:r>
      <w:r w:rsidRPr="00A31AC4">
        <w:rPr>
          <w:bCs/>
        </w:rPr>
        <w:t>Scale took an unusual approach by exploring levels of academic confidence, operationalized through measuring Academic Behavioural Confidence, in relation to past academic experience (Hill, 2017). This enquiry conceptualized prior academic experience as 'academic sustenance' and the research aim was to establish that (current) academic confidence is a function of academic sustenance which Hill determined in her study of Australian undergraduates (n=255) is comprised of 4 factors: encouragement, drive, grounding, and efficacy. Central to Hill's enquiry was advocacy of the increasing importance of understanding more about how</w:t>
      </w:r>
      <w:r>
        <w:rPr>
          <w:bCs/>
        </w:rPr>
        <w:t xml:space="preserve"> university </w:t>
      </w:r>
      <w:r w:rsidRPr="00A31AC4">
        <w:rPr>
          <w:bCs/>
        </w:rPr>
        <w:t xml:space="preserve"> students approach their studies, citing such research areas as motivation and self-efficacy as key elements of successful learning approaches, also arguing for a greater focus to be placed in institutions on more pro-actively developing academic competencies such as critical thinking abilities and multiple timeline academic learning management skills.</w:t>
      </w:r>
    </w:p>
    <w:p w14:paraId="292CF7D8" w14:textId="4499FEC6" w:rsidR="007707AB" w:rsidRDefault="007707AB" w:rsidP="007707AB">
      <w:pPr>
        <w:rPr>
          <w:bCs/>
        </w:rPr>
      </w:pPr>
      <w:r w:rsidRPr="00A31AC4">
        <w:rPr>
          <w:bCs/>
        </w:rPr>
        <w:t>Aside from this ethos resonating significantly with the research project reported in this thesis, Hill's use of the ABC Scale</w:t>
      </w:r>
      <w:r>
        <w:rPr>
          <w:bCs/>
        </w:rPr>
        <w:t xml:space="preserve"> </w:t>
      </w:r>
      <w:r w:rsidRPr="00A31AC4">
        <w:rPr>
          <w:bCs/>
        </w:rPr>
        <w:t xml:space="preserve">is the only one found to date where a study-specific principal component analysis was conducted on the results generated from the application of Sander </w:t>
      </w:r>
      <w:r>
        <w:rPr>
          <w:bCs/>
        </w:rPr>
        <w:t>and</w:t>
      </w:r>
      <w:r w:rsidRPr="00A31AC4">
        <w:rPr>
          <w:bCs/>
        </w:rPr>
        <w:t xml:space="preserve"> Sanders' complete, ABC Scale to the participant cohort, rather than adopting the existing and by now, widely used 4-factor subscales generated from Sander </w:t>
      </w:r>
      <w:r>
        <w:rPr>
          <w:bCs/>
        </w:rPr>
        <w:t>and</w:t>
      </w:r>
      <w:r w:rsidRPr="00A31AC4">
        <w:rPr>
          <w:bCs/>
        </w:rPr>
        <w:t xml:space="preserve"> Sanders' PCA analysis of their own data. As described later, this process of study-specific PCA on data collected through the ABC Scale has been used in </w:t>
      </w:r>
      <w:r>
        <w:rPr>
          <w:bCs/>
        </w:rPr>
        <w:t xml:space="preserve">the current </w:t>
      </w:r>
      <w:r w:rsidRPr="00A31AC4">
        <w:rPr>
          <w:bCs/>
        </w:rPr>
        <w:t xml:space="preserve">research project </w:t>
      </w:r>
      <w:r>
        <w:rPr>
          <w:bCs/>
        </w:rPr>
        <w:t xml:space="preserve">due to being </w:t>
      </w:r>
      <w:r w:rsidRPr="00A31AC4">
        <w:rPr>
          <w:bCs/>
        </w:rPr>
        <w:t xml:space="preserve">equally unconvinced that the adoption of the 'standard' 4-factor model for determining subscales of the ABC Scale could offer the best analysis outcomes. </w:t>
      </w:r>
    </w:p>
    <w:p w14:paraId="601F7F46" w14:textId="3C0BA409" w:rsidR="00CB0AB7" w:rsidRDefault="00CB0AB7" w:rsidP="00CB0AB7">
      <w:pPr>
        <w:pStyle w:val="Heading3"/>
        <w:rPr>
          <w:bCs/>
        </w:rPr>
      </w:pPr>
      <w:bookmarkStart w:id="102" w:name="_Toc57035906"/>
      <w:r>
        <w:lastRenderedPageBreak/>
        <w:t>V</w:t>
      </w:r>
      <w:r>
        <w:tab/>
        <w:t>Summary</w:t>
      </w:r>
      <w:bookmarkEnd w:id="102"/>
    </w:p>
    <w:p w14:paraId="7B7A60EA" w14:textId="43EAE2C5" w:rsidR="002D76D9" w:rsidRDefault="00CB0AB7" w:rsidP="007707AB">
      <w:pPr>
        <w:rPr>
          <w:bCs/>
        </w:rPr>
      </w:pPr>
      <w:r>
        <w:rPr>
          <w:bCs/>
        </w:rPr>
        <w:t>T</w:t>
      </w:r>
      <w:r w:rsidR="007707AB" w:rsidRPr="00A31AC4">
        <w:rPr>
          <w:bCs/>
        </w:rPr>
        <w:t>he A</w:t>
      </w:r>
      <w:r w:rsidR="007707AB">
        <w:rPr>
          <w:bCs/>
        </w:rPr>
        <w:t xml:space="preserve">BC </w:t>
      </w:r>
      <w:r w:rsidR="007707AB" w:rsidRPr="00A31AC4">
        <w:rPr>
          <w:bCs/>
        </w:rPr>
        <w:t xml:space="preserve">Scale has </w:t>
      </w:r>
      <w:r w:rsidR="007707AB">
        <w:rPr>
          <w:bCs/>
        </w:rPr>
        <w:t xml:space="preserve">featured </w:t>
      </w:r>
      <w:r w:rsidR="007707AB" w:rsidRPr="00A31AC4">
        <w:rPr>
          <w:bCs/>
        </w:rPr>
        <w:t xml:space="preserve">in numerous research studies since its development into its current form in the early 2000s. </w:t>
      </w:r>
      <w:r w:rsidR="007707AB">
        <w:rPr>
          <w:bCs/>
        </w:rPr>
        <w:t>It has been used</w:t>
      </w:r>
      <w:r w:rsidR="007707AB" w:rsidRPr="00A31AC4">
        <w:rPr>
          <w:bCs/>
        </w:rPr>
        <w:t xml:space="preserve"> in studies of university students </w:t>
      </w:r>
      <w:r w:rsidR="007707AB">
        <w:rPr>
          <w:bCs/>
        </w:rPr>
        <w:t xml:space="preserve">to </w:t>
      </w:r>
      <w:r w:rsidR="007707AB" w:rsidRPr="00A31AC4">
        <w:rPr>
          <w:bCs/>
        </w:rPr>
        <w:t>explor</w:t>
      </w:r>
      <w:r w:rsidR="007707AB">
        <w:rPr>
          <w:bCs/>
        </w:rPr>
        <w:t>e</w:t>
      </w:r>
      <w:r w:rsidR="007707AB" w:rsidRPr="00A31AC4">
        <w:rPr>
          <w:bCs/>
        </w:rPr>
        <w:t xml:space="preserve"> the contribution that non-cognitive factors may make on the self-regulated learning approaches that are widely expected in </w:t>
      </w:r>
      <w:r w:rsidR="007707AB">
        <w:rPr>
          <w:bCs/>
        </w:rPr>
        <w:t>HE</w:t>
      </w:r>
      <w:r w:rsidR="007707AB" w:rsidRPr="00A31AC4">
        <w:rPr>
          <w:bCs/>
        </w:rPr>
        <w:t xml:space="preserve"> settings. Some studies have used the </w:t>
      </w:r>
      <w:r w:rsidR="007707AB">
        <w:rPr>
          <w:bCs/>
        </w:rPr>
        <w:t>scale</w:t>
      </w:r>
      <w:r w:rsidR="007707AB" w:rsidRPr="00A31AC4">
        <w:rPr>
          <w:bCs/>
        </w:rPr>
        <w:t xml:space="preserve"> to evaluate temporal changes, either as a natural course of progression through the university semesters, usually in the first year of study or with students enrolled on access or foundation courses.</w:t>
      </w:r>
    </w:p>
    <w:p w14:paraId="195E4C65" w14:textId="77777777" w:rsidR="002D76D9" w:rsidRDefault="007707AB" w:rsidP="007707AB">
      <w:pPr>
        <w:rPr>
          <w:bCs/>
        </w:rPr>
      </w:pPr>
      <w:r w:rsidRPr="00A31AC4">
        <w:rPr>
          <w:bCs/>
        </w:rPr>
        <w:t>Other research has shown that the ABC Scale is useful for gauging the impact of learning development initiatives or interventions on student enga</w:t>
      </w:r>
      <w:r>
        <w:rPr>
          <w:bCs/>
        </w:rPr>
        <w:t>gement and achievement. S</w:t>
      </w:r>
      <w:r w:rsidRPr="00A31AC4">
        <w:rPr>
          <w:bCs/>
        </w:rPr>
        <w:t>ome significant projects have used the ABC Scale to contribute to developing theories about student-teaching interactions and the learning-teaching interface with the intention of suggesting how these might be modified to enhance learning effectiveness at university with a view to raising academic attainment, or at the other end of the student-learning spectrum, to reduce attrition.</w:t>
      </w:r>
    </w:p>
    <w:p w14:paraId="3D2CF51B" w14:textId="0A34744C" w:rsidR="007707AB" w:rsidRDefault="007707AB" w:rsidP="007707AB">
      <w:pPr>
        <w:rPr>
          <w:bCs/>
        </w:rPr>
      </w:pPr>
      <w:r w:rsidRPr="00A31AC4">
        <w:rPr>
          <w:bCs/>
        </w:rPr>
        <w:t>Significantly, many studies have reported that academic confidence, as operationalized through academic behavioural confidence, may be related to academic achievement. It is of note that no published studies have been found which explore how specific learning difficulties such as dyslexia impact on academic confidence at university and hence there appears to be a gap in</w:t>
      </w:r>
      <w:r>
        <w:rPr>
          <w:bCs/>
        </w:rPr>
        <w:t xml:space="preserve"> the research which this research seeks to fill</w:t>
      </w:r>
      <w:r w:rsidRPr="00A31AC4">
        <w:rPr>
          <w:bCs/>
        </w:rPr>
        <w:t>.</w:t>
      </w:r>
    </w:p>
    <w:p w14:paraId="00C3EC45" w14:textId="77777777" w:rsidR="007707AB" w:rsidRPr="00240944" w:rsidRDefault="007707AB" w:rsidP="007707AB">
      <w:pPr>
        <w:rPr>
          <w:bCs/>
        </w:rPr>
      </w:pPr>
    </w:p>
    <w:p w14:paraId="774BD646" w14:textId="77777777" w:rsidR="007707AB" w:rsidRPr="00AE59E6" w:rsidRDefault="007707AB" w:rsidP="007707AB"/>
    <w:p w14:paraId="33683903" w14:textId="77777777" w:rsidR="007707AB" w:rsidRDefault="007707AB" w:rsidP="007707AB"/>
    <w:p w14:paraId="4ADD147A" w14:textId="6FBEEA46" w:rsidR="00903D66" w:rsidRDefault="00903D66" w:rsidP="00903D66">
      <w:pPr>
        <w:spacing w:before="0" w:after="160" w:line="259" w:lineRule="auto"/>
        <w:rPr>
          <w:b/>
          <w:smallCaps/>
          <w:color w:val="4472C4" w:themeColor="accent1"/>
          <w:spacing w:val="5"/>
          <w:sz w:val="32"/>
          <w:szCs w:val="32"/>
        </w:rPr>
      </w:pPr>
      <w:r>
        <w:br w:type="page"/>
      </w:r>
    </w:p>
    <w:bookmarkEnd w:id="1"/>
    <w:p w14:paraId="495E7245" w14:textId="77777777" w:rsidR="00604E31" w:rsidRDefault="00604E31" w:rsidP="00604E31">
      <w:pPr>
        <w:pStyle w:val="Heading1"/>
      </w:pPr>
    </w:p>
    <w:p w14:paraId="4752907E" w14:textId="22E9329F" w:rsidR="00604E31" w:rsidRPr="005606FF" w:rsidRDefault="00604E31" w:rsidP="00604E31">
      <w:pPr>
        <w:pStyle w:val="Heading1"/>
      </w:pPr>
      <w:bookmarkStart w:id="103" w:name="_Toc41910952"/>
      <w:bookmarkStart w:id="104" w:name="_Toc57035907"/>
      <w:r>
        <w:t>3</w:t>
      </w:r>
      <w:r w:rsidR="00CC5358">
        <w:tab/>
      </w:r>
      <w:r w:rsidRPr="005606FF">
        <w:t>Research Design – Methodology and Methods</w:t>
      </w:r>
      <w:bookmarkEnd w:id="103"/>
      <w:bookmarkEnd w:id="104"/>
    </w:p>
    <w:p w14:paraId="671A3AC1" w14:textId="74255A14" w:rsidR="00474F0B" w:rsidRPr="005606FF" w:rsidRDefault="00474F0B" w:rsidP="004B2971">
      <w:pPr>
        <w:pStyle w:val="Heading5"/>
        <w:spacing w:before="0"/>
        <w:ind w:left="720"/>
      </w:pPr>
      <w:bookmarkStart w:id="105" w:name="_Toc9795744"/>
      <w:bookmarkStart w:id="106" w:name="_Toc41910954"/>
      <w:r w:rsidRPr="005606FF">
        <w:t>3.</w:t>
      </w:r>
      <w:r w:rsidR="009E0C40" w:rsidRPr="005606FF">
        <w:t>1</w:t>
      </w:r>
      <w:r w:rsidRPr="005606FF">
        <w:tab/>
        <w:t>Research Design Overview</w:t>
      </w:r>
    </w:p>
    <w:p w14:paraId="0C960B2B" w14:textId="561EFBB7" w:rsidR="00474F0B" w:rsidRPr="005606FF" w:rsidRDefault="00474F0B" w:rsidP="004B2971">
      <w:pPr>
        <w:pStyle w:val="Heading5"/>
        <w:spacing w:before="0"/>
        <w:ind w:left="720"/>
      </w:pPr>
      <w:r w:rsidRPr="005606FF">
        <w:tab/>
      </w:r>
      <w:r w:rsidRPr="005606FF">
        <w:tab/>
        <w:t>Design Focus</w:t>
      </w:r>
    </w:p>
    <w:p w14:paraId="50A079F0" w14:textId="3BA4EDB9" w:rsidR="00474F0B" w:rsidRPr="005606FF" w:rsidRDefault="00474F0B" w:rsidP="004B2971">
      <w:pPr>
        <w:pStyle w:val="Heading5"/>
        <w:spacing w:before="0"/>
        <w:ind w:left="720"/>
      </w:pPr>
      <w:r w:rsidRPr="005606FF">
        <w:t>3.2</w:t>
      </w:r>
      <w:r w:rsidRPr="005606FF">
        <w:tab/>
        <w:t>Research Participants - Groups and Subgroups</w:t>
      </w:r>
    </w:p>
    <w:p w14:paraId="347B82F8" w14:textId="6699D69C" w:rsidR="00474F0B" w:rsidRPr="005606FF" w:rsidRDefault="00474F0B" w:rsidP="004B2971">
      <w:pPr>
        <w:pStyle w:val="Heading5"/>
        <w:spacing w:before="0"/>
        <w:ind w:left="720"/>
      </w:pPr>
      <w:r w:rsidRPr="005606FF">
        <w:t>3.3</w:t>
      </w:r>
      <w:r w:rsidRPr="005606FF">
        <w:tab/>
        <w:t>Data Collection</w:t>
      </w:r>
    </w:p>
    <w:p w14:paraId="172E4E54" w14:textId="27DCBB06" w:rsidR="00474F0B" w:rsidRPr="005606FF" w:rsidRDefault="00474F0B" w:rsidP="004B2971">
      <w:pPr>
        <w:pStyle w:val="Heading5"/>
        <w:spacing w:before="0"/>
        <w:ind w:left="720"/>
      </w:pPr>
      <w:r w:rsidRPr="005606FF">
        <w:tab/>
        <w:t>I</w:t>
      </w:r>
      <w:r w:rsidRPr="005606FF">
        <w:tab/>
        <w:t>Objectives</w:t>
      </w:r>
    </w:p>
    <w:p w14:paraId="7FB34FA1" w14:textId="407449CA" w:rsidR="00474F0B" w:rsidRPr="005606FF" w:rsidRDefault="00474F0B" w:rsidP="004B2971">
      <w:pPr>
        <w:pStyle w:val="Heading5"/>
        <w:spacing w:before="0"/>
        <w:ind w:left="720"/>
      </w:pPr>
      <w:r w:rsidRPr="005606FF">
        <w:tab/>
        <w:t>II</w:t>
      </w:r>
      <w:r w:rsidRPr="005606FF">
        <w:tab/>
        <w:t>Questionnaire Design Rationales</w:t>
      </w:r>
    </w:p>
    <w:p w14:paraId="235E0E22" w14:textId="4ECDB662" w:rsidR="00474F0B" w:rsidRPr="005606FF" w:rsidRDefault="00474F0B" w:rsidP="004B2971">
      <w:pPr>
        <w:pStyle w:val="Heading5"/>
        <w:spacing w:before="0"/>
        <w:ind w:left="720"/>
      </w:pPr>
      <w:r w:rsidRPr="005606FF">
        <w:tab/>
        <w:t>III</w:t>
      </w:r>
      <w:r w:rsidRPr="005606FF">
        <w:tab/>
        <w:t>Questionnaire Components</w:t>
      </w:r>
    </w:p>
    <w:p w14:paraId="45B73B7E" w14:textId="159DF179" w:rsidR="00474F0B" w:rsidRPr="005606FF" w:rsidRDefault="00474F0B" w:rsidP="004B2971">
      <w:pPr>
        <w:pStyle w:val="Heading5"/>
        <w:spacing w:before="0"/>
        <w:ind w:left="720"/>
      </w:pPr>
      <w:r w:rsidRPr="005606FF">
        <w:tab/>
      </w:r>
      <w:r w:rsidRPr="005606FF">
        <w:tab/>
        <w:t>1.  Demographic data</w:t>
      </w:r>
    </w:p>
    <w:p w14:paraId="6A83C748" w14:textId="6CE961F7" w:rsidR="00474F0B" w:rsidRPr="005606FF" w:rsidRDefault="00474F0B" w:rsidP="004B2971">
      <w:pPr>
        <w:pStyle w:val="Heading5"/>
        <w:spacing w:before="0"/>
        <w:ind w:left="720"/>
      </w:pPr>
      <w:r w:rsidRPr="005606FF">
        <w:tab/>
      </w:r>
      <w:r w:rsidRPr="005606FF">
        <w:tab/>
        <w:t>2.  Quantitative data</w:t>
      </w:r>
    </w:p>
    <w:p w14:paraId="2577DEEA" w14:textId="17A502C7" w:rsidR="00474F0B" w:rsidRPr="005606FF" w:rsidRDefault="00474F0B" w:rsidP="004B2971">
      <w:pPr>
        <w:pStyle w:val="Heading5"/>
        <w:spacing w:before="0"/>
        <w:ind w:left="720"/>
      </w:pPr>
      <w:r w:rsidRPr="005606FF">
        <w:tab/>
      </w:r>
      <w:r w:rsidRPr="005606FF">
        <w:tab/>
      </w:r>
      <w:r w:rsidRPr="005606FF">
        <w:tab/>
        <w:t>Likert Scales</w:t>
      </w:r>
    </w:p>
    <w:p w14:paraId="0E4E6502" w14:textId="2D06BBD9" w:rsidR="00474F0B" w:rsidRPr="005606FF" w:rsidRDefault="00474F0B" w:rsidP="004B2971">
      <w:pPr>
        <w:pStyle w:val="Heading5"/>
        <w:spacing w:before="0"/>
        <w:ind w:left="720"/>
      </w:pPr>
      <w:r w:rsidRPr="005606FF">
        <w:tab/>
      </w:r>
      <w:r w:rsidRPr="005606FF">
        <w:tab/>
      </w:r>
      <w:r w:rsidRPr="005606FF">
        <w:tab/>
        <w:t xml:space="preserve">1 </w:t>
      </w:r>
      <w:r w:rsidR="00385FCB" w:rsidRPr="005606FF">
        <w:t xml:space="preserve">    </w:t>
      </w:r>
      <w:r w:rsidRPr="005606FF">
        <w:t>The Academic Behavioural Confidence Scale</w:t>
      </w:r>
    </w:p>
    <w:p w14:paraId="0FEEDD86" w14:textId="0C75021A" w:rsidR="00474F0B" w:rsidRPr="005606FF" w:rsidRDefault="00474F0B" w:rsidP="004B2971">
      <w:pPr>
        <w:pStyle w:val="Heading5"/>
        <w:spacing w:before="0"/>
        <w:ind w:left="720"/>
      </w:pPr>
      <w:r w:rsidRPr="005606FF">
        <w:tab/>
      </w:r>
      <w:r w:rsidRPr="005606FF">
        <w:tab/>
      </w:r>
      <w:r w:rsidRPr="005606FF">
        <w:tab/>
      </w:r>
      <w:r w:rsidR="00385FCB" w:rsidRPr="005606FF">
        <w:t xml:space="preserve">2.1  </w:t>
      </w:r>
      <w:r w:rsidRPr="005606FF">
        <w:t>Six Psychometric Scales</w:t>
      </w:r>
    </w:p>
    <w:p w14:paraId="652670CC" w14:textId="0F7BF545" w:rsidR="00474F0B" w:rsidRPr="005606FF" w:rsidRDefault="00474F0B" w:rsidP="004B2971">
      <w:pPr>
        <w:pStyle w:val="Heading5"/>
        <w:spacing w:before="0"/>
        <w:ind w:left="720"/>
      </w:pPr>
      <w:r w:rsidRPr="005606FF">
        <w:tab/>
      </w:r>
      <w:r w:rsidRPr="005606FF">
        <w:tab/>
      </w:r>
      <w:r w:rsidRPr="005606FF">
        <w:tab/>
        <w:t>2</w:t>
      </w:r>
      <w:r w:rsidR="00385FCB" w:rsidRPr="005606FF">
        <w:t>.</w:t>
      </w:r>
      <w:r w:rsidRPr="005606FF">
        <w:t>2</w:t>
      </w:r>
      <w:r w:rsidR="00385FCB" w:rsidRPr="005606FF">
        <w:t xml:space="preserve">  </w:t>
      </w:r>
      <w:r w:rsidRPr="005606FF">
        <w:t>The Dyslexia Index (Dx) Profiler</w:t>
      </w:r>
    </w:p>
    <w:p w14:paraId="6B025425" w14:textId="58610070" w:rsidR="00474F0B" w:rsidRPr="005606FF" w:rsidRDefault="00474F0B" w:rsidP="004B2971">
      <w:pPr>
        <w:pStyle w:val="Heading5"/>
        <w:spacing w:before="0"/>
        <w:ind w:left="720"/>
      </w:pPr>
      <w:r w:rsidRPr="005606FF">
        <w:tab/>
      </w:r>
      <w:r w:rsidRPr="005606FF">
        <w:tab/>
        <w:t>3.  Qualitative Data</w:t>
      </w:r>
    </w:p>
    <w:p w14:paraId="02FD90BF" w14:textId="5EDD06E6" w:rsidR="00474F0B" w:rsidRPr="005606FF" w:rsidRDefault="00474F0B" w:rsidP="004B2971">
      <w:pPr>
        <w:pStyle w:val="Heading5"/>
        <w:spacing w:before="0"/>
        <w:ind w:left="720"/>
      </w:pPr>
      <w:r w:rsidRPr="005606FF">
        <w:tab/>
      </w:r>
      <w:r w:rsidRPr="005606FF">
        <w:tab/>
        <w:t>4.  Questionnaire Pilot</w:t>
      </w:r>
    </w:p>
    <w:p w14:paraId="0BAEC3D5" w14:textId="2785F21F" w:rsidR="00474F0B" w:rsidRPr="005606FF" w:rsidRDefault="00474F0B" w:rsidP="004B2971">
      <w:pPr>
        <w:pStyle w:val="Heading5"/>
        <w:spacing w:before="0"/>
        <w:ind w:left="720"/>
      </w:pPr>
      <w:r w:rsidRPr="005606FF">
        <w:t>3.4</w:t>
      </w:r>
      <w:r w:rsidRPr="005606FF">
        <w:tab/>
        <w:t>Procedure</w:t>
      </w:r>
    </w:p>
    <w:p w14:paraId="5104ACA4" w14:textId="7DA5DAF7" w:rsidR="00474F0B" w:rsidRPr="005606FF" w:rsidRDefault="00474F0B" w:rsidP="004B2971">
      <w:pPr>
        <w:pStyle w:val="Heading5"/>
        <w:spacing w:before="0"/>
        <w:ind w:left="720"/>
      </w:pPr>
      <w:r w:rsidRPr="005606FF">
        <w:t>3.5</w:t>
      </w:r>
      <w:r w:rsidRPr="005606FF">
        <w:tab/>
        <w:t>Data Reduction</w:t>
      </w:r>
    </w:p>
    <w:p w14:paraId="7020C3A7" w14:textId="291756A4" w:rsidR="00474F0B" w:rsidRPr="005606FF" w:rsidRDefault="00474F0B" w:rsidP="004B2971">
      <w:pPr>
        <w:pStyle w:val="Heading5"/>
        <w:spacing w:before="0"/>
        <w:ind w:left="720"/>
      </w:pPr>
      <w:r w:rsidRPr="005606FF">
        <w:t>3.6</w:t>
      </w:r>
      <w:r w:rsidRPr="005606FF">
        <w:tab/>
        <w:t>Developing the Dyslexia Index Profiler</w:t>
      </w:r>
    </w:p>
    <w:p w14:paraId="288E5011" w14:textId="2A69BF70" w:rsidR="00474F0B" w:rsidRPr="005606FF" w:rsidRDefault="00474F0B" w:rsidP="004B2971">
      <w:pPr>
        <w:pStyle w:val="Heading5"/>
        <w:spacing w:before="0"/>
        <w:ind w:left="720"/>
      </w:pPr>
      <w:r w:rsidRPr="005606FF">
        <w:tab/>
        <w:t>I</w:t>
      </w:r>
      <w:r w:rsidRPr="005606FF">
        <w:tab/>
        <w:t>Background and Rationale</w:t>
      </w:r>
    </w:p>
    <w:p w14:paraId="45339EB0" w14:textId="37E74127" w:rsidR="00474F0B" w:rsidRPr="005606FF" w:rsidRDefault="00474F0B" w:rsidP="004B2971">
      <w:pPr>
        <w:pStyle w:val="Heading5"/>
        <w:spacing w:before="0"/>
        <w:ind w:left="720"/>
      </w:pPr>
      <w:r w:rsidRPr="005606FF">
        <w:tab/>
      </w:r>
      <w:r w:rsidR="00FA38EA" w:rsidRPr="005606FF">
        <w:t>II</w:t>
      </w:r>
      <w:r w:rsidRPr="005606FF">
        <w:tab/>
        <w:t>Establishing the Dyslexianess Continuum</w:t>
      </w:r>
    </w:p>
    <w:p w14:paraId="6DB5FC1F" w14:textId="527FF7AE" w:rsidR="004B2971" w:rsidRPr="005606FF" w:rsidRDefault="00474F0B" w:rsidP="004B2971">
      <w:pPr>
        <w:pStyle w:val="Heading5"/>
        <w:spacing w:before="0"/>
        <w:ind w:left="720"/>
      </w:pPr>
      <w:r w:rsidRPr="005606FF">
        <w:tab/>
        <w:t>II</w:t>
      </w:r>
      <w:r w:rsidR="00FA38EA" w:rsidRPr="005606FF">
        <w:t>I</w:t>
      </w:r>
      <w:r w:rsidRPr="005606FF">
        <w:tab/>
        <w:t>Designing the Dx Profiler</w:t>
      </w:r>
    </w:p>
    <w:p w14:paraId="1ABAAF62" w14:textId="46F89A9F" w:rsidR="004B2971" w:rsidRPr="005606FF" w:rsidRDefault="004B2971" w:rsidP="004B2971">
      <w:pPr>
        <w:pStyle w:val="Heading5"/>
        <w:spacing w:before="0"/>
        <w:ind w:left="720"/>
      </w:pPr>
      <w:r w:rsidRPr="005606FF">
        <w:tab/>
        <w:t>I</w:t>
      </w:r>
      <w:r w:rsidR="00FA38EA" w:rsidRPr="005606FF">
        <w:t>V</w:t>
      </w:r>
      <w:r w:rsidRPr="005606FF">
        <w:tab/>
        <w:t>Validating the Dx Profiler using a small-scale enquiry</w:t>
      </w:r>
    </w:p>
    <w:p w14:paraId="0EB3E178" w14:textId="10E8358E" w:rsidR="004B2971" w:rsidRPr="005606FF" w:rsidRDefault="004B2971" w:rsidP="004B2971">
      <w:pPr>
        <w:pStyle w:val="Heading5"/>
        <w:spacing w:before="0"/>
        <w:ind w:left="720"/>
      </w:pPr>
      <w:r w:rsidRPr="005606FF">
        <w:tab/>
      </w:r>
      <w:r w:rsidRPr="005606FF">
        <w:tab/>
      </w:r>
      <w:r w:rsidRPr="005606FF">
        <w:tab/>
        <w:t>1. Rationale, Methods and Processes</w:t>
      </w:r>
    </w:p>
    <w:p w14:paraId="5411CE74" w14:textId="408F5555" w:rsidR="004B2971" w:rsidRPr="005606FF" w:rsidRDefault="004B2971" w:rsidP="004B2971">
      <w:pPr>
        <w:pStyle w:val="Heading5"/>
        <w:spacing w:before="0"/>
        <w:ind w:left="720"/>
      </w:pPr>
      <w:r w:rsidRPr="005606FF">
        <w:tab/>
      </w:r>
      <w:r w:rsidRPr="005606FF">
        <w:tab/>
      </w:r>
      <w:r w:rsidRPr="005606FF">
        <w:tab/>
        <w:t>2. Recruitment of participants</w:t>
      </w:r>
    </w:p>
    <w:p w14:paraId="419F7C9D" w14:textId="2BEEABEF" w:rsidR="004B2971" w:rsidRPr="005606FF" w:rsidRDefault="004B2971" w:rsidP="004B2971">
      <w:pPr>
        <w:pStyle w:val="Heading5"/>
        <w:spacing w:before="0"/>
        <w:ind w:left="720"/>
      </w:pPr>
      <w:r w:rsidRPr="005606FF">
        <w:tab/>
      </w:r>
      <w:r w:rsidRPr="005606FF">
        <w:tab/>
      </w:r>
      <w:r w:rsidRPr="005606FF">
        <w:tab/>
        <w:t>3.  Process</w:t>
      </w:r>
    </w:p>
    <w:p w14:paraId="64EB1295" w14:textId="78AE3EBA" w:rsidR="004B2971" w:rsidRPr="005606FF" w:rsidRDefault="004B2971" w:rsidP="004B2971">
      <w:pPr>
        <w:pStyle w:val="Heading5"/>
        <w:spacing w:before="0"/>
        <w:ind w:left="720"/>
      </w:pPr>
      <w:r w:rsidRPr="005606FF">
        <w:tab/>
      </w:r>
      <w:r w:rsidRPr="005606FF">
        <w:tab/>
      </w:r>
      <w:r w:rsidRPr="005606FF">
        <w:tab/>
        <w:t>4.  Results and Outcomes</w:t>
      </w:r>
    </w:p>
    <w:p w14:paraId="6F36CC19" w14:textId="2D81D368" w:rsidR="004B2971" w:rsidRPr="005606FF" w:rsidRDefault="004B2971" w:rsidP="004B2971">
      <w:pPr>
        <w:pStyle w:val="Heading5"/>
        <w:spacing w:before="0"/>
        <w:ind w:left="720"/>
      </w:pPr>
      <w:r w:rsidRPr="005606FF">
        <w:tab/>
      </w:r>
      <w:r w:rsidRPr="005606FF">
        <w:tab/>
      </w:r>
      <w:r w:rsidRPr="005606FF">
        <w:tab/>
        <w:t>5.  Discussion</w:t>
      </w:r>
    </w:p>
    <w:p w14:paraId="3727611C" w14:textId="2BCE58C6" w:rsidR="004B2971" w:rsidRPr="005606FF" w:rsidRDefault="004B2971" w:rsidP="004B2971">
      <w:pPr>
        <w:pStyle w:val="Heading5"/>
        <w:spacing w:before="0"/>
        <w:ind w:left="720"/>
      </w:pPr>
      <w:r w:rsidRPr="005606FF">
        <w:tab/>
      </w:r>
      <w:r w:rsidRPr="005606FF">
        <w:tab/>
      </w:r>
      <w:r w:rsidRPr="005606FF">
        <w:tab/>
        <w:t>6.  Generating the Dyslexia Index</w:t>
      </w:r>
    </w:p>
    <w:p w14:paraId="3F5A8CD0" w14:textId="2BAF3340" w:rsidR="004B2971" w:rsidRPr="005606FF" w:rsidRDefault="004B2971" w:rsidP="004B2971">
      <w:pPr>
        <w:pStyle w:val="Heading5"/>
        <w:spacing w:before="0"/>
        <w:ind w:left="720"/>
      </w:pPr>
      <w:r w:rsidRPr="005606FF">
        <w:tab/>
      </w:r>
      <w:r w:rsidRPr="005606FF">
        <w:tab/>
      </w:r>
      <w:r w:rsidRPr="005606FF">
        <w:tab/>
        <w:t>7.  Concluding summary</w:t>
      </w:r>
    </w:p>
    <w:p w14:paraId="293B6184" w14:textId="38C711B4" w:rsidR="00474F0B" w:rsidRPr="00474F0B" w:rsidRDefault="004B2971" w:rsidP="00474F0B">
      <w:pPr>
        <w:pStyle w:val="Heading5"/>
      </w:pPr>
      <w:r>
        <w:tab/>
      </w:r>
      <w:r>
        <w:tab/>
      </w:r>
      <w:r>
        <w:tab/>
      </w:r>
      <w:r w:rsidR="00474F0B">
        <w:br w:type="page"/>
      </w:r>
    </w:p>
    <w:p w14:paraId="457DF9EE" w14:textId="2552EEE2" w:rsidR="00604E31" w:rsidRPr="009E7260" w:rsidRDefault="00604E31" w:rsidP="00604E31">
      <w:pPr>
        <w:pStyle w:val="Heading2"/>
      </w:pPr>
      <w:bookmarkStart w:id="107" w:name="RDoverview"/>
      <w:bookmarkStart w:id="108" w:name="RDOverview3_1"/>
      <w:bookmarkStart w:id="109" w:name="_Toc57035908"/>
      <w:bookmarkEnd w:id="107"/>
      <w:bookmarkEnd w:id="108"/>
      <w:r>
        <w:lastRenderedPageBreak/>
        <w:t>3.</w:t>
      </w:r>
      <w:r w:rsidR="00CC5358">
        <w:t>1</w:t>
      </w:r>
      <w:r w:rsidR="00CC5358">
        <w:tab/>
      </w:r>
      <w:r>
        <w:t>Research Design Overview</w:t>
      </w:r>
      <w:bookmarkEnd w:id="105"/>
      <w:bookmarkEnd w:id="106"/>
      <w:bookmarkEnd w:id="109"/>
    </w:p>
    <w:p w14:paraId="0CE9F63B" w14:textId="26020A62" w:rsidR="00604E31" w:rsidRDefault="00604E31" w:rsidP="00604E31">
      <w:r>
        <w:t>T</w:t>
      </w:r>
      <w:r w:rsidRPr="00CD7DA5">
        <w:t>he research aim was twofold: firstly</w:t>
      </w:r>
      <w:r>
        <w:t>,</w:t>
      </w:r>
      <w:r w:rsidRPr="00CD7DA5">
        <w:t xml:space="preserve"> to establish the extent of all par</w:t>
      </w:r>
      <w:r>
        <w:t xml:space="preserve">ticipants' 'dyslexia-ness', this to be the independent variable; </w:t>
      </w:r>
      <w:r w:rsidRPr="00CD7DA5">
        <w:t>secondly</w:t>
      </w:r>
      <w:r>
        <w:t>, t</w:t>
      </w:r>
      <w:r w:rsidRPr="00CD7DA5">
        <w:t xml:space="preserve">o </w:t>
      </w:r>
      <w:r>
        <w:t xml:space="preserve">gauge their </w:t>
      </w:r>
      <w:r w:rsidRPr="00CD7DA5">
        <w:t>academic confidence in relation to their studies at university</w:t>
      </w:r>
      <w:r>
        <w:t xml:space="preserve">, the dependent variable, so that associations between the variables could be explored. This section </w:t>
      </w:r>
      <w:r w:rsidRPr="00CB195A">
        <w:t>describes the strategic and practical processes of the project</w:t>
      </w:r>
      <w:r>
        <w:t xml:space="preserve"> that were planned and actioned to meet that research aim. D</w:t>
      </w:r>
      <w:r w:rsidRPr="00956CE9">
        <w:t>e</w:t>
      </w:r>
      <w:r>
        <w:t xml:space="preserve">tails </w:t>
      </w:r>
      <w:r w:rsidRPr="00956CE9">
        <w:t>are provided about how practical processes have been designed and developed to enable appropriate data sources to be identified</w:t>
      </w:r>
      <w:r>
        <w:t>; how the research participants were identified and contacted;</w:t>
      </w:r>
      <w:r w:rsidRPr="00956CE9">
        <w:t xml:space="preserve"> how data has been collected, collated and analysed so that the research questions can be properly addressed. </w:t>
      </w:r>
      <w:r>
        <w:t>This section of the thesis also sets out the development of the Dyslexia Index Profiler, the metric designed and developed exclusively for this project to gauge dyslexia-ness (sub-section 3.</w:t>
      </w:r>
      <w:r w:rsidR="009E0C40">
        <w:t>6</w:t>
      </w:r>
      <w:r>
        <w:t xml:space="preserve">, below). </w:t>
      </w:r>
      <w:r w:rsidRPr="00956CE9">
        <w:t xml:space="preserve">The rationales for research design decisions are set out and justified, and where the direction of the project has diverted from the initial aims and objectives, the reasons for these changes are </w:t>
      </w:r>
      <w:r>
        <w:t>justified.</w:t>
      </w:r>
    </w:p>
    <w:p w14:paraId="0697F5F3" w14:textId="77777777" w:rsidR="00604E31" w:rsidRDefault="00604E31" w:rsidP="00604E31">
      <w:pPr>
        <w:pStyle w:val="Heading4"/>
      </w:pPr>
      <w:bookmarkStart w:id="110" w:name="DesignFocus"/>
      <w:bookmarkEnd w:id="110"/>
      <w:r>
        <w:t>Design focus</w:t>
      </w:r>
    </w:p>
    <w:p w14:paraId="0EC32DD1" w14:textId="6EDA3CF4" w:rsidR="00604E31" w:rsidRDefault="00604E31" w:rsidP="00604E31">
      <w:r w:rsidRPr="00CD7DA5">
        <w:t>Th</w:t>
      </w:r>
      <w:r>
        <w:t xml:space="preserve">e </w:t>
      </w:r>
      <w:r w:rsidRPr="00CD7DA5">
        <w:t>project has taken an explorative</w:t>
      </w:r>
      <w:r>
        <w:t>, mixed methods</w:t>
      </w:r>
      <w:r w:rsidRPr="00CD7DA5">
        <w:t xml:space="preserve"> design focus</w:t>
      </w:r>
      <w:r>
        <w:t xml:space="preserve"> (see Section 1.2</w:t>
      </w:r>
      <w:r w:rsidR="00385FCB">
        <w:t>/</w:t>
      </w:r>
      <w:r>
        <w:t>II</w:t>
      </w:r>
      <w:r w:rsidR="00385FCB">
        <w:t>-1</w:t>
      </w:r>
      <w:r>
        <w:t>).</w:t>
      </w:r>
      <w:r w:rsidRPr="00CD7DA5">
        <w:t xml:space="preserve"> </w:t>
      </w:r>
      <w:r>
        <w:t xml:space="preserve">This is </w:t>
      </w:r>
      <w:r w:rsidRPr="00CD7DA5">
        <w:t>because</w:t>
      </w:r>
      <w:r>
        <w:t xml:space="preserve"> </w:t>
      </w:r>
      <w:r w:rsidRPr="00CD7DA5">
        <w:t xml:space="preserve">little is known about the interrelationships between </w:t>
      </w:r>
      <w:r>
        <w:t xml:space="preserve">academic confidence and dyslexia. Hence, </w:t>
      </w:r>
      <w:r w:rsidRPr="00CD7DA5">
        <w:t>no earlier model has been available to provide guidance</w:t>
      </w:r>
      <w:r>
        <w:t>.</w:t>
      </w:r>
      <w:r w:rsidRPr="00CD7DA5">
        <w:t xml:space="preserve"> </w:t>
      </w:r>
      <w:r>
        <w:t>Data were  collected through a self-report questionnaire, were mainly quantitative, and were collated to enable between-groups analyses to be conducted. This rationale falls within the scope of survey research methodology in which the process of asking participants questions about the issues being explored are a practical and expedient process of data collection, especially where more controlled experimental processes such as might be conducted in a laboratory, or other methods of observing behaviour are not feasible (Loftus et al., 1985). Likert scale item responses were transformed into numerical data for analysis. Some qualitative data were also collected through a free-writing area in the questionnaire for a 'softer' exploration about participants' more general feelings and attitudes to studying at university. In this way, hypotheses formalized from the research questions were addressed objectively using the outputs from the statistical analysis of the quantitative data, with qualitative data used to elaborate discussion points later. This is reported fully In Section 4, Results and Analysis.</w:t>
      </w:r>
    </w:p>
    <w:p w14:paraId="70C169CA" w14:textId="575DCAB5" w:rsidR="00604E31" w:rsidRDefault="00604E31" w:rsidP="00604E31"/>
    <w:p w14:paraId="44366ED9" w14:textId="77777777" w:rsidR="00B3671B" w:rsidRDefault="00B3671B" w:rsidP="00604E31"/>
    <w:p w14:paraId="4704536F" w14:textId="10360053" w:rsidR="00604E31" w:rsidRPr="00CC5358" w:rsidRDefault="00604E31" w:rsidP="00CC5358">
      <w:pPr>
        <w:pStyle w:val="Heading2"/>
      </w:pPr>
      <w:bookmarkStart w:id="111" w:name="ResearchParts3_2"/>
      <w:bookmarkStart w:id="112" w:name="_Toc41910955"/>
      <w:bookmarkStart w:id="113" w:name="_Toc57035909"/>
      <w:bookmarkEnd w:id="111"/>
      <w:r>
        <w:lastRenderedPageBreak/>
        <w:t>3.2</w:t>
      </w:r>
      <w:r w:rsidR="00CC5358">
        <w:tab/>
      </w:r>
      <w:r>
        <w:t>Research Participants</w:t>
      </w:r>
      <w:bookmarkEnd w:id="112"/>
      <w:bookmarkEnd w:id="113"/>
    </w:p>
    <w:p w14:paraId="0C019647" w14:textId="20B73E66" w:rsidR="00604E31" w:rsidRDefault="00604E31" w:rsidP="00604E31">
      <w:r>
        <w:t>T</w:t>
      </w:r>
      <w:r w:rsidRPr="00DA5D4E">
        <w:t>he participants were all students at university and no selective nor stratified sampling protocols were used in relation to gender, academic study level or study status - that is, whether an individual was a home or overseas student</w:t>
      </w:r>
      <w:r>
        <w:t xml:space="preserve">. However, </w:t>
      </w:r>
      <w:r w:rsidRPr="00DA5D4E">
        <w:t xml:space="preserve">all of these parameters were recorded for each </w:t>
      </w:r>
      <w:r>
        <w:t>participant, and these data have</w:t>
      </w:r>
      <w:r w:rsidRPr="00DA5D4E">
        <w:t xml:space="preserve"> been used throughout the analysis and discussion when considered apposite.</w:t>
      </w:r>
      <w:r>
        <w:t xml:space="preserve"> It is possible that a later study may re-visit the data to explore differences that might emerge through stratified analysis.</w:t>
      </w:r>
    </w:p>
    <w:p w14:paraId="33EEEA2D" w14:textId="77777777" w:rsidR="00604E31" w:rsidRDefault="00604E31" w:rsidP="00604E31">
      <w:r w:rsidRPr="00CD7DA5">
        <w:t xml:space="preserve">The objective </w:t>
      </w:r>
      <w:r>
        <w:t>was</w:t>
      </w:r>
      <w:r w:rsidRPr="00CD7DA5">
        <w:t xml:space="preserve"> to esta</w:t>
      </w:r>
      <w:r>
        <w:t xml:space="preserve">blish a sizeable research </w:t>
      </w:r>
      <w:r w:rsidRPr="00CD7DA5">
        <w:t>datapool</w:t>
      </w:r>
      <w:r>
        <w:t xml:space="preserve"> through convenience sampling</w:t>
      </w:r>
      <w:r w:rsidRPr="00CD7DA5">
        <w:t xml:space="preserve"> </w:t>
      </w:r>
      <w:r>
        <w:t xml:space="preserve">that comprised two </w:t>
      </w:r>
      <w:r w:rsidRPr="00CD7DA5">
        <w:t xml:space="preserve">groups: the first was to be as good a cross-section of </w:t>
      </w:r>
      <w:r>
        <w:t>HE</w:t>
      </w:r>
      <w:r w:rsidRPr="00CD7DA5">
        <w:t xml:space="preserve"> students as may be returned through voluntary participation in the project</w:t>
      </w:r>
      <w:r>
        <w:t>. Participants in this group were recruited through advertisements posted on Middlesex University’s student-facing webpages during the academic year 2015-16.</w:t>
      </w:r>
      <w:r w:rsidRPr="00CD7DA5">
        <w:t xml:space="preserve"> </w:t>
      </w:r>
      <w:r>
        <w:t>T</w:t>
      </w:r>
      <w:r w:rsidRPr="00CD7DA5">
        <w:t xml:space="preserve">he second </w:t>
      </w:r>
      <w:r>
        <w:t xml:space="preserve">group </w:t>
      </w:r>
      <w:r w:rsidRPr="00CD7DA5">
        <w:t>was to be</w:t>
      </w:r>
      <w:r>
        <w:t xml:space="preserve"> </w:t>
      </w:r>
      <w:r w:rsidRPr="00CD7DA5">
        <w:t>students known to have dyslexic learning differences</w:t>
      </w:r>
      <w:r>
        <w:t xml:space="preserve">. These were recruited through the University’s Dyslexia and Disability Service student e-mail distribution list. </w:t>
      </w:r>
      <w:r w:rsidRPr="00DF149E">
        <w:t>Recruitment was incentivized by offering participan</w:t>
      </w:r>
      <w:r>
        <w:t xml:space="preserve">ts an opportunity to </w:t>
      </w:r>
      <w:r w:rsidRPr="00DF149E">
        <w:t>enter a prize draw subsequent to completing the questionnaire</w:t>
      </w:r>
      <w:r>
        <w:t xml:space="preserve">. </w:t>
      </w:r>
      <w:r w:rsidRPr="00DF149E">
        <w:t xml:space="preserve">Amazon vouchers </w:t>
      </w:r>
      <w:r>
        <w:t xml:space="preserve">were offered </w:t>
      </w:r>
      <w:r w:rsidRPr="00DF149E">
        <w:t>as prizes.</w:t>
      </w:r>
      <w:r>
        <w:t xml:space="preserve"> From the group of non-dyslexic students, it was hoped that a subgroup of students presenting </w:t>
      </w:r>
      <w:r w:rsidRPr="00611FB8">
        <w:rPr>
          <w:i/>
          <w:iCs/>
        </w:rPr>
        <w:t>quasi</w:t>
      </w:r>
      <w:r>
        <w:t xml:space="preserve">-dyslexia </w:t>
      </w:r>
      <w:r w:rsidRPr="00611FB8">
        <w:t>could</w:t>
      </w:r>
      <w:r>
        <w:t xml:space="preserve"> be identified. </w:t>
      </w:r>
      <w:r w:rsidRPr="00345557">
        <w:t xml:space="preserve">It was of no consequence that students with dyslexia may have </w:t>
      </w:r>
      <w:r>
        <w:t xml:space="preserve">found their way to the </w:t>
      </w:r>
      <w:r w:rsidRPr="00345557">
        <w:t>questionnaire through the l</w:t>
      </w:r>
      <w:r>
        <w:t>inks from the intranet</w:t>
      </w:r>
      <w:r w:rsidRPr="00345557">
        <w:t xml:space="preserve"> rather than as a response to the Disability and Dyslexia Service's e-mail</w:t>
      </w:r>
      <w:r>
        <w:t>,</w:t>
      </w:r>
      <w:r w:rsidRPr="00345557">
        <w:t xml:space="preserve"> because the que</w:t>
      </w:r>
      <w:r>
        <w:t xml:space="preserve">stionnaire requested </w:t>
      </w:r>
      <w:r w:rsidRPr="00345557">
        <w:t>participants to declare any dyslexic learning challenges</w:t>
      </w:r>
      <w:r>
        <w:t>. H</w:t>
      </w:r>
      <w:r w:rsidRPr="00345557">
        <w:t>ence</w:t>
      </w:r>
      <w:r>
        <w:t>,</w:t>
      </w:r>
      <w:r w:rsidRPr="00345557">
        <w:t xml:space="preserve"> </w:t>
      </w:r>
      <w:r>
        <w:t xml:space="preserve">participants </w:t>
      </w:r>
      <w:r w:rsidRPr="00345557">
        <w:t>would b</w:t>
      </w:r>
      <w:r>
        <w:t>e assigned into the appropriate research group from either recruitment process.</w:t>
      </w:r>
    </w:p>
    <w:p w14:paraId="6F9A85A7" w14:textId="77777777" w:rsidR="00604E31" w:rsidRDefault="00604E31" w:rsidP="00604E31">
      <w:r>
        <w:t>Thus, three distinct datasets were established:</w:t>
      </w:r>
    </w:p>
    <w:p w14:paraId="1606588C" w14:textId="77777777" w:rsidR="00604E31" w:rsidRDefault="00604E31" w:rsidP="00604E31">
      <w:pPr>
        <w:pStyle w:val="ListParagraph"/>
        <w:numPr>
          <w:ilvl w:val="0"/>
          <w:numId w:val="15"/>
        </w:numPr>
      </w:pPr>
      <w:r>
        <w:t>Students with known dyslexia - designated Research Group DI, and/or referred to as 'the dyslexic group';</w:t>
      </w:r>
    </w:p>
    <w:p w14:paraId="0C7FB686" w14:textId="77777777" w:rsidR="00604E31" w:rsidRDefault="00604E31" w:rsidP="00604E31">
      <w:pPr>
        <w:pStyle w:val="ListParagraph"/>
        <w:numPr>
          <w:ilvl w:val="0"/>
          <w:numId w:val="15"/>
        </w:numPr>
      </w:pPr>
      <w:r>
        <w:t>Students with no known dyslexia - designated Research Group ND, and/or referred to as 'the non-dyslexic group';</w:t>
      </w:r>
    </w:p>
    <w:p w14:paraId="1A89E6FB" w14:textId="77777777" w:rsidR="00604E31" w:rsidRDefault="00604E31" w:rsidP="00604E31">
      <w:r>
        <w:t>Through the data collation process, a sub-group of students was established from the non-dyslexic group, being those who presented quasi-dyslexia, as identified by the Dyslexia Index Profiler. This dataset was designated Research Group DNI, and was also referred to as 'the quasi-dyslexic subgroup'.</w:t>
      </w:r>
    </w:p>
    <w:p w14:paraId="376EFCC8" w14:textId="77777777" w:rsidR="00604E31" w:rsidRDefault="00604E31" w:rsidP="00604E31">
      <w:r>
        <w:t>Hence, it was possible to compare levels of academic confidence between the three groups.</w:t>
      </w:r>
    </w:p>
    <w:p w14:paraId="37E45714" w14:textId="5451DDAA" w:rsidR="00604E31" w:rsidRDefault="00604E31" w:rsidP="00604E31">
      <w:pPr>
        <w:pStyle w:val="Heading2"/>
      </w:pPr>
      <w:bookmarkStart w:id="114" w:name="_Toc41910956"/>
      <w:bookmarkStart w:id="115" w:name="_Toc57035910"/>
      <w:r>
        <w:lastRenderedPageBreak/>
        <w:t>3.3</w:t>
      </w:r>
      <w:r w:rsidR="00CC5358">
        <w:tab/>
      </w:r>
      <w:r>
        <w:t>Data collection</w:t>
      </w:r>
      <w:bookmarkEnd w:id="114"/>
      <w:r>
        <w:t>: Materials and Measures</w:t>
      </w:r>
      <w:bookmarkEnd w:id="115"/>
    </w:p>
    <w:p w14:paraId="4DED6C9C" w14:textId="062CAA5E" w:rsidR="00604E31" w:rsidRPr="00351D75" w:rsidRDefault="00604E31" w:rsidP="00604E31">
      <w:pPr>
        <w:pStyle w:val="Heading3"/>
      </w:pPr>
      <w:bookmarkStart w:id="116" w:name="QNRObjectives"/>
      <w:bookmarkStart w:id="117" w:name="_Toc41910957"/>
      <w:bookmarkStart w:id="118" w:name="_Toc57035911"/>
      <w:bookmarkEnd w:id="116"/>
      <w:r>
        <w:t>I</w:t>
      </w:r>
      <w:r w:rsidR="00CC5358">
        <w:tab/>
      </w:r>
      <w:r>
        <w:t>Objectives</w:t>
      </w:r>
      <w:bookmarkEnd w:id="117"/>
      <w:bookmarkEnd w:id="118"/>
    </w:p>
    <w:p w14:paraId="286C8E6A" w14:textId="77777777" w:rsidR="00604E31" w:rsidRDefault="00604E31" w:rsidP="00604E31">
      <w:r>
        <w:t>As this project is focused on finding out more about the academic confidence of university students and relating this to levels of dyslexia-ness, the data collection objectives were:</w:t>
      </w:r>
    </w:p>
    <w:p w14:paraId="67A04801" w14:textId="77777777" w:rsidR="00604E31" w:rsidRDefault="00604E31" w:rsidP="00604E31">
      <w:pPr>
        <w:pStyle w:val="ListParagraph"/>
        <w:numPr>
          <w:ilvl w:val="0"/>
          <w:numId w:val="1"/>
        </w:numPr>
        <w:spacing w:line="276" w:lineRule="auto"/>
      </w:pPr>
      <w:r>
        <w:t>to design and build a data collection instrument that could gather information about academic confidence and aspects of dyslexia-ness, expediently and unobtrusively from a range of university students, in information formats that could easily be collated and statistically analysed once acquired;</w:t>
      </w:r>
    </w:p>
    <w:p w14:paraId="0AF743DB" w14:textId="77777777" w:rsidR="00604E31" w:rsidRDefault="00604E31" w:rsidP="00604E31">
      <w:pPr>
        <w:pStyle w:val="ListParagraph"/>
        <w:numPr>
          <w:ilvl w:val="0"/>
          <w:numId w:val="1"/>
        </w:numPr>
        <w:spacing w:line="276" w:lineRule="auto"/>
      </w:pPr>
      <w:r>
        <w:t>to ensure that the data collection instrument was as clear, accessible and easy-to-use as possible, noting that many participants would be dyslexic;</w:t>
      </w:r>
    </w:p>
    <w:p w14:paraId="4AF2D4D7" w14:textId="77777777" w:rsidR="00604E31" w:rsidRDefault="00604E31" w:rsidP="00604E31">
      <w:pPr>
        <w:pStyle w:val="ListParagraph"/>
        <w:numPr>
          <w:ilvl w:val="0"/>
          <w:numId w:val="1"/>
        </w:numPr>
        <w:spacing w:line="276" w:lineRule="auto"/>
      </w:pPr>
      <w:r>
        <w:t>to ensure that the data collection instrument could acquire information quickly (15 minutes was considered as the target) to maintain research participant interest and attention;</w:t>
      </w:r>
    </w:p>
    <w:p w14:paraId="60DC235B" w14:textId="77777777" w:rsidR="00604E31" w:rsidRDefault="00604E31" w:rsidP="00604E31">
      <w:pPr>
        <w:pStyle w:val="ListParagraph"/>
        <w:numPr>
          <w:ilvl w:val="0"/>
          <w:numId w:val="1"/>
        </w:numPr>
        <w:spacing w:line="276" w:lineRule="auto"/>
      </w:pPr>
      <w:r>
        <w:t>to design an instrument that could be administered online for participants to engage with at their convenience;</w:t>
      </w:r>
    </w:p>
    <w:p w14:paraId="78453F6F" w14:textId="77777777" w:rsidR="00604E31" w:rsidRDefault="00604E31" w:rsidP="00604E31">
      <w:pPr>
        <w:pStyle w:val="ListParagraph"/>
        <w:numPr>
          <w:ilvl w:val="0"/>
          <w:numId w:val="1"/>
        </w:numPr>
        <w:spacing w:line="276" w:lineRule="auto"/>
      </w:pPr>
      <w:r>
        <w:t xml:space="preserve">to enable participants to feel </w:t>
      </w:r>
      <w:r w:rsidRPr="00734F2A">
        <w:rPr>
          <w:i/>
        </w:rPr>
        <w:t>part</w:t>
      </w:r>
      <w:r>
        <w:t xml:space="preserve"> of a research project rather than its </w:t>
      </w:r>
      <w:r w:rsidRPr="00734F2A">
        <w:rPr>
          <w:i/>
        </w:rPr>
        <w:t>subjects</w:t>
      </w:r>
      <w:r>
        <w:t>, and hence engage with it and provide honest responses;</w:t>
      </w:r>
    </w:p>
    <w:p w14:paraId="139F7C50" w14:textId="77777777" w:rsidR="00604E31" w:rsidRDefault="00604E31" w:rsidP="00604E31">
      <w:pPr>
        <w:pStyle w:val="ListParagraph"/>
        <w:numPr>
          <w:ilvl w:val="0"/>
          <w:numId w:val="1"/>
        </w:numPr>
        <w:spacing w:line="276" w:lineRule="auto"/>
      </w:pPr>
      <w:r>
        <w:t>to maximize response rates and minimize selection bias for the target audience;</w:t>
      </w:r>
    </w:p>
    <w:p w14:paraId="6870CD9F" w14:textId="77777777" w:rsidR="00604E31" w:rsidRDefault="00604E31" w:rsidP="00604E31">
      <w:pPr>
        <w:pStyle w:val="ListParagraph"/>
        <w:numPr>
          <w:ilvl w:val="0"/>
          <w:numId w:val="1"/>
        </w:numPr>
        <w:spacing w:line="276" w:lineRule="auto"/>
      </w:pPr>
      <w:r>
        <w:t>to ensure compliance with all ethical and other research protocols and conventions for data collection according to guidelines and regulations specified by the researcher's home university.</w:t>
      </w:r>
    </w:p>
    <w:p w14:paraId="4A8D2E51" w14:textId="77777777" w:rsidR="00604E31" w:rsidRDefault="00604E31" w:rsidP="00604E31">
      <w:r>
        <w:t xml:space="preserve">These objectives were met by designing and building a self-report questionnaire. Carefully constructed survey questionnaires are widely used to collect data on individuals' feelings and attitudes that can be easily quantified to enable statistical analysis (Rattray &amp; Jones, 2007). Questionnaires are one of the most commonly used processes for collecting information in educational contexts (Colosi, 2006). Evidence shows that </w:t>
      </w:r>
      <w:r w:rsidRPr="00632F75">
        <w:t>self-report qu</w:t>
      </w:r>
      <w:r>
        <w:t xml:space="preserve">estionnaires have been found to </w:t>
      </w:r>
      <w:r w:rsidRPr="00632F75">
        <w:t xml:space="preserve">provide reliable data in dyslexia research (e.g.: Tamboer </w:t>
      </w:r>
      <w:r>
        <w:t>et al., 2014;</w:t>
      </w:r>
      <w:r w:rsidRPr="00632F75">
        <w:t xml:space="preserve"> Snowling </w:t>
      </w:r>
      <w:r>
        <w:t>et al.</w:t>
      </w:r>
      <w:r w:rsidRPr="00632F75">
        <w:t>, 2012)</w:t>
      </w:r>
      <w:r>
        <w:t>. D</w:t>
      </w:r>
      <w:r w:rsidRPr="00387D41">
        <w:t>evelopments in web-browser technologies and electronic survey creation techniques have led to the widespread adoption of questionnaires that can be delivered electronically across the internet (Ritter &amp; Sue, 2007)</w:t>
      </w:r>
      <w:r>
        <w:t xml:space="preserve"> and so this process was used. T</w:t>
      </w:r>
      <w:r w:rsidRPr="00387D41">
        <w:t xml:space="preserve">he ability to reach a complete community of potential participants through the precise placement and marketing of a web-based questionnaire was felt to have significant benefits. </w:t>
      </w:r>
      <w:r>
        <w:t>These included:</w:t>
      </w:r>
      <w:r w:rsidRPr="00983D26">
        <w:t xml:space="preserve"> </w:t>
      </w:r>
    </w:p>
    <w:p w14:paraId="2536C64C" w14:textId="77777777" w:rsidR="00604E31" w:rsidRDefault="00604E31" w:rsidP="00604E31">
      <w:pPr>
        <w:pStyle w:val="ListParagraph"/>
        <w:numPr>
          <w:ilvl w:val="0"/>
          <w:numId w:val="2"/>
        </w:numPr>
        <w:spacing w:line="276" w:lineRule="auto"/>
      </w:pPr>
      <w:r>
        <w:t>the ability for the researcher to remain inert in the data collection process to reduce any researcher-induced bias;</w:t>
      </w:r>
    </w:p>
    <w:p w14:paraId="41622887" w14:textId="77777777" w:rsidR="00604E31" w:rsidRDefault="00604E31" w:rsidP="00604E31">
      <w:pPr>
        <w:pStyle w:val="ListParagraph"/>
        <w:numPr>
          <w:ilvl w:val="0"/>
          <w:numId w:val="2"/>
        </w:numPr>
        <w:spacing w:line="276" w:lineRule="auto"/>
      </w:pPr>
      <w:r>
        <w:lastRenderedPageBreak/>
        <w:t>the ability for participants to complete the questionnaire privately, at their own convenience and without interruption, which it was hoped would lead to responses that were honest and accurate;</w:t>
      </w:r>
    </w:p>
    <w:p w14:paraId="6DB9917E" w14:textId="77777777" w:rsidR="00604E31" w:rsidRDefault="00604E31" w:rsidP="00604E31">
      <w:pPr>
        <w:pStyle w:val="ListParagraph"/>
        <w:numPr>
          <w:ilvl w:val="0"/>
          <w:numId w:val="2"/>
        </w:numPr>
        <w:spacing w:line="276" w:lineRule="auto"/>
      </w:pPr>
      <w:r>
        <w:t>ease of placement and reach, achieved through the deployment of a weblink to the questionnaire on the home university's website;</w:t>
      </w:r>
    </w:p>
    <w:p w14:paraId="030F6F6F" w14:textId="77777777" w:rsidR="00604E31" w:rsidRDefault="00604E31" w:rsidP="00604E31">
      <w:pPr>
        <w:pStyle w:val="ListParagraph"/>
        <w:numPr>
          <w:ilvl w:val="0"/>
          <w:numId w:val="2"/>
        </w:numPr>
        <w:spacing w:line="276" w:lineRule="auto"/>
      </w:pPr>
      <w:r>
        <w:t>ease of data submission, and data conversion on receipt;</w:t>
      </w:r>
    </w:p>
    <w:p w14:paraId="0232B518" w14:textId="77777777" w:rsidR="00604E31" w:rsidRDefault="00604E31" w:rsidP="00604E31">
      <w:pPr>
        <w:pStyle w:val="ListParagraph"/>
        <w:numPr>
          <w:ilvl w:val="0"/>
          <w:numId w:val="2"/>
        </w:numPr>
        <w:spacing w:line="276" w:lineRule="auto"/>
      </w:pPr>
      <w:r>
        <w:t>the facility for strict confidentiality protocols to be applied whereby a participant's data, once submitted, were to be anonymous and not attributable to the participant by any means.</w:t>
      </w:r>
    </w:p>
    <w:p w14:paraId="6E59FCEF" w14:textId="77777777" w:rsidR="00604E31" w:rsidRDefault="00604E31" w:rsidP="00604E31">
      <w:r w:rsidRPr="00B81AD4">
        <w:t xml:space="preserve">Every questionnaire response received was anonymised </w:t>
      </w:r>
      <w:r>
        <w:t>at the submission point</w:t>
      </w:r>
      <w:r w:rsidRPr="00B81AD4">
        <w:t xml:space="preserve"> with a randomly generated 8-figure Questionnaire Response Identifier (QRI). The QRI was automatically added to the </w:t>
      </w:r>
      <w:r>
        <w:t xml:space="preserve">response dataset </w:t>
      </w:r>
      <w:r w:rsidRPr="00B81AD4">
        <w:t>by the post-action process for submitting the form as an e-mail</w:t>
      </w:r>
      <w:r>
        <w:t>. Should any participant subsequently request revocation of data submitted, this was achieved by including the QRI in the revocation request form, also submitted electronically and received anonymously. No participants requested this.</w:t>
      </w:r>
    </w:p>
    <w:p w14:paraId="0D495BE7" w14:textId="1EC63666" w:rsidR="00604E31" w:rsidRDefault="00604E31" w:rsidP="00604E31">
      <w:pPr>
        <w:pStyle w:val="Heading3"/>
      </w:pPr>
      <w:bookmarkStart w:id="119" w:name="QNRDesign"/>
      <w:bookmarkStart w:id="120" w:name="_Toc41910958"/>
      <w:bookmarkStart w:id="121" w:name="_Toc57035912"/>
      <w:bookmarkEnd w:id="119"/>
      <w:r>
        <w:t>II</w:t>
      </w:r>
      <w:r w:rsidR="00CC5358">
        <w:tab/>
      </w:r>
      <w:r>
        <w:t>Questionnaire design rationales</w:t>
      </w:r>
      <w:bookmarkEnd w:id="120"/>
      <w:bookmarkEnd w:id="121"/>
    </w:p>
    <w:p w14:paraId="52575B4C" w14:textId="77777777" w:rsidR="00604E31" w:rsidRDefault="00604E31" w:rsidP="00604E31">
      <w:r w:rsidRPr="00F45FAF">
        <w:t>The questionnaire was</w:t>
      </w:r>
      <w:r>
        <w:t xml:space="preserve"> designed to be as clear and as brief as possible. Notably, </w:t>
      </w:r>
      <w:r w:rsidRPr="00F45FAF">
        <w:t>guidance provided by the British Dyslexia Association was helpful in meeting many of the</w:t>
      </w:r>
      <w:r>
        <w:t xml:space="preserve"> </w:t>
      </w:r>
      <w:r w:rsidRPr="00F45FAF">
        <w:t>design objectives</w:t>
      </w:r>
      <w:r>
        <w:t xml:space="preserve">. Additional </w:t>
      </w:r>
      <w:r w:rsidRPr="00F45FAF">
        <w:t>literature</w:t>
      </w:r>
      <w:r>
        <w:t xml:space="preserve"> was consulted about designing accessible </w:t>
      </w:r>
      <w:r w:rsidRPr="00F45FAF">
        <w:t>online and web-based information systems</w:t>
      </w:r>
      <w:r>
        <w:t xml:space="preserve">, with particular attention to </w:t>
      </w:r>
      <w:r w:rsidRPr="00F45FAF">
        <w:t>text formats and web design for visually impaired and dyslexic readers</w:t>
      </w:r>
      <w:r>
        <w:t xml:space="preserve"> to ensure</w:t>
      </w:r>
      <w:r w:rsidRPr="00F45FAF">
        <w:t xml:space="preserve"> dyslexia</w:t>
      </w:r>
      <w:r>
        <w:t>-</w:t>
      </w:r>
      <w:r w:rsidRPr="00F45FAF">
        <w:t>complian</w:t>
      </w:r>
      <w:r>
        <w:t>t readability</w:t>
      </w:r>
      <w:r w:rsidRPr="00F45FAF">
        <w:t xml:space="preserve"> (Gregor &amp; Dickinson, 2007</w:t>
      </w:r>
      <w:r>
        <w:t>;</w:t>
      </w:r>
      <w:r w:rsidRPr="00F45FAF">
        <w:t xml:space="preserve"> </w:t>
      </w:r>
      <w:r>
        <w:t>Kurniawan, 2007; Al-</w:t>
      </w:r>
      <w:r w:rsidRPr="00F45FAF">
        <w:t xml:space="preserve">Wabil </w:t>
      </w:r>
      <w:r>
        <w:t>et al.</w:t>
      </w:r>
      <w:r w:rsidRPr="00F45FAF">
        <w:t>, 2007</w:t>
      </w:r>
      <w:r>
        <w:t xml:space="preserve">; Beacham &amp; Alty, 2006; </w:t>
      </w:r>
      <w:r w:rsidRPr="00F45FAF">
        <w:t>Evett &amp; Brown, 2005)</w:t>
      </w:r>
      <w:r>
        <w:t xml:space="preserve">; </w:t>
      </w:r>
      <w:r w:rsidRPr="00F45FAF">
        <w:t>to explore how dyslexia-friendly online webpage design may have been reviewed and updated in the light of the substantial</w:t>
      </w:r>
      <w:r>
        <w:t>, relatively recent</w:t>
      </w:r>
      <w:r w:rsidRPr="00F45FAF">
        <w:t xml:space="preserve"> expansion of online learning initiatives</w:t>
      </w:r>
      <w:r>
        <w:t xml:space="preserve"> (e.g.: </w:t>
      </w:r>
      <w:r w:rsidRPr="00F45FAF">
        <w:t xml:space="preserve">Rello </w:t>
      </w:r>
      <w:r>
        <w:t>et al.</w:t>
      </w:r>
      <w:r w:rsidRPr="00F45FAF">
        <w:t>, 2012</w:t>
      </w:r>
      <w:r>
        <w:t>;</w:t>
      </w:r>
      <w:r w:rsidRPr="00F45FAF">
        <w:t xml:space="preserve"> Chen </w:t>
      </w:r>
      <w:r>
        <w:t>et al.</w:t>
      </w:r>
      <w:r w:rsidRPr="00F45FAF">
        <w:t>, 2016</w:t>
      </w:r>
      <w:r>
        <w:t>;</w:t>
      </w:r>
      <w:r w:rsidRPr="00F45FAF">
        <w:t xml:space="preserve"> Berget </w:t>
      </w:r>
      <w:r>
        <w:t>et al.</w:t>
      </w:r>
      <w:r w:rsidRPr="00F45FAF">
        <w:t>, 2016)</w:t>
      </w:r>
      <w:r>
        <w:t>; and how</w:t>
      </w:r>
      <w:r w:rsidRPr="00F45FAF">
        <w:t xml:space="preserve"> strong accessibility protocols not only enabled better access for those with dyslexia</w:t>
      </w:r>
      <w:r>
        <w:t>,</w:t>
      </w:r>
      <w:r w:rsidRPr="00F45FAF">
        <w:t xml:space="preserve"> </w:t>
      </w:r>
      <w:r>
        <w:t>or</w:t>
      </w:r>
      <w:r w:rsidRPr="00F45FAF">
        <w:t xml:space="preserve"> who exper</w:t>
      </w:r>
      <w:r>
        <w:t>ienced visual stress or other vision differences,</w:t>
      </w:r>
      <w:r w:rsidRPr="00F45FAF">
        <w:t xml:space="preserve"> but provided better accessibility and more straightforward functionality for everyone (McCarthy &amp; Swierenga, 2010</w:t>
      </w:r>
      <w:r>
        <w:t>; Rello et. al, 2012; de Santana et.al., 2013</w:t>
      </w:r>
      <w:r w:rsidRPr="00F45FAF">
        <w:t>)</w:t>
      </w:r>
      <w:r>
        <w:t xml:space="preserve">. </w:t>
      </w:r>
      <w:r w:rsidRPr="00F45FAF">
        <w:t xml:space="preserve">Other literature was consulted about the impact of design and response formats on data quality (Maloshonok &amp; Terentev, 2016), on response and completion rates (Fan &amp; Yan, 2010), on the effectiveness of prize draw incentivizations (Sanchez-Fernandez </w:t>
      </w:r>
      <w:r>
        <w:t>et al.</w:t>
      </w:r>
      <w:r w:rsidRPr="00F45FAF">
        <w:t>, 2012</w:t>
      </w:r>
      <w:r>
        <w:t xml:space="preserve">), and </w:t>
      </w:r>
      <w:r w:rsidRPr="00F45FAF">
        <w:t xml:space="preserve">invitation design (Kaplowitz </w:t>
      </w:r>
      <w:r>
        <w:t>et al.</w:t>
      </w:r>
      <w:r w:rsidRPr="00F45FAF">
        <w:t>, 2011), and about web form design characteristics recommended for effectiveness and accessibility (Baatard, 2012).</w:t>
      </w:r>
      <w:r>
        <w:t xml:space="preserve"> T</w:t>
      </w:r>
      <w:r w:rsidRPr="00EC52F6">
        <w:t>he questionnaire design stage</w:t>
      </w:r>
      <w:r>
        <w:t xml:space="preserve"> </w:t>
      </w:r>
      <w:r w:rsidRPr="00EC52F6">
        <w:t>review</w:t>
      </w:r>
      <w:r>
        <w:t>ed</w:t>
      </w:r>
      <w:r w:rsidRPr="00EC52F6">
        <w:t xml:space="preserve"> existing web surve</w:t>
      </w:r>
      <w:r>
        <w:t xml:space="preserve">y applications for </w:t>
      </w:r>
      <w:r w:rsidRPr="00EC52F6">
        <w:t xml:space="preserve">customizability </w:t>
      </w:r>
      <w:r>
        <w:t xml:space="preserve">and flexibility, noting that </w:t>
      </w:r>
      <w:r w:rsidRPr="00EC52F6">
        <w:t>Google Forms</w:t>
      </w:r>
      <w:r>
        <w:t xml:space="preserve"> (Google, 2016)</w:t>
      </w:r>
      <w:r w:rsidRPr="00EC52F6">
        <w:t>, SurveyMonkey</w:t>
      </w:r>
      <w:r>
        <w:t xml:space="preserve"> (Survey Monkey, 2016), </w:t>
      </w:r>
      <w:r w:rsidRPr="00EC52F6">
        <w:t>SurveyLegend</w:t>
      </w:r>
      <w:r>
        <w:t xml:space="preserve"> (Survey Legend, 2016)</w:t>
      </w:r>
      <w:r w:rsidRPr="00EC52F6">
        <w:t>, Polldaddy</w:t>
      </w:r>
      <w:r>
        <w:t xml:space="preserve"> (Automattic, 2016)</w:t>
      </w:r>
      <w:r w:rsidRPr="00EC52F6">
        <w:t>, Survey Planet</w:t>
      </w:r>
      <w:r>
        <w:t xml:space="preserve"> (Survey Plant, 2016)</w:t>
      </w:r>
      <w:r w:rsidRPr="00EC52F6">
        <w:t>, Survey Nuts</w:t>
      </w:r>
      <w:r>
        <w:t xml:space="preserve"> (Zapier Inc., 2016)</w:t>
      </w:r>
      <w:r w:rsidRPr="00EC52F6">
        <w:t>, Zoho Survey</w:t>
      </w:r>
      <w:r>
        <w:t xml:space="preserve"> (Zoho Corp., 2016) and </w:t>
      </w:r>
      <w:r w:rsidRPr="00EC52F6">
        <w:t>Survey Gizmo</w:t>
      </w:r>
      <w:r>
        <w:t xml:space="preserve"> </w:t>
      </w:r>
      <w:r>
        <w:lastRenderedPageBreak/>
        <w:t>(Widgix, 2016), were all limited by</w:t>
      </w:r>
      <w:r w:rsidRPr="00EC52F6">
        <w:t xml:space="preserve"> strictly constrained design and functionality options; advertising</w:t>
      </w:r>
      <w:r>
        <w:t>,</w:t>
      </w:r>
      <w:r w:rsidRPr="00EC52F6">
        <w:t xml:space="preserve"> or custo</w:t>
      </w:r>
      <w:r>
        <w:t xml:space="preserve">m </w:t>
      </w:r>
      <w:r w:rsidRPr="00EC52F6">
        <w:t xml:space="preserve">branding. None of the apps reviewed included the functionality </w:t>
      </w:r>
      <w:r>
        <w:t xml:space="preserve">of </w:t>
      </w:r>
      <w:r w:rsidRPr="00EC52F6">
        <w:t>range input sliders.</w:t>
      </w:r>
    </w:p>
    <w:p w14:paraId="7C565D27" w14:textId="77777777" w:rsidR="00604E31" w:rsidRDefault="00604E31" w:rsidP="00604E31">
      <w:r>
        <w:t xml:space="preserve">Hence the project questionnaire was designed within these design rationales: </w:t>
      </w:r>
    </w:p>
    <w:p w14:paraId="1840AC9D" w14:textId="77777777" w:rsidR="00604E31" w:rsidRDefault="00604E31" w:rsidP="00604E31">
      <w:pPr>
        <w:pStyle w:val="ListParagraph"/>
        <w:numPr>
          <w:ilvl w:val="0"/>
          <w:numId w:val="3"/>
        </w:numPr>
        <w:spacing w:line="276" w:lineRule="auto"/>
      </w:pPr>
      <w:r>
        <w:t xml:space="preserve">it was </w:t>
      </w:r>
      <w:r w:rsidRPr="00753160">
        <w:t xml:space="preserve">an </w:t>
      </w:r>
      <w:r>
        <w:t xml:space="preserve">online questionnaire that </w:t>
      </w:r>
      <w:r w:rsidRPr="00753160">
        <w:t>render</w:t>
      </w:r>
      <w:r>
        <w:t>ed</w:t>
      </w:r>
      <w:r w:rsidRPr="00753160">
        <w:t xml:space="preserve"> properly in at least the four most popular web-browsers: Google Chrome, Mozilla Firefox, Internet Explorer, Safari (usage popularity respectively 69.9%, 17.8%, 6.1%, 3.6%, data for March 2016 (w3schools.com, 2016))</w:t>
      </w:r>
      <w:r>
        <w:t>;</w:t>
      </w:r>
      <w:r w:rsidRPr="00753160">
        <w:t xml:space="preserve"> </w:t>
      </w:r>
    </w:p>
    <w:p w14:paraId="042AB7DD" w14:textId="77777777" w:rsidR="00604E31" w:rsidRDefault="00604E31" w:rsidP="00604E31">
      <w:pPr>
        <w:pStyle w:val="ListParagraph"/>
        <w:numPr>
          <w:ilvl w:val="0"/>
          <w:numId w:val="3"/>
        </w:numPr>
        <w:spacing w:line="276" w:lineRule="auto"/>
      </w:pPr>
      <w:r>
        <w:t>text, fonts and colours were carefully chosen to ensure that the questionnaire was attractive to view and easy to engage with, meeting W3C Web Accessibility Initiative Guidelines (W3C WAI, 2016);</w:t>
      </w:r>
    </w:p>
    <w:p w14:paraId="75DC4EEE" w14:textId="77777777" w:rsidR="00604E31" w:rsidRDefault="00604E31" w:rsidP="00604E31">
      <w:pPr>
        <w:pStyle w:val="ListParagraph"/>
        <w:numPr>
          <w:ilvl w:val="0"/>
          <w:numId w:val="3"/>
        </w:numPr>
        <w:spacing w:line="276" w:lineRule="auto"/>
      </w:pPr>
      <w:r>
        <w:t>an estimate was provided about completion time (15 minutes);</w:t>
      </w:r>
    </w:p>
    <w:p w14:paraId="1FCD02C3" w14:textId="77777777" w:rsidR="00604E31" w:rsidRDefault="00604E31" w:rsidP="00604E31">
      <w:pPr>
        <w:pStyle w:val="ListParagraph"/>
        <w:numPr>
          <w:ilvl w:val="0"/>
          <w:numId w:val="3"/>
        </w:numPr>
        <w:spacing w:line="276" w:lineRule="auto"/>
      </w:pPr>
      <w:r>
        <w:t>questions were grouped into five, short sections, each focusing on a specific aspect of the research, with each question-group viewable one section at a time. This was to attempt to reduce survey fatigue and poor completion rates (McPeake et al., 2014; Ganassali, 2008; Flowerdew &amp; Martin, 2008; Marcus et al., 2007; Cohen &amp; Manion, 1994); In the event, only 17 of the 183 questionnaires returned were incomplete (9.2%).</w:t>
      </w:r>
    </w:p>
    <w:p w14:paraId="16EFC7E3" w14:textId="77777777" w:rsidR="00604E31" w:rsidRDefault="00604E31" w:rsidP="00604E31">
      <w:pPr>
        <w:pStyle w:val="ListParagraph"/>
        <w:numPr>
          <w:ilvl w:val="0"/>
          <w:numId w:val="3"/>
        </w:numPr>
        <w:spacing w:line="276" w:lineRule="auto"/>
      </w:pPr>
      <w:r>
        <w:t>the substantial part of the questionnaire used Likert-style items in groups, presenting response options using range sliders to gauge agreement with statements;</w:t>
      </w:r>
    </w:p>
    <w:p w14:paraId="07D4092A" w14:textId="77777777" w:rsidR="00604E31" w:rsidRDefault="00604E31" w:rsidP="00604E31">
      <w:pPr>
        <w:pStyle w:val="ListParagraph"/>
        <w:numPr>
          <w:ilvl w:val="0"/>
          <w:numId w:val="3"/>
        </w:numPr>
        <w:spacing w:line="276" w:lineRule="auto"/>
      </w:pPr>
      <w:r>
        <w:t>the questionnaire scale item statements were written as neutrally as possible, or in instances where this was difficult to phrase, a blend of negative and positive phrasing was used (e.g.: Sudman &amp; Bradburn 1982). This was an attempt to avoid tacitly suggesting that the questionnaire was evaluating the impacts of learning difficulty, disability or other learning challenge on studying at university, but rather that a balanced approach was being used to explore a range of study strengths as well as challenges;</w:t>
      </w:r>
    </w:p>
    <w:p w14:paraId="6C703E7C" w14:textId="77777777" w:rsidR="00604E31" w:rsidRDefault="00604E31" w:rsidP="00604E31">
      <w:pPr>
        <w:pStyle w:val="ListParagraph"/>
        <w:numPr>
          <w:ilvl w:val="0"/>
          <w:numId w:val="3"/>
        </w:numPr>
        <w:spacing w:line="276" w:lineRule="auto"/>
      </w:pPr>
      <w:r>
        <w:t>a free-writing field was included to encourage participants to feel engaged with the research by providing an opportunity to make further comments about their studies at university in whatever form they wished. This had proved to be a popular feature in the preceding dissertation questionnaire (Dykes, 2008), providing rich, qualitative data;</w:t>
      </w:r>
    </w:p>
    <w:p w14:paraId="291A1E06" w14:textId="44A7E0DA" w:rsidR="00604E31" w:rsidRDefault="00604E31" w:rsidP="00604E31">
      <w:pPr>
        <w:ind w:left="360"/>
        <w:rPr>
          <w:rFonts w:eastAsia="Times New Roman"/>
          <w:lang w:eastAsia="en-GB"/>
        </w:rPr>
      </w:pPr>
      <w:r w:rsidRPr="004E7D66">
        <w:rPr>
          <w:rFonts w:eastAsia="Times New Roman"/>
          <w:lang w:eastAsia="en-GB"/>
        </w:rPr>
        <w:t xml:space="preserve">The questionnaire was built, tested and published on the project webpages which had been established and hosted on the researcher's private web server, not least as this presented the most expedient means to retain complete control over both the content and security of the webpages. The questionnaire remains available </w:t>
      </w:r>
      <w:hyperlink r:id="rId33" w:history="1">
        <w:r w:rsidRPr="004E7D66">
          <w:rPr>
            <w:rStyle w:val="Hyperlink"/>
            <w:rFonts w:eastAsia="Times New Roman"/>
            <w:lang w:eastAsia="en-GB"/>
          </w:rPr>
          <w:t>here</w:t>
        </w:r>
      </w:hyperlink>
      <w:r w:rsidRPr="004E7D66">
        <w:rPr>
          <w:rFonts w:eastAsia="Times New Roman"/>
          <w:lang w:eastAsia="en-GB"/>
        </w:rPr>
        <w:t>​.</w:t>
      </w:r>
    </w:p>
    <w:p w14:paraId="7769D6DF" w14:textId="33828539" w:rsidR="00B3671B" w:rsidRDefault="00B3671B" w:rsidP="00604E31">
      <w:pPr>
        <w:ind w:left="360"/>
        <w:rPr>
          <w:rFonts w:eastAsia="Times New Roman"/>
          <w:lang w:eastAsia="en-GB"/>
        </w:rPr>
      </w:pPr>
    </w:p>
    <w:p w14:paraId="313DB04D" w14:textId="77777777" w:rsidR="00B3671B" w:rsidRPr="004E7D66" w:rsidRDefault="00B3671B" w:rsidP="00604E31">
      <w:pPr>
        <w:ind w:left="360"/>
        <w:rPr>
          <w:rFonts w:eastAsia="Times New Roman"/>
          <w:lang w:eastAsia="en-GB"/>
        </w:rPr>
      </w:pPr>
    </w:p>
    <w:p w14:paraId="69FE9322" w14:textId="3C834488" w:rsidR="00604E31" w:rsidRDefault="00604E31" w:rsidP="00604E31">
      <w:pPr>
        <w:pStyle w:val="Heading3"/>
      </w:pPr>
      <w:bookmarkStart w:id="122" w:name="QNRComps"/>
      <w:bookmarkStart w:id="123" w:name="_Toc41910959"/>
      <w:bookmarkStart w:id="124" w:name="_Toc57035913"/>
      <w:bookmarkEnd w:id="122"/>
      <w:r>
        <w:lastRenderedPageBreak/>
        <w:t>III</w:t>
      </w:r>
      <w:r w:rsidR="00CC5358">
        <w:tab/>
      </w:r>
      <w:r>
        <w:t>Questionnaire Components</w:t>
      </w:r>
      <w:bookmarkEnd w:id="123"/>
      <w:bookmarkEnd w:id="124"/>
    </w:p>
    <w:p w14:paraId="665F8014" w14:textId="77777777" w:rsidR="00604E31" w:rsidRDefault="00604E31" w:rsidP="00604E31">
      <w:r>
        <w:t>The questionnaire comprised three main sections: The first presented demographic data fields that all participants were to complete. The second section comprised quantitative data collection fields to explore academic confidence and dyslexia-ness. The final section collected qualitative data.</w:t>
      </w:r>
    </w:p>
    <w:p w14:paraId="78C15B59" w14:textId="77777777" w:rsidR="00604E31" w:rsidRDefault="00604E31" w:rsidP="00604E31">
      <w:pPr>
        <w:pStyle w:val="Heading4"/>
      </w:pPr>
      <w:bookmarkStart w:id="125" w:name="Demographic"/>
      <w:bookmarkEnd w:id="125"/>
      <w:r>
        <w:t>1. Demographic data</w:t>
      </w:r>
    </w:p>
    <w:p w14:paraId="2CDA6E9A" w14:textId="0C1484C7" w:rsidR="00604E31" w:rsidRPr="00A02020" w:rsidRDefault="008418A1" w:rsidP="00604E31">
      <w:pPr>
        <w:rPr>
          <w:bCs/>
        </w:rPr>
      </w:pPr>
      <w:r>
        <w:rPr>
          <w:noProof/>
        </w:rPr>
        <mc:AlternateContent>
          <mc:Choice Requires="wps">
            <w:drawing>
              <wp:anchor distT="0" distB="0" distL="114300" distR="114300" simplePos="0" relativeHeight="251720704" behindDoc="0" locked="0" layoutInCell="1" allowOverlap="1" wp14:anchorId="0949C1B5" wp14:editId="1AE44955">
                <wp:simplePos x="0" y="0"/>
                <wp:positionH relativeFrom="column">
                  <wp:posOffset>0</wp:posOffset>
                </wp:positionH>
                <wp:positionV relativeFrom="paragraph">
                  <wp:posOffset>2990215</wp:posOffset>
                </wp:positionV>
                <wp:extent cx="5168900" cy="635"/>
                <wp:effectExtent l="0" t="0" r="0" b="12065"/>
                <wp:wrapTopAndBottom/>
                <wp:docPr id="32" name="Text Box 32"/>
                <wp:cNvGraphicFramePr/>
                <a:graphic xmlns:a="http://schemas.openxmlformats.org/drawingml/2006/main">
                  <a:graphicData uri="http://schemas.microsoft.com/office/word/2010/wordprocessingShape">
                    <wps:wsp>
                      <wps:cNvSpPr txBox="1"/>
                      <wps:spPr>
                        <a:xfrm>
                          <a:off x="0" y="0"/>
                          <a:ext cx="5168900" cy="635"/>
                        </a:xfrm>
                        <a:prstGeom prst="rect">
                          <a:avLst/>
                        </a:prstGeom>
                        <a:solidFill>
                          <a:prstClr val="white"/>
                        </a:solidFill>
                        <a:ln>
                          <a:noFill/>
                        </a:ln>
                      </wps:spPr>
                      <wps:txbx>
                        <w:txbxContent>
                          <w:p w14:paraId="11AE857B" w14:textId="60082088" w:rsidR="00533FBF" w:rsidRPr="00351175" w:rsidRDefault="00533FBF" w:rsidP="008418A1">
                            <w:pPr>
                              <w:pStyle w:val="Subtitle"/>
                              <w:rPr>
                                <w:rFonts w:ascii="Muli" w:hAnsi="Muli"/>
                                <w:bCs/>
                                <w:noProof/>
                                <w:sz w:val="20"/>
                              </w:rPr>
                            </w:pPr>
                            <w:bookmarkStart w:id="126" w:name="_Toc56495227"/>
                            <w:r>
                              <w:t xml:space="preserve">Figure </w:t>
                            </w:r>
                            <w:r w:rsidR="00B568C9">
                              <w:fldChar w:fldCharType="begin"/>
                            </w:r>
                            <w:r w:rsidR="00B568C9">
                              <w:instrText xml:space="preserve"> SEQ Figure \* ARABIC </w:instrText>
                            </w:r>
                            <w:r w:rsidR="00B568C9">
                              <w:fldChar w:fldCharType="separate"/>
                            </w:r>
                            <w:r>
                              <w:rPr>
                                <w:noProof/>
                              </w:rPr>
                              <w:t>8</w:t>
                            </w:r>
                            <w:r w:rsidR="00B568C9">
                              <w:rPr>
                                <w:noProof/>
                              </w:rPr>
                              <w:fldChar w:fldCharType="end"/>
                            </w:r>
                            <w:r>
                              <w:tab/>
                            </w:r>
                            <w:r w:rsidRPr="00B967B1">
                              <w:t>Selecting how dyslexic students learned of their dyslexia</w:t>
                            </w:r>
                            <w:bookmarkEnd w:id="1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49C1B5" id="Text Box 32" o:spid="_x0000_s1033" type="#_x0000_t202" style="position:absolute;margin-left:0;margin-top:235.45pt;width:407pt;height:.0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" stroked="f">
                <v:textbox style="mso-fit-shape-to-text:t" inset="0,0,0,0">
                  <w:txbxContent>
                    <w:p w14:paraId="11AE857B" w14:textId="60082088" w:rsidR="00533FBF" w:rsidRPr="00351175" w:rsidRDefault="00533FBF" w:rsidP="008418A1">
                      <w:pPr>
                        <w:pStyle w:val="Subtitle"/>
                        <w:rPr>
                          <w:rFonts w:ascii="Muli" w:hAnsi="Muli"/>
                          <w:bCs/>
                          <w:noProof/>
                          <w:sz w:val="20"/>
                        </w:rPr>
                      </w:pPr>
                      <w:bookmarkStart w:id="142" w:name="_Toc56495227"/>
                      <w:r>
                        <w:t xml:space="preserve">Figure </w:t>
                      </w:r>
                      <w:fldSimple w:instr=" SEQ Figure \* ARABIC ">
                        <w:r>
                          <w:rPr>
                            <w:noProof/>
                          </w:rPr>
                          <w:t>8</w:t>
                        </w:r>
                      </w:fldSimple>
                      <w:r>
                        <w:tab/>
                      </w:r>
                      <w:r w:rsidRPr="00B967B1">
                        <w:t>Selecting how dyslexic students learned of their dyslexia</w:t>
                      </w:r>
                      <w:bookmarkEnd w:id="142"/>
                    </w:p>
                  </w:txbxContent>
                </v:textbox>
                <w10:wrap type="topAndBottom"/>
              </v:shape>
            </w:pict>
          </mc:Fallback>
        </mc:AlternateContent>
      </w:r>
      <w:r w:rsidR="00604E31">
        <w:rPr>
          <w:bCs/>
          <w:noProof/>
          <w:lang w:eastAsia="en-GB"/>
        </w:rPr>
        <w:drawing>
          <wp:anchor distT="0" distB="0" distL="114300" distR="114300" simplePos="0" relativeHeight="251712512" behindDoc="0" locked="0" layoutInCell="1" allowOverlap="1" wp14:anchorId="7800BF6A" wp14:editId="42DE1340">
            <wp:simplePos x="0" y="0"/>
            <wp:positionH relativeFrom="margin">
              <wp:posOffset>0</wp:posOffset>
            </wp:positionH>
            <wp:positionV relativeFrom="paragraph">
              <wp:posOffset>1433407</wp:posOffset>
            </wp:positionV>
            <wp:extent cx="5168900" cy="1499870"/>
            <wp:effectExtent l="0" t="0" r="0" b="0"/>
            <wp:wrapTopAndBottom/>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yDyslexiaWas.png"/>
                    <pic:cNvPicPr/>
                  </pic:nvPicPr>
                  <pic:blipFill rotWithShape="1">
                    <a:blip r:embed="rId34">
                      <a:extLst>
                        <a:ext uri="{28A0092B-C50C-407E-A947-70E740481C1C}">
                          <a14:useLocalDpi xmlns:a14="http://schemas.microsoft.com/office/drawing/2010/main" val="0"/>
                        </a:ext>
                      </a:extLst>
                    </a:blip>
                    <a:srcRect l="7535"/>
                    <a:stretch/>
                  </pic:blipFill>
                  <pic:spPr bwMode="auto">
                    <a:xfrm>
                      <a:off x="0" y="0"/>
                      <a:ext cx="5168900" cy="1499870"/>
                    </a:xfrm>
                    <a:prstGeom prst="rect">
                      <a:avLst/>
                    </a:prstGeom>
                    <a:ln>
                      <a:noFill/>
                    </a:ln>
                    <a:extLst>
                      <a:ext uri="{53640926-AAD7-44D8-BBD7-CCE9431645EC}">
                        <a14:shadowObscured xmlns:a14="http://schemas.microsoft.com/office/drawing/2010/main"/>
                      </a:ext>
                    </a:extLst>
                  </pic:spPr>
                </pic:pic>
              </a:graphicData>
            </a:graphic>
          </wp:anchor>
        </w:drawing>
      </w:r>
      <w:r w:rsidR="00604E31">
        <w:t xml:space="preserve">Data were collected on gender, student domicile ('home' or 'overseas') and student study level, with options provided from Foundation Level 3/4 to post-doctoral researcher Level 8 (QAA, 2014). This preliminary section also asked students with dyslexia how they learned of their dyslexia by selecting options </w:t>
      </w:r>
      <w:r w:rsidR="00604E31" w:rsidRPr="006E59BF">
        <w:rPr>
          <w:bCs/>
        </w:rPr>
        <w:t>from</w:t>
      </w:r>
      <w:r w:rsidR="00604E31">
        <w:rPr>
          <w:bCs/>
        </w:rPr>
        <w:t xml:space="preserve"> </w:t>
      </w:r>
      <w:r w:rsidR="00604E31" w:rsidRPr="006E59BF">
        <w:rPr>
          <w:bCs/>
        </w:rPr>
        <w:t>two drop-down menus t</w:t>
      </w:r>
      <w:r w:rsidR="00604E31">
        <w:rPr>
          <w:bCs/>
        </w:rPr>
        <w:t>o complete a sentence (Fig</w:t>
      </w:r>
      <w:r>
        <w:rPr>
          <w:bCs/>
        </w:rPr>
        <w:t>ure</w:t>
      </w:r>
      <w:r w:rsidR="00604E31">
        <w:rPr>
          <w:bCs/>
        </w:rPr>
        <w:t xml:space="preserve"> 8)</w:t>
      </w:r>
      <w:r w:rsidR="00604E31">
        <w:t>, thus collecting data to address Hypothesis 3 (see sub-section 1.4).</w:t>
      </w:r>
    </w:p>
    <w:p w14:paraId="52D1DACB" w14:textId="77777777" w:rsidR="00604E31" w:rsidRDefault="00604E31" w:rsidP="00604E31">
      <w:pPr>
        <w:pStyle w:val="Heading5"/>
      </w:pPr>
    </w:p>
    <w:p w14:paraId="57C37736" w14:textId="77777777" w:rsidR="00604E31" w:rsidRDefault="00604E31" w:rsidP="00604E31">
      <w:pPr>
        <w:pStyle w:val="Heading4"/>
      </w:pPr>
      <w:bookmarkStart w:id="127" w:name="QuantDataLikert"/>
      <w:bookmarkEnd w:id="127"/>
      <w:r>
        <w:t>2. Quantitative Data</w:t>
      </w:r>
    </w:p>
    <w:p w14:paraId="00C127D1" w14:textId="77777777" w:rsidR="00604E31" w:rsidRDefault="00604E31" w:rsidP="00604E31">
      <w:pPr>
        <w:pStyle w:val="Heading5"/>
      </w:pPr>
      <w:r>
        <w:t>Likert Scales</w:t>
      </w:r>
    </w:p>
    <w:p w14:paraId="0D211E33" w14:textId="77777777" w:rsidR="00604E31" w:rsidRDefault="00604E31" w:rsidP="00604E31">
      <w:pPr>
        <w:pStyle w:val="ListParagraph"/>
        <w:keepNext/>
        <w:ind w:left="0"/>
      </w:pPr>
      <w:r>
        <w:t xml:space="preserve">Likert-style scales were used to collect quantitative data throughout the questionnaire.  Participants reported their degree of agreement with each scale-item statement using a continuous response scale approach. This was </w:t>
      </w:r>
      <w:r w:rsidRPr="00444913">
        <w:t xml:space="preserve">developed for this project </w:t>
      </w:r>
      <w:r>
        <w:t>in preference to traditional, fixed anchor point scale items because the data produced are arbitrarily coded so that they</w:t>
      </w:r>
      <w:r w:rsidRPr="00673492">
        <w:t xml:space="preserve"> can be statistically analysed</w:t>
      </w:r>
      <w:r>
        <w:t xml:space="preserve"> but t</w:t>
      </w:r>
      <w:r w:rsidRPr="00673492">
        <w:t>his makes the data neither authentic nor actual (Carifio &amp; Perla, 2007</w:t>
      </w:r>
      <w:r>
        <w:t>;</w:t>
      </w:r>
      <w:r w:rsidRPr="00673492">
        <w:t xml:space="preserve"> Carifio &amp; Perla 2008</w:t>
      </w:r>
      <w:r>
        <w:t>; Ladd, 2009</w:t>
      </w:r>
      <w:r w:rsidRPr="00673492">
        <w:t>)</w:t>
      </w:r>
      <w:r>
        <w:t xml:space="preserve">. Hence by using range sliders, data quality may be increased (Funke &amp; Reips, 2012), and would be as close to continuous as possible, thus enabling parametric analysis to be reasonably conducted (Jamieson, 2004; Pell, 2005; Carifio &amp; Perla, 2007; 2008; Grace-Martin, 2008; Ladd, 2009; Norman, 2010; Murray, 2013, Mirciouiu &amp; Atkinson, 2017). In this questionnaire, the continuous scales were set as percentage agreement, ranging from 0% to 100%, </w:t>
      </w:r>
      <w:r>
        <w:lastRenderedPageBreak/>
        <w:t>hence corresponding to participants strongly disagreeing to strongly agreeing respectively, with each statement.</w:t>
      </w:r>
    </w:p>
    <w:p w14:paraId="4A903084" w14:textId="0FD0B245" w:rsidR="00604E31" w:rsidRDefault="00604E31" w:rsidP="00604E31">
      <w:pPr>
        <w:pStyle w:val="Heading5"/>
      </w:pPr>
      <w:r>
        <w:t>1 The Academic Behavioural Confidence Scale:</w:t>
      </w:r>
    </w:p>
    <w:p w14:paraId="18A220D1" w14:textId="77777777" w:rsidR="00604E31" w:rsidRPr="00EE5E5B" w:rsidRDefault="00604E31" w:rsidP="00604E31">
      <w:pPr>
        <w:rPr>
          <w:rFonts w:eastAsia="Times New Roman"/>
          <w:lang w:eastAsia="en-GB"/>
        </w:rPr>
      </w:pPr>
      <w:r w:rsidRPr="001B3B22">
        <w:t>Academic confidence</w:t>
      </w:r>
      <w:r>
        <w:t xml:space="preserve"> was</w:t>
      </w:r>
      <w:r w:rsidRPr="001B3B22">
        <w:t xml:space="preserve"> assessed using the existing, A</w:t>
      </w:r>
      <w:r>
        <w:t xml:space="preserve">BC </w:t>
      </w:r>
      <w:r w:rsidRPr="001B3B22">
        <w:t>Scale</w:t>
      </w:r>
      <w:r>
        <w:t xml:space="preserve"> (Sanders, 2006b), which is known </w:t>
      </w:r>
      <w:r w:rsidRPr="001B3B22">
        <w:t>to be a</w:t>
      </w:r>
      <w:r>
        <w:t xml:space="preserve"> reliable </w:t>
      </w:r>
      <w:r w:rsidRPr="001B3B22">
        <w:t xml:space="preserve">evaluator of </w:t>
      </w:r>
      <w:r>
        <w:t xml:space="preserve">the </w:t>
      </w:r>
      <w:r w:rsidRPr="001B3B22">
        <w:t xml:space="preserve">academic confidence </w:t>
      </w:r>
      <w:r>
        <w:t>of</w:t>
      </w:r>
      <w:r w:rsidRPr="001B3B22">
        <w:t xml:space="preserve"> university-level students</w:t>
      </w:r>
      <w:r>
        <w:t xml:space="preserve"> by examining their </w:t>
      </w:r>
      <w:r w:rsidRPr="001B3B22">
        <w:t>study behaviours</w:t>
      </w:r>
      <w:r>
        <w:t xml:space="preserve"> and actions (see Section 2.2)</w:t>
      </w:r>
      <w:r w:rsidRPr="001B3B22">
        <w:t xml:space="preserve">. </w:t>
      </w:r>
      <w:r>
        <w:rPr>
          <w:rFonts w:eastAsia="Times New Roman"/>
          <w:lang w:eastAsia="en-GB"/>
        </w:rPr>
        <w:t>U</w:t>
      </w:r>
      <w:r w:rsidRPr="0031555D">
        <w:rPr>
          <w:rFonts w:eastAsia="Times New Roman"/>
          <w:lang w:eastAsia="en-GB"/>
        </w:rPr>
        <w:t xml:space="preserve">sing the 24-item scale, Sander and </w:t>
      </w:r>
      <w:r>
        <w:rPr>
          <w:rFonts w:eastAsia="Times New Roman"/>
          <w:lang w:eastAsia="en-GB"/>
        </w:rPr>
        <w:t xml:space="preserve">colleagues </w:t>
      </w:r>
      <w:r w:rsidRPr="0031555D">
        <w:rPr>
          <w:rFonts w:eastAsia="Times New Roman"/>
          <w:lang w:eastAsia="en-GB"/>
        </w:rPr>
        <w:t>reported it to possess an internal reliability of ɑ = 0.88 (2007), based on data acquired from a sample of 284 participants drawn from two UK universities. All other studies using the ABC Scale found to date, appear to have either relied on this ɑ-value, or only report the internal reliability of the ABC Scale's sub-scales, as derived by prior dimension reduction (op cit). With one exception, no other studies were found that indicated item redundancy analysis nor dimension reduction of the ABC 24-item scale</w:t>
      </w:r>
      <w:r>
        <w:rPr>
          <w:rFonts w:eastAsia="Times New Roman"/>
          <w:lang w:eastAsia="en-GB"/>
        </w:rPr>
        <w:t xml:space="preserve"> </w:t>
      </w:r>
      <w:r w:rsidRPr="0031555D">
        <w:rPr>
          <w:rFonts w:eastAsia="Times New Roman"/>
          <w:lang w:eastAsia="en-GB"/>
        </w:rPr>
        <w:t xml:space="preserve">as a mechanism for a more nuanced analysis of local data. </w:t>
      </w:r>
      <w:r>
        <w:rPr>
          <w:rFonts w:eastAsia="Times New Roman"/>
          <w:lang w:eastAsia="en-GB"/>
        </w:rPr>
        <w:t xml:space="preserve">The exception was a </w:t>
      </w:r>
      <w:r w:rsidRPr="0031555D">
        <w:rPr>
          <w:rFonts w:eastAsia="Times New Roman"/>
          <w:lang w:eastAsia="en-GB"/>
        </w:rPr>
        <w:t>short conference paper</w:t>
      </w:r>
      <w:r>
        <w:rPr>
          <w:rFonts w:eastAsia="Times New Roman"/>
          <w:lang w:eastAsia="en-GB"/>
        </w:rPr>
        <w:t xml:space="preserve"> </w:t>
      </w:r>
      <w:r w:rsidRPr="0031555D">
        <w:rPr>
          <w:rFonts w:eastAsia="Times New Roman"/>
          <w:lang w:eastAsia="en-GB"/>
        </w:rPr>
        <w:t xml:space="preserve">detailing a statistical evaluation of the factor structure of the preceding, Academic Confidence Scale, </w:t>
      </w:r>
      <w:r>
        <w:rPr>
          <w:rFonts w:eastAsia="Times New Roman"/>
          <w:lang w:eastAsia="en-GB"/>
        </w:rPr>
        <w:t xml:space="preserve">that </w:t>
      </w:r>
      <w:r w:rsidRPr="0031555D">
        <w:rPr>
          <w:rFonts w:eastAsia="Times New Roman"/>
          <w:lang w:eastAsia="en-GB"/>
        </w:rPr>
        <w:t>used</w:t>
      </w:r>
      <w:r>
        <w:rPr>
          <w:rFonts w:eastAsia="Times New Roman"/>
          <w:lang w:eastAsia="en-GB"/>
        </w:rPr>
        <w:t xml:space="preserve"> </w:t>
      </w:r>
      <w:r w:rsidRPr="0031555D">
        <w:rPr>
          <w:rFonts w:eastAsia="Times New Roman"/>
          <w:lang w:eastAsia="en-GB"/>
        </w:rPr>
        <w:t>data collected from a local university (Corkery, et.al., 2011), and although</w:t>
      </w:r>
      <w:r>
        <w:rPr>
          <w:rFonts w:eastAsia="Times New Roman"/>
          <w:lang w:eastAsia="en-GB"/>
        </w:rPr>
        <w:t xml:space="preserve"> </w:t>
      </w:r>
      <w:r w:rsidRPr="0031555D">
        <w:rPr>
          <w:rFonts w:eastAsia="Times New Roman"/>
          <w:lang w:eastAsia="en-GB"/>
        </w:rPr>
        <w:t>no overall</w:t>
      </w:r>
      <w:r>
        <w:rPr>
          <w:rFonts w:eastAsia="Times New Roman"/>
          <w:lang w:eastAsia="en-GB"/>
        </w:rPr>
        <w:t xml:space="preserve"> </w:t>
      </w:r>
      <w:r w:rsidRPr="0031555D">
        <w:rPr>
          <w:rFonts w:eastAsia="Times New Roman"/>
          <w:lang w:eastAsia="en-GB"/>
        </w:rPr>
        <w:t>measure for scale reliability was indicated, coefficients for the three subscales were presented, with values ranging from 0.711 &lt; ɑ &lt; 0.880.</w:t>
      </w:r>
    </w:p>
    <w:p w14:paraId="1ED1C074" w14:textId="77777777" w:rsidR="00604E31" w:rsidRDefault="00604E31" w:rsidP="00604E31">
      <w:r>
        <w:t>Currently, n</w:t>
      </w:r>
      <w:r w:rsidRPr="001B3B22">
        <w:t xml:space="preserve">o other metrics </w:t>
      </w:r>
      <w:r>
        <w:t>exist which</w:t>
      </w:r>
      <w:r w:rsidRPr="001B3B22">
        <w:t xml:space="preserve"> ex</w:t>
      </w:r>
      <w:r>
        <w:t xml:space="preserve">plicitly </w:t>
      </w:r>
      <w:r w:rsidRPr="001B3B22">
        <w:t xml:space="preserve">focus on gauging confidence in academic settings (Boyle </w:t>
      </w:r>
      <w:r>
        <w:t>et al.</w:t>
      </w:r>
      <w:r w:rsidRPr="001B3B22">
        <w:t>, 2015)</w:t>
      </w:r>
      <w:r>
        <w:t>. E</w:t>
      </w:r>
      <w:r w:rsidRPr="001B3B22">
        <w:t xml:space="preserve">valuators </w:t>
      </w:r>
      <w:r>
        <w:t xml:space="preserve">exist to </w:t>
      </w:r>
      <w:r w:rsidRPr="001B3B22">
        <w:t>measure self-efficacy</w:t>
      </w:r>
      <w:r>
        <w:t xml:space="preserve"> or </w:t>
      </w:r>
      <w:r w:rsidRPr="001B3B22">
        <w:t>academic self-effic</w:t>
      </w:r>
      <w:r>
        <w:t>acy, which, as also described in Section 2</w:t>
      </w:r>
      <w:r w:rsidRPr="001B3B22">
        <w:t>, is considered to be the umbrella construct that includes academic confidence</w:t>
      </w:r>
      <w:r>
        <w:t xml:space="preserve"> (Sander &amp; Sanders, 2003)</w:t>
      </w:r>
      <w:r w:rsidRPr="001B3B22">
        <w:t xml:space="preserve">. </w:t>
      </w:r>
      <w:r>
        <w:t>However, of all such measures, the ABC Scale most closely matched the research objectives of this study. The full scale of 24 items includes dimensions such as: 'I am confident that ...</w:t>
      </w:r>
    </w:p>
    <w:p w14:paraId="6FD0E367" w14:textId="77777777" w:rsidR="00604E31" w:rsidRDefault="00604E31" w:rsidP="00604E31">
      <w:pPr>
        <w:pStyle w:val="ListParagraph"/>
        <w:numPr>
          <w:ilvl w:val="0"/>
          <w:numId w:val="48"/>
        </w:numPr>
      </w:pPr>
      <w:r>
        <w:t>... I can study effectively in independent study';</w:t>
      </w:r>
    </w:p>
    <w:p w14:paraId="3BB0C846" w14:textId="77777777" w:rsidR="00604E31" w:rsidRDefault="00604E31" w:rsidP="00604E31">
      <w:pPr>
        <w:pStyle w:val="ListParagraph"/>
        <w:numPr>
          <w:ilvl w:val="0"/>
          <w:numId w:val="48"/>
        </w:numPr>
      </w:pPr>
      <w:r>
        <w:t>... I can present to a small group of peers';</w:t>
      </w:r>
    </w:p>
    <w:p w14:paraId="080007F7" w14:textId="77777777" w:rsidR="00604E31" w:rsidRDefault="00604E31" w:rsidP="00604E31">
      <w:pPr>
        <w:pStyle w:val="ListParagraph"/>
        <w:numPr>
          <w:ilvl w:val="0"/>
          <w:numId w:val="48"/>
        </w:numPr>
      </w:pPr>
      <w:r>
        <w:t>... I can prepare thoroughly for tutorials'.</w:t>
      </w:r>
    </w:p>
    <w:p w14:paraId="043E3CBE" w14:textId="77777777" w:rsidR="00604E31" w:rsidRPr="001B3B22" w:rsidRDefault="00604E31" w:rsidP="00604E31">
      <w:pPr>
        <w:ind w:left="63"/>
      </w:pPr>
      <w:r>
        <w:t xml:space="preserve">The complete scale is listed in Appendix 8.1(II). </w:t>
      </w:r>
    </w:p>
    <w:p w14:paraId="62ACE65D" w14:textId="1E205A2C" w:rsidR="00604E31" w:rsidRDefault="00604E31" w:rsidP="00604E31">
      <w:pPr>
        <w:pStyle w:val="Heading5"/>
      </w:pPr>
      <w:bookmarkStart w:id="128" w:name="DxProfiler3_3_III_2_1"/>
      <w:bookmarkStart w:id="129" w:name="SixPsychos3_3_III_2_1"/>
      <w:bookmarkEnd w:id="128"/>
      <w:bookmarkEnd w:id="129"/>
      <w:r>
        <w:t>2</w:t>
      </w:r>
      <w:r w:rsidR="00385FCB">
        <w:t>.</w:t>
      </w:r>
      <w:r>
        <w:t>1 Six Psychometric Scales:</w:t>
      </w:r>
    </w:p>
    <w:p w14:paraId="1E0E7779" w14:textId="6FDE294C" w:rsidR="00604E31" w:rsidRDefault="00604E31" w:rsidP="00604E31">
      <w:pPr>
        <w:rPr>
          <w:rFonts w:eastAsia="Times New Roman"/>
          <w:lang w:eastAsia="en-GB"/>
        </w:rPr>
      </w:pPr>
      <w:r>
        <w:t xml:space="preserve">The </w:t>
      </w:r>
      <w:r w:rsidRPr="00C51F55">
        <w:rPr>
          <w:rFonts w:eastAsia="Times New Roman"/>
          <w:lang w:eastAsia="en-GB"/>
        </w:rPr>
        <w:t xml:space="preserve">data collection process of the earlier, MSc dissertation (Dykes, 2008) had developed </w:t>
      </w:r>
      <w:r>
        <w:rPr>
          <w:rFonts w:eastAsia="Times New Roman"/>
          <w:lang w:eastAsia="en-GB"/>
        </w:rPr>
        <w:t>psychometric</w:t>
      </w:r>
      <w:r w:rsidRPr="00C51F55">
        <w:rPr>
          <w:rFonts w:eastAsia="Times New Roman"/>
          <w:lang w:eastAsia="en-GB"/>
        </w:rPr>
        <w:t xml:space="preserve"> scales where the purpose was to explore feelings and attitudes of dyslexic students to their dyslexia in the context of their university studies.</w:t>
      </w:r>
      <w:r>
        <w:rPr>
          <w:rFonts w:eastAsia="Times New Roman"/>
          <w:lang w:eastAsia="en-GB"/>
        </w:rPr>
        <w:t xml:space="preserve"> </w:t>
      </w:r>
      <w:r>
        <w:t xml:space="preserve">The rationale was based on evidence from literature which suggested that discernible differences between dyslexic and non-dyslexic individuals for each of these six constructs. </w:t>
      </w:r>
      <w:r w:rsidRPr="003F42DB">
        <w:rPr>
          <w:bCs/>
        </w:rPr>
        <w:t xml:space="preserve">For example, levels </w:t>
      </w:r>
      <w:r w:rsidRPr="003F42DB">
        <w:rPr>
          <w:bCs/>
        </w:rPr>
        <w:lastRenderedPageBreak/>
        <w:t xml:space="preserve">of self-esteem are depressed in dyslexic individuals in comparison to their non-dyslexic </w:t>
      </w:r>
      <w:r w:rsidRPr="003F42DB">
        <w:t>peers (e.g.: Riddick et al., 1999; Humphrey, 2002; Burton, 2004; Alexander-Passe, 2006; Terras et al., 2009; Glazzard, 2010; Nalavany et al., 2013)</w:t>
      </w:r>
      <w:r>
        <w:t xml:space="preserve">; </w:t>
      </w:r>
      <w:r w:rsidRPr="003F42DB">
        <w:t>and Klassen et al. (2008) f</w:t>
      </w:r>
      <w:r>
        <w:t>ound</w:t>
      </w:r>
      <w:r w:rsidRPr="003F42DB">
        <w:t xml:space="preserve"> that dyslexic students exhibit significantly higher levels of procrastination when tackling their academic studies at university in comparison to students with no indication of dyslexia.</w:t>
      </w:r>
      <w:r>
        <w:t xml:space="preserve"> </w:t>
      </w:r>
      <w:r w:rsidRPr="003F42DB">
        <w:rPr>
          <w:bCs/>
        </w:rPr>
        <w:t>In</w:t>
      </w:r>
      <w:r>
        <w:rPr>
          <w:bCs/>
        </w:rPr>
        <w:t xml:space="preserve"> </w:t>
      </w:r>
      <w:r w:rsidRPr="003F42DB">
        <w:rPr>
          <w:bCs/>
        </w:rPr>
        <w:t>the early stage of the research design process</w:t>
      </w:r>
      <w:r>
        <w:rPr>
          <w:bCs/>
        </w:rPr>
        <w:t xml:space="preserve"> for this current study</w:t>
      </w:r>
      <w:r w:rsidRPr="003F42DB">
        <w:rPr>
          <w:bCs/>
        </w:rPr>
        <w:t xml:space="preserve">, </w:t>
      </w:r>
      <w:r>
        <w:rPr>
          <w:bCs/>
        </w:rPr>
        <w:t xml:space="preserve">it was planned </w:t>
      </w:r>
      <w:r w:rsidRPr="003F42DB">
        <w:rPr>
          <w:bCs/>
        </w:rPr>
        <w:t xml:space="preserve">that these six subscales </w:t>
      </w:r>
      <w:r>
        <w:rPr>
          <w:bCs/>
        </w:rPr>
        <w:t>w</w:t>
      </w:r>
      <w:r w:rsidRPr="003F42DB">
        <w:rPr>
          <w:bCs/>
        </w:rPr>
        <w:t xml:space="preserve">ould be combined into a profile </w:t>
      </w:r>
      <w:r>
        <w:rPr>
          <w:bCs/>
        </w:rPr>
        <w:t xml:space="preserve">chart </w:t>
      </w:r>
      <w:r w:rsidRPr="003F42DB">
        <w:rPr>
          <w:bCs/>
        </w:rPr>
        <w:t xml:space="preserve">to enable quasi-dyslexic students to be </w:t>
      </w:r>
      <w:r>
        <w:rPr>
          <w:bCs/>
        </w:rPr>
        <w:t>discriminated</w:t>
      </w:r>
      <w:r w:rsidRPr="003F42DB">
        <w:rPr>
          <w:bCs/>
        </w:rPr>
        <w:t xml:space="preserve"> from the group of non-dyslexic students</w:t>
      </w:r>
      <w:r>
        <w:rPr>
          <w:bCs/>
          <w:noProof/>
        </w:rPr>
        <mc:AlternateContent>
          <mc:Choice Requires="wpg">
            <w:drawing>
              <wp:anchor distT="0" distB="0" distL="114300" distR="114300" simplePos="0" relativeHeight="251714560" behindDoc="0" locked="0" layoutInCell="1" allowOverlap="1" wp14:anchorId="049A4B24" wp14:editId="5C956221">
                <wp:simplePos x="0" y="0"/>
                <wp:positionH relativeFrom="column">
                  <wp:posOffset>93980</wp:posOffset>
                </wp:positionH>
                <wp:positionV relativeFrom="page">
                  <wp:posOffset>5263211</wp:posOffset>
                </wp:positionV>
                <wp:extent cx="5581015" cy="4921885"/>
                <wp:effectExtent l="0" t="0" r="0" b="5715"/>
                <wp:wrapTopAndBottom/>
                <wp:docPr id="9" name="Group 9"/>
                <wp:cNvGraphicFramePr/>
                <a:graphic xmlns:a="http://schemas.openxmlformats.org/drawingml/2006/main">
                  <a:graphicData uri="http://schemas.microsoft.com/office/word/2010/wordprocessingGroup">
                    <wpg:wgp>
                      <wpg:cNvGrpSpPr/>
                      <wpg:grpSpPr>
                        <a:xfrm>
                          <a:off x="0" y="0"/>
                          <a:ext cx="5581015" cy="4921885"/>
                          <a:chOff x="0" y="0"/>
                          <a:chExt cx="5581015" cy="4921885"/>
                        </a:xfrm>
                      </wpg:grpSpPr>
                      <pic:pic xmlns:pic="http://schemas.openxmlformats.org/drawingml/2006/picture">
                        <pic:nvPicPr>
                          <pic:cNvPr id="6" name="Picture 6" descr="A close up of a map&#10;&#10;Description automatically generated"/>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581015" cy="4430395"/>
                          </a:xfrm>
                          <a:prstGeom prst="rect">
                            <a:avLst/>
                          </a:prstGeom>
                        </pic:spPr>
                      </pic:pic>
                      <wps:wsp>
                        <wps:cNvPr id="8" name="Text Box 8"/>
                        <wps:cNvSpPr txBox="1"/>
                        <wps:spPr>
                          <a:xfrm>
                            <a:off x="0" y="4484370"/>
                            <a:ext cx="5581015" cy="437515"/>
                          </a:xfrm>
                          <a:prstGeom prst="rect">
                            <a:avLst/>
                          </a:prstGeom>
                          <a:solidFill>
                            <a:prstClr val="white"/>
                          </a:solidFill>
                          <a:ln>
                            <a:noFill/>
                          </a:ln>
                        </wps:spPr>
                        <wps:txbx>
                          <w:txbxContent>
                            <w:p w14:paraId="6DF76F31" w14:textId="4B37D420" w:rsidR="00533FBF" w:rsidRPr="00521CB4" w:rsidRDefault="00533FBF" w:rsidP="00604E31">
                              <w:pPr>
                                <w:pStyle w:val="Subtitle"/>
                                <w:rPr>
                                  <w:sz w:val="20"/>
                                </w:rPr>
                              </w:pPr>
                              <w:bookmarkStart w:id="130" w:name="_Toc56495228"/>
                              <w:r>
                                <w:t xml:space="preserve">Figure </w:t>
                              </w:r>
                              <w:r w:rsidR="00B568C9">
                                <w:fldChar w:fldCharType="begin"/>
                              </w:r>
                              <w:r w:rsidR="00B568C9">
                                <w:instrText xml:space="preserve"> SEQ Figure \* ARABIC </w:instrText>
                              </w:r>
                              <w:r w:rsidR="00B568C9">
                                <w:fldChar w:fldCharType="separate"/>
                              </w:r>
                              <w:r>
                                <w:rPr>
                                  <w:noProof/>
                                </w:rPr>
                                <w:t>9</w:t>
                              </w:r>
                              <w:r w:rsidR="00B568C9">
                                <w:rPr>
                                  <w:noProof/>
                                </w:rPr>
                                <w:fldChar w:fldCharType="end"/>
                              </w:r>
                              <w:r>
                                <w:t>:</w:t>
                              </w:r>
                              <w:r>
                                <w:tab/>
                                <w:t>Profile chart for a participant in the quasi-dyslexic subgroup</w:t>
                              </w:r>
                              <w:bookmarkEnd w:id="1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49A4B24" id="Group 9" o:spid="_x0000_s1034" style="position:absolute;margin-left:7.4pt;margin-top:414.45pt;width:439.45pt;height:387.55pt;z-index:251714560;mso-position-vertical-relative:page" coordsize="55810,492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">
                <v:shape id="Picture 6" o:spid="_x0000_s1035" type="#_x0000_t75" alt="A close up of a map&#10;&#10;Description automatically generated" style="position:absolute;width:55810;height:443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">
                  <v:imagedata r:id="rId36" o:title="A close up of a map&#10;&#10;Description automatically generated"/>
                </v:shape>
                <v:shape id="Text Box 8" o:spid="_x0000_s1036" type="#_x0000_t202" style="position:absolute;top:44843;width:55810;height:4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" stroked="f">
                  <v:textbox style="mso-fit-shape-to-text:t" inset="0,0,0,0">
                    <w:txbxContent>
                      <w:p w14:paraId="6DF76F31" w14:textId="4B37D420" w:rsidR="00533FBF" w:rsidRPr="00521CB4" w:rsidRDefault="00533FBF" w:rsidP="00604E31">
                        <w:pPr>
                          <w:pStyle w:val="Subtitle"/>
                          <w:rPr>
                            <w:sz w:val="20"/>
                          </w:rPr>
                        </w:pPr>
                        <w:bookmarkStart w:id="147" w:name="_Toc56495228"/>
                        <w:r>
                          <w:t xml:space="preserve">Figure </w:t>
                        </w:r>
                        <w:fldSimple w:instr=" SEQ Figure \* ARABIC ">
                          <w:r>
                            <w:rPr>
                              <w:noProof/>
                            </w:rPr>
                            <w:t>9</w:t>
                          </w:r>
                        </w:fldSimple>
                        <w:r>
                          <w:t>:</w:t>
                        </w:r>
                        <w:r>
                          <w:tab/>
                          <w:t>Profile chart for a participant in the quasi-dyslexic subgroup</w:t>
                        </w:r>
                        <w:bookmarkEnd w:id="147"/>
                      </w:p>
                    </w:txbxContent>
                  </v:textbox>
                </v:shape>
                <w10:wrap type="topAndBottom" anchory="page"/>
              </v:group>
            </w:pict>
          </mc:Fallback>
        </mc:AlternateContent>
      </w:r>
      <w:r>
        <w:rPr>
          <w:bCs/>
        </w:rPr>
        <w:t xml:space="preserve"> by comparing their profiles with mean-data profiles of the dyslexic and non-dyslexic groups overall</w:t>
      </w:r>
      <w:r>
        <w:t xml:space="preserve">. </w:t>
      </w:r>
      <w:r>
        <w:rPr>
          <w:rFonts w:eastAsia="Times New Roman"/>
          <w:lang w:eastAsia="en-GB"/>
        </w:rPr>
        <w:t xml:space="preserve">The </w:t>
      </w:r>
      <w:r w:rsidRPr="000B2858">
        <w:rPr>
          <w:rFonts w:eastAsia="Times New Roman"/>
          <w:lang w:eastAsia="en-GB"/>
        </w:rPr>
        <w:t>resulting, overlapping visualizations were distinct (Fig</w:t>
      </w:r>
      <w:r w:rsidR="00661B53">
        <w:rPr>
          <w:rFonts w:eastAsia="Times New Roman"/>
          <w:lang w:eastAsia="en-GB"/>
        </w:rPr>
        <w:t>ure</w:t>
      </w:r>
      <w:r w:rsidRPr="000B2858">
        <w:rPr>
          <w:rFonts w:eastAsia="Times New Roman"/>
          <w:lang w:eastAsia="en-GB"/>
        </w:rPr>
        <w:t xml:space="preserve"> 9, generated from observed data collected later from the quasi-dyslexic subgroup), but it was considered doubtful that the complete set of profiles would show sufficient</w:t>
      </w:r>
      <w:r>
        <w:rPr>
          <w:rFonts w:eastAsia="Times New Roman"/>
          <w:lang w:eastAsia="en-GB"/>
        </w:rPr>
        <w:t xml:space="preserve"> discriminative power to be reliable for identifying quasi-dyslexic students</w:t>
      </w:r>
      <w:r w:rsidRPr="000B2858">
        <w:rPr>
          <w:rFonts w:eastAsia="Times New Roman"/>
          <w:lang w:eastAsia="en-GB"/>
        </w:rPr>
        <w:t xml:space="preserve">. Hence this approach was abandoned in lieu of developing </w:t>
      </w:r>
      <w:r>
        <w:rPr>
          <w:rFonts w:eastAsia="Times New Roman"/>
          <w:lang w:eastAsia="en-GB"/>
        </w:rPr>
        <w:t>an</w:t>
      </w:r>
      <w:r w:rsidRPr="000B2858">
        <w:rPr>
          <w:rFonts w:eastAsia="Times New Roman"/>
          <w:lang w:eastAsia="en-GB"/>
        </w:rPr>
        <w:t> alternative, quantitative process as the discriminator between dyslexic, non-dyslexic, and quasi-dyslexic students, which emerged as the Dyslexia Index Profiler</w:t>
      </w:r>
      <w:r>
        <w:rPr>
          <w:rFonts w:eastAsia="Times New Roman"/>
          <w:lang w:eastAsia="en-GB"/>
        </w:rPr>
        <w:t xml:space="preserve"> (below, Section 2, Part 2)</w:t>
      </w:r>
      <w:r w:rsidRPr="000B2858">
        <w:rPr>
          <w:rFonts w:eastAsia="Times New Roman"/>
          <w:lang w:eastAsia="en-GB"/>
        </w:rPr>
        <w:t>. </w:t>
      </w:r>
      <w:r>
        <w:rPr>
          <w:rFonts w:eastAsia="Times New Roman"/>
          <w:lang w:eastAsia="en-GB"/>
        </w:rPr>
        <w:t>Nevertheless</w:t>
      </w:r>
      <w:r w:rsidRPr="000B2858">
        <w:rPr>
          <w:rFonts w:eastAsia="Times New Roman"/>
          <w:lang w:eastAsia="en-GB"/>
        </w:rPr>
        <w:t>, the profile chart visualizations were intriguing, suggesting that this data may have value</w:t>
      </w:r>
      <w:r>
        <w:rPr>
          <w:rFonts w:eastAsia="Times New Roman"/>
          <w:lang w:eastAsia="en-GB"/>
        </w:rPr>
        <w:t>,</w:t>
      </w:r>
      <w:r w:rsidRPr="000B2858">
        <w:rPr>
          <w:rFonts w:eastAsia="Times New Roman"/>
          <w:lang w:eastAsia="en-GB"/>
        </w:rPr>
        <w:t xml:space="preserve"> and so this section of the </w:t>
      </w:r>
      <w:r w:rsidRPr="000B2858">
        <w:rPr>
          <w:rFonts w:eastAsia="Times New Roman"/>
          <w:lang w:eastAsia="en-GB"/>
        </w:rPr>
        <w:lastRenderedPageBreak/>
        <w:t>questionnaire was not deleted</w:t>
      </w:r>
      <w:r>
        <w:rPr>
          <w:rFonts w:eastAsia="Times New Roman"/>
          <w:lang w:eastAsia="en-GB"/>
        </w:rPr>
        <w:t xml:space="preserve">, </w:t>
      </w:r>
      <w:r w:rsidRPr="000B2858">
        <w:rPr>
          <w:rFonts w:eastAsia="Times New Roman"/>
          <w:lang w:eastAsia="en-GB"/>
        </w:rPr>
        <w:t>and has been reserved so that the idea may be explored and reported later, perhaps as part of a subsequent study.</w:t>
      </w:r>
    </w:p>
    <w:p w14:paraId="2C0A0FD6" w14:textId="3122AD0D" w:rsidR="00604E31" w:rsidRDefault="00604E31" w:rsidP="00604E31">
      <w:pPr>
        <w:pStyle w:val="Heading5"/>
      </w:pPr>
      <w:bookmarkStart w:id="131" w:name="DxProfiler3_3_III_2_2"/>
      <w:bookmarkEnd w:id="131"/>
      <w:r>
        <w:t>2</w:t>
      </w:r>
      <w:r w:rsidR="00385FCB">
        <w:t>.</w:t>
      </w:r>
      <w:r>
        <w:t>2</w:t>
      </w:r>
      <w:r w:rsidR="00385FCB">
        <w:t xml:space="preserve">  </w:t>
      </w:r>
      <w:r>
        <w:t>The Dyslexia Index Profiler</w:t>
      </w:r>
    </w:p>
    <w:p w14:paraId="190E4509" w14:textId="13D62026" w:rsidR="00604E31" w:rsidRDefault="00604E31" w:rsidP="00604E31">
      <w:pPr>
        <w:rPr>
          <w:rFonts w:eastAsia="Times New Roman"/>
          <w:lang w:eastAsia="en-GB"/>
        </w:rPr>
      </w:pPr>
      <w:r>
        <w:rPr>
          <w:rFonts w:eastAsia="Times New Roman"/>
          <w:lang w:eastAsia="en-GB"/>
        </w:rPr>
        <w:t xml:space="preserve">The </w:t>
      </w:r>
      <w:r w:rsidRPr="000B2858">
        <w:rPr>
          <w:rFonts w:eastAsia="Times New Roman"/>
          <w:lang w:eastAsia="en-GB"/>
        </w:rPr>
        <w:t>Dyslexia Index (Dx) Profiler</w:t>
      </w:r>
      <w:r>
        <w:rPr>
          <w:rFonts w:eastAsia="Times New Roman"/>
          <w:lang w:eastAsia="en-GB"/>
        </w:rPr>
        <w:t xml:space="preserve"> was a 20-item scale developed especially for this project (</w:t>
      </w:r>
      <w:r w:rsidR="005B5DBE">
        <w:rPr>
          <w:rFonts w:eastAsia="Times New Roman"/>
          <w:lang w:eastAsia="en-GB"/>
        </w:rPr>
        <w:t xml:space="preserve">see </w:t>
      </w:r>
      <w:r w:rsidR="00385FCB">
        <w:rPr>
          <w:rFonts w:eastAsia="Times New Roman"/>
          <w:lang w:eastAsia="en-GB"/>
        </w:rPr>
        <w:t>S</w:t>
      </w:r>
      <w:r>
        <w:rPr>
          <w:rFonts w:eastAsia="Times New Roman"/>
          <w:lang w:eastAsia="en-GB"/>
        </w:rPr>
        <w:t>ection 3.</w:t>
      </w:r>
      <w:r w:rsidR="008418A1">
        <w:rPr>
          <w:rFonts w:eastAsia="Times New Roman"/>
          <w:lang w:eastAsia="en-GB"/>
        </w:rPr>
        <w:t>6</w:t>
      </w:r>
      <w:r>
        <w:rPr>
          <w:rFonts w:eastAsia="Times New Roman"/>
          <w:lang w:eastAsia="en-GB"/>
        </w:rPr>
        <w:t xml:space="preserve"> below for an account of the rationale, theoretical underpinnings, and development processes</w:t>
      </w:r>
      <w:r w:rsidR="008418A1">
        <w:rPr>
          <w:rFonts w:eastAsia="Times New Roman"/>
          <w:lang w:eastAsia="en-GB"/>
        </w:rPr>
        <w:t xml:space="preserve">, including </w:t>
      </w:r>
      <w:r w:rsidR="005B5DBE">
        <w:rPr>
          <w:rFonts w:eastAsia="Times New Roman"/>
          <w:lang w:eastAsia="en-GB"/>
        </w:rPr>
        <w:t xml:space="preserve">details about </w:t>
      </w:r>
      <w:r w:rsidR="008418A1">
        <w:rPr>
          <w:rFonts w:eastAsia="Times New Roman"/>
          <w:lang w:eastAsia="en-GB"/>
        </w:rPr>
        <w:t>the small-scale enquiry that was conducted to validate the Profiler</w:t>
      </w:r>
      <w:r>
        <w:rPr>
          <w:rFonts w:eastAsia="Times New Roman"/>
          <w:lang w:eastAsia="en-GB"/>
        </w:rPr>
        <w:t xml:space="preserve">). It became necessary as a consequence of significant reservations about the likelihood of the visual profile approach (based on outputs from the six psychometric scales) to discriminate the sub-group of quasi-dyslexic students from the non-dyslexic group reliably and with sufficient precision. </w:t>
      </w:r>
    </w:p>
    <w:p w14:paraId="537B17E6" w14:textId="77777777" w:rsidR="00604E31" w:rsidRDefault="00604E31" w:rsidP="00604E31">
      <w:pPr>
        <w:rPr>
          <w:rFonts w:eastAsia="Times New Roman"/>
          <w:lang w:eastAsia="en-GB"/>
        </w:rPr>
      </w:pPr>
      <w:r>
        <w:rPr>
          <w:rFonts w:eastAsia="Times New Roman"/>
          <w:lang w:eastAsia="en-GB"/>
        </w:rPr>
        <w:t>The final iteration of the Profiler comprised 20 scale items, gauged with the continuous range input sliders consistent with quantitative data collection processes devised for the other sections of the questionnaire. Scale items explored a range of dimensions of dyslexia, expressed as statements to which participants registered levels of agreement on a range of 0-100%. The combined output enabled an aggregated Dyslexia Index 'score' to be generated, considered as the level of dyslexia-ness (for the purposes of this study). Scale items included for example:</w:t>
      </w:r>
    </w:p>
    <w:p w14:paraId="3450C426" w14:textId="77777777" w:rsidR="00604E31" w:rsidRDefault="00604E31" w:rsidP="00604E31">
      <w:pPr>
        <w:pStyle w:val="ListParagraph"/>
        <w:numPr>
          <w:ilvl w:val="0"/>
          <w:numId w:val="49"/>
        </w:numPr>
        <w:rPr>
          <w:rFonts w:eastAsia="Times New Roman"/>
          <w:lang w:eastAsia="en-GB"/>
        </w:rPr>
      </w:pPr>
      <w:r>
        <w:rPr>
          <w:rFonts w:eastAsia="Times New Roman"/>
          <w:lang w:eastAsia="en-GB"/>
        </w:rPr>
        <w:t>'When I was learning to read at school, I often felt I was slower than others in my class';</w:t>
      </w:r>
    </w:p>
    <w:p w14:paraId="1981A75F" w14:textId="77777777" w:rsidR="00604E31" w:rsidRDefault="00604E31" w:rsidP="00604E31">
      <w:pPr>
        <w:pStyle w:val="ListParagraph"/>
        <w:numPr>
          <w:ilvl w:val="0"/>
          <w:numId w:val="49"/>
        </w:numPr>
        <w:rPr>
          <w:rFonts w:eastAsia="Times New Roman"/>
          <w:lang w:eastAsia="en-GB"/>
        </w:rPr>
      </w:pPr>
      <w:r>
        <w:rPr>
          <w:rFonts w:eastAsia="Times New Roman"/>
          <w:lang w:eastAsia="en-GB"/>
        </w:rPr>
        <w:t>'I have difficulty putting my writing ideas into a sensible order';</w:t>
      </w:r>
    </w:p>
    <w:p w14:paraId="1DFE9884" w14:textId="77777777" w:rsidR="00604E31" w:rsidRDefault="00604E31" w:rsidP="00604E31">
      <w:pPr>
        <w:pStyle w:val="ListParagraph"/>
        <w:numPr>
          <w:ilvl w:val="0"/>
          <w:numId w:val="49"/>
        </w:numPr>
        <w:rPr>
          <w:rFonts w:eastAsia="Times New Roman"/>
          <w:lang w:eastAsia="en-GB"/>
        </w:rPr>
      </w:pPr>
      <w:r>
        <w:rPr>
          <w:rFonts w:eastAsia="Times New Roman"/>
          <w:lang w:eastAsia="en-GB"/>
        </w:rPr>
        <w:t>'I get in a muddle when I'm searching for learning resources or information';</w:t>
      </w:r>
    </w:p>
    <w:p w14:paraId="4B2DD1D9" w14:textId="721BA2D1" w:rsidR="00604E31" w:rsidRPr="005F229B" w:rsidRDefault="00604E31" w:rsidP="00604E31">
      <w:pPr>
        <w:rPr>
          <w:rFonts w:eastAsia="Times New Roman"/>
          <w:lang w:eastAsia="en-GB"/>
        </w:rPr>
      </w:pPr>
      <w:r>
        <w:rPr>
          <w:rFonts w:eastAsia="Times New Roman"/>
          <w:lang w:eastAsia="en-GB"/>
        </w:rPr>
        <w:t>The complete scale is listed in Appendix 8.1(II). As the Dx Profiler was developed for this project and no previous studies have devised or included any similar scales or gauging processes for evaluating dyslexia-ness, no prior reliability data were available. However, an internal scale reliability assessment was conducted post hoc using the conventional Cronbach's ɑ procedure, which delivered a scale reliability coefficient of ɑ = 0.849 (see sub-section 4.3/III</w:t>
      </w:r>
      <w:r w:rsidR="00BB5092">
        <w:rPr>
          <w:rFonts w:eastAsia="Times New Roman"/>
          <w:lang w:eastAsia="en-GB"/>
        </w:rPr>
        <w:t>.1</w:t>
      </w:r>
      <w:r>
        <w:rPr>
          <w:rFonts w:eastAsia="Times New Roman"/>
          <w:lang w:eastAsia="en-GB"/>
        </w:rPr>
        <w:t xml:space="preserve"> below).</w:t>
      </w:r>
    </w:p>
    <w:p w14:paraId="37D86021" w14:textId="77777777" w:rsidR="00604E31" w:rsidRDefault="00604E31" w:rsidP="00604E31">
      <w:pPr>
        <w:pStyle w:val="Heading4"/>
        <w:tabs>
          <w:tab w:val="left" w:pos="2268"/>
        </w:tabs>
      </w:pPr>
      <w:bookmarkStart w:id="132" w:name="QualitativeData3_3_3"/>
      <w:bookmarkEnd w:id="132"/>
      <w:r>
        <w:t>3. Qualitative Data</w:t>
      </w:r>
    </w:p>
    <w:p w14:paraId="02EC93DB" w14:textId="77777777" w:rsidR="00604E31" w:rsidRPr="00442C53" w:rsidRDefault="00604E31" w:rsidP="00604E31">
      <w:pPr>
        <w:tabs>
          <w:tab w:val="left" w:pos="2268"/>
        </w:tabs>
      </w:pPr>
      <w:r>
        <w:t xml:space="preserve">The final part of the questionnaire collected qualitative data in an optional, unlimited free-writing area. Participants were invited to comment on any aspects of the research, the questionnaire, or their learning experiences at university more generally. </w:t>
      </w:r>
      <w:r w:rsidRPr="00915F63">
        <w:t xml:space="preserve">Including this final section was based on </w:t>
      </w:r>
      <w:r>
        <w:t xml:space="preserve">the </w:t>
      </w:r>
      <w:r w:rsidRPr="00915F63">
        <w:t xml:space="preserve">usefulness of the rich and varied data that had been acquired in a similar way in the questionnaire used in the earlier, MSc. dissertation. In that study, it became evident that providing a conduit for students with dyslexia to provide comments </w:t>
      </w:r>
      <w:r w:rsidRPr="00915F63">
        <w:lastRenderedPageBreak/>
        <w:t>and feedback about how they felt about their study at university was heartily welcomed. The data captured was used to elaborate the discussion element of the dissertation. Hence it was considered that adopting a similar approach in this current study would be of value.</w:t>
      </w:r>
    </w:p>
    <w:p w14:paraId="48F0DF12" w14:textId="77777777" w:rsidR="00604E31" w:rsidRDefault="00604E31" w:rsidP="00604E31">
      <w:pPr>
        <w:pStyle w:val="Heading4"/>
        <w:tabs>
          <w:tab w:val="left" w:pos="2268"/>
        </w:tabs>
      </w:pPr>
      <w:bookmarkStart w:id="133" w:name="QNRPilot3_3_4"/>
      <w:bookmarkEnd w:id="133"/>
      <w:r>
        <w:t>4. Questionnaire Pilot</w:t>
      </w:r>
    </w:p>
    <w:p w14:paraId="0ED430A2" w14:textId="7FBC110B" w:rsidR="004B2971" w:rsidRPr="00CC5358" w:rsidRDefault="00604E31" w:rsidP="00CC5358">
      <w:pPr>
        <w:pStyle w:val="ListParagraph"/>
        <w:tabs>
          <w:tab w:val="left" w:pos="2268"/>
        </w:tabs>
        <w:ind w:left="0"/>
        <w:rPr>
          <w:bCs/>
        </w:rPr>
      </w:pPr>
      <w:r w:rsidRPr="00417724">
        <w:rPr>
          <w:bCs/>
        </w:rPr>
        <w:t>The questi</w:t>
      </w:r>
      <w:r>
        <w:rPr>
          <w:bCs/>
        </w:rPr>
        <w:t xml:space="preserve">onnaire was trialled </w:t>
      </w:r>
      <w:r w:rsidRPr="00417724">
        <w:rPr>
          <w:bCs/>
        </w:rPr>
        <w:t xml:space="preserve">amongst a small </w:t>
      </w:r>
      <w:r>
        <w:rPr>
          <w:bCs/>
        </w:rPr>
        <w:t xml:space="preserve">group of </w:t>
      </w:r>
      <w:r w:rsidRPr="00417724">
        <w:rPr>
          <w:bCs/>
        </w:rPr>
        <w:t>stud</w:t>
      </w:r>
      <w:r>
        <w:rPr>
          <w:bCs/>
        </w:rPr>
        <w:t xml:space="preserve">ents (n=10) local to the researcher </w:t>
      </w:r>
      <w:r w:rsidRPr="00417724">
        <w:rPr>
          <w:bCs/>
        </w:rPr>
        <w:t>to gain feedback about its style of presentation, ease of use, the clarity of the questions and statements, the quali</w:t>
      </w:r>
      <w:r>
        <w:rPr>
          <w:bCs/>
        </w:rPr>
        <w:t>ty of the introduction</w:t>
      </w:r>
      <w:r w:rsidRPr="00417724">
        <w:rPr>
          <w:bCs/>
        </w:rPr>
        <w:t>, the length of time it too</w:t>
      </w:r>
      <w:r>
        <w:rPr>
          <w:bCs/>
        </w:rPr>
        <w:t xml:space="preserve">k to complete, </w:t>
      </w:r>
      <w:r w:rsidRPr="00417724">
        <w:rPr>
          <w:bCs/>
        </w:rPr>
        <w:t>any issues that had arisen in the way it had displayed i</w:t>
      </w:r>
      <w:r>
        <w:rPr>
          <w:bCs/>
        </w:rPr>
        <w:t xml:space="preserve">n the web-browser used, and to elicit </w:t>
      </w:r>
      <w:r w:rsidRPr="00417724">
        <w:rPr>
          <w:bCs/>
        </w:rPr>
        <w:t xml:space="preserve">any </w:t>
      </w:r>
      <w:r>
        <w:rPr>
          <w:bCs/>
        </w:rPr>
        <w:t>other</w:t>
      </w:r>
      <w:r w:rsidRPr="00417724">
        <w:rPr>
          <w:bCs/>
        </w:rPr>
        <w:t xml:space="preserve"> </w:t>
      </w:r>
      <w:r>
        <w:rPr>
          <w:bCs/>
        </w:rPr>
        <w:t xml:space="preserve">comments that might indicate that </w:t>
      </w:r>
      <w:r w:rsidRPr="00417724">
        <w:rPr>
          <w:bCs/>
        </w:rPr>
        <w:t xml:space="preserve">a review or partial review </w:t>
      </w:r>
      <w:r>
        <w:rPr>
          <w:bCs/>
        </w:rPr>
        <w:t xml:space="preserve">would be necessary </w:t>
      </w:r>
      <w:r w:rsidRPr="00417724">
        <w:rPr>
          <w:bCs/>
        </w:rPr>
        <w:t>before deployment</w:t>
      </w:r>
      <w:r>
        <w:rPr>
          <w:bCs/>
        </w:rPr>
        <w:t xml:space="preserve"> to the target audience</w:t>
      </w:r>
      <w:r w:rsidRPr="00417724">
        <w:rPr>
          <w:bCs/>
        </w:rPr>
        <w:t xml:space="preserve">. The outcome of this pilot indicated that </w:t>
      </w:r>
      <w:r>
        <w:rPr>
          <w:bCs/>
        </w:rPr>
        <w:t xml:space="preserve">other than some minor wording changes, no </w:t>
      </w:r>
      <w:r w:rsidRPr="00417724">
        <w:rPr>
          <w:bCs/>
        </w:rPr>
        <w:t>amendm</w:t>
      </w:r>
      <w:r>
        <w:rPr>
          <w:bCs/>
        </w:rPr>
        <w:t>ents were required</w:t>
      </w:r>
      <w:r w:rsidRPr="00417724">
        <w:rPr>
          <w:bCs/>
        </w:rPr>
        <w:t>.</w:t>
      </w:r>
    </w:p>
    <w:p w14:paraId="613C7F7B" w14:textId="77777777" w:rsidR="004B2971" w:rsidRDefault="004B2971" w:rsidP="00604E31">
      <w:pPr>
        <w:pStyle w:val="Heading3"/>
      </w:pPr>
    </w:p>
    <w:p w14:paraId="3B9424FF" w14:textId="147CCD53" w:rsidR="00604E31" w:rsidRDefault="00604E31" w:rsidP="00E2724C">
      <w:pPr>
        <w:pStyle w:val="Heading2"/>
      </w:pPr>
      <w:bookmarkStart w:id="134" w:name="Procedure3_4"/>
      <w:bookmarkStart w:id="135" w:name="_Toc57035914"/>
      <w:bookmarkEnd w:id="134"/>
      <w:r>
        <w:t>3.4</w:t>
      </w:r>
      <w:r w:rsidR="00CC5358">
        <w:tab/>
      </w:r>
      <w:r>
        <w:t>Procedure</w:t>
      </w:r>
      <w:bookmarkEnd w:id="135"/>
    </w:p>
    <w:p w14:paraId="3D5C12A5" w14:textId="77777777" w:rsidR="00604E31" w:rsidRDefault="00604E31" w:rsidP="00604E31">
      <w:bookmarkStart w:id="136" w:name="_Toc9795753"/>
      <w:r>
        <w:t>On completion of the design, development, testing and piloting processes, the questionnaire was uploaded to the project's webpages for electronic deployment. To recruit students into the dyslexic group, co-operation from the University's Dyslexia and Disability Service was obtained so that an Invitation to Participate in the project could be sent to all students registered with the Service through an e-mail distribution list. The invitation included a link to the questionnaire. To recruit non-dyslexic students, similar co-operation was obtained from the University's website development team to enable publicity about the project to be posted on the student-facing intranet home page, which included the Invitation to Participate and a link to the questionnaire.</w:t>
      </w:r>
    </w:p>
    <w:p w14:paraId="5FCF6111" w14:textId="3564C468" w:rsidR="004B2971" w:rsidRPr="00CC5358" w:rsidRDefault="00604E31" w:rsidP="00CC5358">
      <w:pPr>
        <w:rPr>
          <w:b/>
          <w:smallCaps/>
          <w:color w:val="4472C4" w:themeColor="accent1"/>
          <w:spacing w:val="5"/>
          <w:sz w:val="24"/>
          <w:szCs w:val="24"/>
        </w:rPr>
      </w:pPr>
      <w:r>
        <w:t xml:space="preserve">Completed questionnaires were submitted automatically by e-mail to the researcher in a format that permitted direct transfer to an Excel spreadsheet for collation and subsequent inspection and analysis. </w:t>
      </w:r>
      <w:bookmarkStart w:id="137" w:name="_Toc41910961"/>
    </w:p>
    <w:p w14:paraId="36BF9F39" w14:textId="77777777" w:rsidR="00CC5358" w:rsidRDefault="00CC5358" w:rsidP="00B3671B"/>
    <w:p w14:paraId="68BB15B8" w14:textId="77777777" w:rsidR="00BB5092" w:rsidRDefault="00BB5092">
      <w:pPr>
        <w:spacing w:before="0" w:after="160" w:line="259" w:lineRule="auto"/>
        <w:rPr>
          <w:b/>
          <w:smallCaps/>
          <w:color w:val="4472C4" w:themeColor="accent1"/>
          <w:spacing w:val="5"/>
          <w:sz w:val="26"/>
          <w:szCs w:val="28"/>
        </w:rPr>
      </w:pPr>
      <w:r>
        <w:br w:type="page"/>
      </w:r>
    </w:p>
    <w:p w14:paraId="1DAAD0B0" w14:textId="29421F64" w:rsidR="00604E31" w:rsidRDefault="00604E31" w:rsidP="00E2724C">
      <w:pPr>
        <w:pStyle w:val="Heading2"/>
      </w:pPr>
      <w:bookmarkStart w:id="138" w:name="DataReduction3_5"/>
      <w:bookmarkStart w:id="139" w:name="_Toc57035915"/>
      <w:bookmarkEnd w:id="138"/>
      <w:r>
        <w:lastRenderedPageBreak/>
        <w:t>3.5</w:t>
      </w:r>
      <w:r w:rsidR="00CC5358">
        <w:tab/>
      </w:r>
      <w:r>
        <w:t xml:space="preserve">Data </w:t>
      </w:r>
      <w:bookmarkEnd w:id="136"/>
      <w:bookmarkEnd w:id="137"/>
      <w:r>
        <w:t>Reduction</w:t>
      </w:r>
      <w:bookmarkEnd w:id="139"/>
    </w:p>
    <w:p w14:paraId="2EF869F4" w14:textId="15BAA096" w:rsidR="00AC3FCB" w:rsidRDefault="00604E31" w:rsidP="00604E31">
      <w:pPr>
        <w:tabs>
          <w:tab w:val="left" w:pos="2268"/>
        </w:tabs>
        <w:rPr>
          <w:bCs/>
        </w:rPr>
      </w:pPr>
      <w:r>
        <w:rPr>
          <w:bCs/>
        </w:rPr>
        <w:t xml:space="preserve">A Dyslexia Index was calculated for each participant using the weighted mean average process applied to the 20 scale-items, developed at the design stage of the Dx Profiler in the light of the analysis of the pilot study (see </w:t>
      </w:r>
      <w:r w:rsidR="00BB5092">
        <w:rPr>
          <w:bCs/>
        </w:rPr>
        <w:t>S</w:t>
      </w:r>
      <w:r>
        <w:rPr>
          <w:bCs/>
        </w:rPr>
        <w:t xml:space="preserve">ection 3.6 below). </w:t>
      </w:r>
      <w:r w:rsidR="00AC3FCB">
        <w:rPr>
          <w:bCs/>
        </w:rPr>
        <w:t>This value was scaled up by a factor of ten so that it was easy to discriminate from the similarly gauged level of Academic Behavioural Confidence, and this Dx value was taken to indicate each participant's level of dyslexia-ness.</w:t>
      </w:r>
    </w:p>
    <w:p w14:paraId="6C74BD45" w14:textId="77777777" w:rsidR="00AC3FCB" w:rsidRDefault="00604E31" w:rsidP="00604E31">
      <w:pPr>
        <w:tabs>
          <w:tab w:val="left" w:pos="2268"/>
        </w:tabs>
        <w:rPr>
          <w:bCs/>
          <w:iCs/>
        </w:rPr>
      </w:pPr>
      <w:r>
        <w:rPr>
          <w:bCs/>
        </w:rPr>
        <w:t xml:space="preserve">Students from the non-dyslexic group whose Dyslexia </w:t>
      </w:r>
      <w:r w:rsidRPr="005F1430">
        <w:rPr>
          <w:bCs/>
        </w:rPr>
        <w:t xml:space="preserve">Index exceeded </w:t>
      </w:r>
      <w:r>
        <w:rPr>
          <w:bCs/>
        </w:rPr>
        <w:t>critical boundary values</w:t>
      </w:r>
      <w:r w:rsidRPr="005F1430">
        <w:rPr>
          <w:bCs/>
        </w:rPr>
        <w:t xml:space="preserve"> were categorized as </w:t>
      </w:r>
      <w:r w:rsidRPr="005F1430">
        <w:rPr>
          <w:bCs/>
          <w:i/>
        </w:rPr>
        <w:t>quasi</w:t>
      </w:r>
      <w:r w:rsidRPr="005F1430">
        <w:rPr>
          <w:bCs/>
          <w:iCs/>
        </w:rPr>
        <w:t>-dyslexic (</w:t>
      </w:r>
      <w:r w:rsidRPr="009E2907">
        <w:rPr>
          <w:bCs/>
          <w:iCs/>
        </w:rPr>
        <w:t>see sub-section 4.</w:t>
      </w:r>
      <w:r>
        <w:rPr>
          <w:bCs/>
          <w:iCs/>
        </w:rPr>
        <w:t>3/III, part III(1) below)</w:t>
      </w:r>
      <w:r w:rsidRPr="005F1430">
        <w:rPr>
          <w:bCs/>
          <w:iCs/>
        </w:rPr>
        <w:t xml:space="preserve"> for the discriminating rationale)</w:t>
      </w:r>
      <w:r w:rsidR="00AC3FCB">
        <w:rPr>
          <w:bCs/>
          <w:iCs/>
        </w:rPr>
        <w:t>.</w:t>
      </w:r>
    </w:p>
    <w:p w14:paraId="07349FAE" w14:textId="20B14D94" w:rsidR="00AC3FCB" w:rsidRDefault="00604E31" w:rsidP="00604E31">
      <w:pPr>
        <w:tabs>
          <w:tab w:val="left" w:pos="2268"/>
        </w:tabs>
        <w:rPr>
          <w:bCs/>
          <w:iCs/>
        </w:rPr>
      </w:pPr>
      <w:r>
        <w:rPr>
          <w:bCs/>
          <w:iCs/>
        </w:rPr>
        <w:t xml:space="preserve">Later reliability analysis of the Dx Profiler indicated a possible, reduced-item scale where 4 scale items </w:t>
      </w:r>
      <w:r w:rsidR="00AC3FCB">
        <w:rPr>
          <w:bCs/>
          <w:iCs/>
        </w:rPr>
        <w:t>were</w:t>
      </w:r>
      <w:r>
        <w:rPr>
          <w:bCs/>
          <w:iCs/>
        </w:rPr>
        <w:t xml:space="preserve"> identified as likely to be redundant (see sub-section 4.3/III</w:t>
      </w:r>
      <w:r w:rsidR="00BB5092">
        <w:rPr>
          <w:bCs/>
          <w:iCs/>
        </w:rPr>
        <w:t>.1</w:t>
      </w:r>
      <w:r>
        <w:rPr>
          <w:bCs/>
          <w:iCs/>
        </w:rPr>
        <w:t>)</w:t>
      </w:r>
      <w:r w:rsidR="00AC3FCB">
        <w:rPr>
          <w:bCs/>
          <w:iCs/>
        </w:rPr>
        <w:t>.</w:t>
      </w:r>
      <w:r>
        <w:rPr>
          <w:bCs/>
          <w:iCs/>
        </w:rPr>
        <w:t xml:space="preserve"> </w:t>
      </w:r>
      <w:r w:rsidR="00AC3FCB">
        <w:rPr>
          <w:bCs/>
          <w:iCs/>
        </w:rPr>
        <w:t xml:space="preserve">This </w:t>
      </w:r>
      <w:r>
        <w:rPr>
          <w:bCs/>
          <w:iCs/>
        </w:rPr>
        <w:t>enabled alternative measures of dyslexia-ness to be calculated for each participant. In the event, both outputs were considered of merit and implications are reported below (</w:t>
      </w:r>
      <w:r w:rsidR="00BB5092">
        <w:rPr>
          <w:bCs/>
          <w:iCs/>
        </w:rPr>
        <w:t>S</w:t>
      </w:r>
      <w:r>
        <w:rPr>
          <w:bCs/>
          <w:iCs/>
        </w:rPr>
        <w:t>ection 4.3).</w:t>
      </w:r>
    </w:p>
    <w:p w14:paraId="5CFE8EFA" w14:textId="77777777" w:rsidR="00AC3FCB" w:rsidRDefault="00604E31" w:rsidP="00604E31">
      <w:pPr>
        <w:tabs>
          <w:tab w:val="left" w:pos="2268"/>
        </w:tabs>
        <w:rPr>
          <w:bCs/>
        </w:rPr>
      </w:pPr>
      <w:r>
        <w:rPr>
          <w:bCs/>
          <w:iCs/>
        </w:rPr>
        <w:t>To gauge academic confidence, e</w:t>
      </w:r>
      <w:r w:rsidRPr="005F1430">
        <w:rPr>
          <w:bCs/>
          <w:iCs/>
        </w:rPr>
        <w:t>ach</w:t>
      </w:r>
      <w:r w:rsidRPr="005F1430">
        <w:rPr>
          <w:bCs/>
        </w:rPr>
        <w:t xml:space="preserve"> </w:t>
      </w:r>
      <w:r>
        <w:rPr>
          <w:bCs/>
        </w:rPr>
        <w:t>participant</w:t>
      </w:r>
      <w:r w:rsidRPr="005F1430">
        <w:rPr>
          <w:bCs/>
        </w:rPr>
        <w:t xml:space="preserve">’s ABC </w:t>
      </w:r>
      <w:r>
        <w:rPr>
          <w:bCs/>
        </w:rPr>
        <w:t>value</w:t>
      </w:r>
      <w:r w:rsidRPr="005F1430">
        <w:rPr>
          <w:bCs/>
        </w:rPr>
        <w:t xml:space="preserve"> was </w:t>
      </w:r>
      <w:r>
        <w:rPr>
          <w:bCs/>
        </w:rPr>
        <w:t xml:space="preserve">initially </w:t>
      </w:r>
      <w:r w:rsidRPr="005F1430">
        <w:rPr>
          <w:bCs/>
        </w:rPr>
        <w:t>calculated using a non-weighted mean average of the 24 scale-item</w:t>
      </w:r>
      <w:r>
        <w:rPr>
          <w:bCs/>
        </w:rPr>
        <w:t xml:space="preserve"> responses (which each offered a range from 0 to 100)</w:t>
      </w:r>
      <w:r w:rsidRPr="005F1430">
        <w:rPr>
          <w:bCs/>
        </w:rPr>
        <w:t>, leading to an output of 0 &lt; ABC &lt; 100</w:t>
      </w:r>
      <w:r>
        <w:rPr>
          <w:bCs/>
        </w:rPr>
        <w:t xml:space="preserve">. Subsequent to dimension reduction analysis later, (see sub-section 4.5 below), three further ABC Scales were used to re-calculate values. Hence this complete process led to permutations of the two Dx Profilers with the four ABC Scales being available to consider later. </w:t>
      </w:r>
      <w:r w:rsidRPr="005F1430">
        <w:rPr>
          <w:bCs/>
        </w:rPr>
        <w:t>The complete datapool was transferred into SPSS v24 (IBM Corp, 2016) for further analysis</w:t>
      </w:r>
      <w:r>
        <w:rPr>
          <w:bCs/>
        </w:rPr>
        <w:t>.</w:t>
      </w:r>
    </w:p>
    <w:p w14:paraId="6CB81C6F" w14:textId="586AF81B" w:rsidR="004B2971" w:rsidRPr="00B3671B" w:rsidRDefault="00AC3FCB" w:rsidP="00B3671B">
      <w:pPr>
        <w:rPr>
          <w:rFonts w:eastAsia="Times New Roman"/>
          <w:lang w:eastAsia="en-GB"/>
        </w:rPr>
      </w:pPr>
      <w:r w:rsidRPr="00AC3FCB">
        <w:rPr>
          <w:rFonts w:eastAsia="Times New Roman"/>
          <w:lang w:eastAsia="en-GB"/>
        </w:rPr>
        <w:t>Given that both scales were gauging multi-dimensional, continuous variables, further analysis was subsequently conducted to determine whether dimension reduction could reveal meaningful factor structures. Early iterations suggested a local factor structure for the ABC Scale was likely to emerge, although for the Dx Profiler, outcomes were less clear. Hence a parallel (simulation) process was applied through the Eigenvalue Monte Carlo Simulation protocols</w:t>
      </w:r>
      <w:r w:rsidR="0072216C">
        <w:rPr>
          <w:rFonts w:eastAsia="Times New Roman"/>
          <w:lang w:eastAsia="en-GB"/>
        </w:rPr>
        <w:t>,</w:t>
      </w:r>
      <w:r w:rsidRPr="00AC3FCB">
        <w:rPr>
          <w:rFonts w:eastAsia="Times New Roman"/>
          <w:lang w:eastAsia="en-GB"/>
        </w:rPr>
        <w:t xml:space="preserve"> to determine the number of factors which </w:t>
      </w:r>
      <w:r w:rsidR="0072216C">
        <w:rPr>
          <w:rFonts w:eastAsia="Times New Roman"/>
          <w:lang w:eastAsia="en-GB"/>
        </w:rPr>
        <w:t>we</w:t>
      </w:r>
      <w:r w:rsidRPr="00AC3FCB">
        <w:rPr>
          <w:rFonts w:eastAsia="Times New Roman"/>
          <w:lang w:eastAsia="en-GB"/>
        </w:rPr>
        <w:t xml:space="preserve">re likely to occur using multiple simulated reductions of randomized versions of the experimentally acquired data. Outcomes confirmed a factor structure for the ABC Scale, and also indicated that the Dx Profiler, especially when already reduced to a 16-item scale was </w:t>
      </w:r>
      <w:r w:rsidR="0072216C">
        <w:rPr>
          <w:rFonts w:eastAsia="Times New Roman"/>
          <w:lang w:eastAsia="en-GB"/>
        </w:rPr>
        <w:t xml:space="preserve">most </w:t>
      </w:r>
      <w:r w:rsidRPr="00AC3FCB">
        <w:rPr>
          <w:rFonts w:eastAsia="Times New Roman"/>
          <w:lang w:eastAsia="en-GB"/>
        </w:rPr>
        <w:t>likely to be uni-dimensional.​</w:t>
      </w:r>
    </w:p>
    <w:p w14:paraId="5F4D3B9F" w14:textId="77777777" w:rsidR="00B3671B" w:rsidRDefault="00B3671B">
      <w:pPr>
        <w:spacing w:before="0" w:after="160" w:line="259" w:lineRule="auto"/>
        <w:rPr>
          <w:b/>
          <w:smallCaps/>
          <w:color w:val="4472C4" w:themeColor="accent1"/>
          <w:spacing w:val="5"/>
          <w:sz w:val="26"/>
          <w:szCs w:val="28"/>
        </w:rPr>
      </w:pPr>
      <w:r>
        <w:br w:type="page"/>
      </w:r>
    </w:p>
    <w:p w14:paraId="5DF2F27A" w14:textId="1ABCFD47" w:rsidR="00604E31" w:rsidRDefault="00604E31" w:rsidP="00E2724C">
      <w:pPr>
        <w:pStyle w:val="Heading2"/>
      </w:pPr>
      <w:bookmarkStart w:id="140" w:name="DevelopingDxProfiler3_6"/>
      <w:bookmarkStart w:id="141" w:name="_Toc57035916"/>
      <w:bookmarkEnd w:id="140"/>
      <w:r>
        <w:lastRenderedPageBreak/>
        <w:t>3.6</w:t>
      </w:r>
      <w:r w:rsidR="00CC5358">
        <w:tab/>
      </w:r>
      <w:r>
        <w:t>Developing the Dyslexia Index Profiler</w:t>
      </w:r>
      <w:bookmarkEnd w:id="141"/>
    </w:p>
    <w:p w14:paraId="458D1366" w14:textId="77777777" w:rsidR="00604E31" w:rsidRPr="00D2523D" w:rsidRDefault="00604E31" w:rsidP="00604E31">
      <w:r>
        <w:rPr>
          <w:rFonts w:eastAsia="Times New Roman"/>
          <w:lang w:eastAsia="en-GB"/>
        </w:rPr>
        <w:t>D</w:t>
      </w:r>
      <w:r w:rsidRPr="000B2858">
        <w:rPr>
          <w:rFonts w:eastAsia="Times New Roman"/>
          <w:lang w:eastAsia="en-GB"/>
        </w:rPr>
        <w:t xml:space="preserve">eveloping </w:t>
      </w:r>
      <w:r>
        <w:rPr>
          <w:rFonts w:eastAsia="Times New Roman"/>
          <w:lang w:eastAsia="en-GB"/>
        </w:rPr>
        <w:t xml:space="preserve">the </w:t>
      </w:r>
      <w:r w:rsidRPr="000B2858">
        <w:rPr>
          <w:rFonts w:eastAsia="Times New Roman"/>
          <w:lang w:eastAsia="en-GB"/>
        </w:rPr>
        <w:t>Dyslexia Index (Dx) Profiler became a major component of the research design process. The entire project relied on this</w:t>
      </w:r>
      <w:r>
        <w:rPr>
          <w:rFonts w:eastAsia="Times New Roman"/>
          <w:lang w:eastAsia="en-GB"/>
        </w:rPr>
        <w:t>,</w:t>
      </w:r>
      <w:r w:rsidRPr="000B2858">
        <w:rPr>
          <w:rFonts w:eastAsia="Times New Roman"/>
          <w:lang w:eastAsia="en-GB"/>
        </w:rPr>
        <w:t xml:space="preserve"> as the main focus was to discover whether levels of academic confidence are influenced differently by dyslexia, quasi-dyslexia, and non-dyslexia, </w:t>
      </w:r>
      <w:r>
        <w:rPr>
          <w:rFonts w:eastAsia="Times New Roman"/>
          <w:lang w:eastAsia="en-GB"/>
        </w:rPr>
        <w:t xml:space="preserve">and </w:t>
      </w:r>
      <w:r w:rsidRPr="000B2858">
        <w:rPr>
          <w:rFonts w:eastAsia="Times New Roman"/>
          <w:lang w:eastAsia="en-GB"/>
        </w:rPr>
        <w:t>that differences that emerge may be attributable to the dyslexic label.</w:t>
      </w:r>
      <w:r>
        <w:rPr>
          <w:rFonts w:eastAsia="Times New Roman"/>
          <w:lang w:eastAsia="en-GB"/>
        </w:rPr>
        <w:t xml:space="preserve"> </w:t>
      </w:r>
      <w:r>
        <w:t xml:space="preserve">Many </w:t>
      </w:r>
      <w:r w:rsidRPr="00FF2EB9">
        <w:t>students with dyslexia at university</w:t>
      </w:r>
      <w:r>
        <w:t xml:space="preserve"> may </w:t>
      </w:r>
      <w:r w:rsidRPr="00FF2EB9">
        <w:t>have developed strategies to compensate for literacy-</w:t>
      </w:r>
      <w:r>
        <w:t>base</w:t>
      </w:r>
      <w:r w:rsidRPr="00FF2EB9">
        <w:t xml:space="preserve">d difficulties experienced </w:t>
      </w:r>
      <w:r>
        <w:t xml:space="preserve">in </w:t>
      </w:r>
      <w:r w:rsidRPr="00FF2EB9">
        <w:t xml:space="preserve">earlier learning </w:t>
      </w:r>
      <w:r>
        <w:t>histories</w:t>
      </w:r>
      <w:r w:rsidRPr="00FF2EB9">
        <w:t>, partly by virtue of their</w:t>
      </w:r>
      <w:r>
        <w:t xml:space="preserve"> academic capabilities (see Section 2). Hence in HE contexts, </w:t>
      </w:r>
      <w:r w:rsidRPr="00FF2EB9">
        <w:t xml:space="preserve">other aspects of the dyslexic self </w:t>
      </w:r>
      <w:r>
        <w:t>may</w:t>
      </w:r>
      <w:r w:rsidRPr="00FF2EB9">
        <w:t xml:space="preserve"> impact significantly on academic study</w:t>
      </w:r>
      <w:r>
        <w:t xml:space="preserve">. For example, it has been argued that </w:t>
      </w:r>
      <w:r w:rsidRPr="00FF2EB9">
        <w:t>to consider dyslexia to be only a literacy issue</w:t>
      </w:r>
      <w:r>
        <w:t>,</w:t>
      </w:r>
      <w:r w:rsidRPr="00FF2EB9">
        <w:t xml:space="preserve"> or to focus on cognitive aspects such as working memory and processing speeds</w:t>
      </w:r>
      <w:r>
        <w:t>,</w:t>
      </w:r>
      <w:r w:rsidRPr="00FF2EB9">
        <w:t xml:space="preserve"> </w:t>
      </w:r>
      <w:r>
        <w:t xml:space="preserve">may be erroneous </w:t>
      </w:r>
      <w:r w:rsidRPr="00FF2EB9">
        <w:t>(Cameron, 2015)</w:t>
      </w:r>
      <w:r>
        <w:t>, and developing p</w:t>
      </w:r>
      <w:r w:rsidRPr="00FF2EB9">
        <w:t>roce</w:t>
      </w:r>
      <w:r>
        <w:t xml:space="preserve">dures to operationalize </w:t>
      </w:r>
      <w:r w:rsidRPr="00FF2EB9">
        <w:t>effective self-managed learning strategies need to be considered (Mortimore &amp; Crozier, 2006)</w:t>
      </w:r>
      <w:r>
        <w:t>. This is especially so,</w:t>
      </w:r>
      <w:r w:rsidRPr="00FF2EB9">
        <w:t xml:space="preserve"> as </w:t>
      </w:r>
      <w:r>
        <w:t xml:space="preserve">self-regulated learning processes </w:t>
      </w:r>
      <w:r w:rsidRPr="00FF2EB9">
        <w:t>are recognized as a significant feature of univers</w:t>
      </w:r>
      <w:r>
        <w:t>ity learning experiences (Zimmerman &amp; Schunk, 2011; Broadbent &amp; Poon, 2015). Hence, a</w:t>
      </w:r>
      <w:r w:rsidRPr="00FF2EB9">
        <w:t xml:space="preserve"> </w:t>
      </w:r>
      <w:r>
        <w:t xml:space="preserve">metric was required </w:t>
      </w:r>
      <w:r w:rsidRPr="00FF2EB9">
        <w:t xml:space="preserve">which </w:t>
      </w:r>
      <w:r>
        <w:t xml:space="preserve">viewed university </w:t>
      </w:r>
      <w:r w:rsidRPr="00FF2EB9">
        <w:t xml:space="preserve">study attributes </w:t>
      </w:r>
      <w:r>
        <w:t>and behaviours through the lens of dyslexia, but which was not designed to be a dyslexia screener.</w:t>
      </w:r>
    </w:p>
    <w:p w14:paraId="502E0DB7" w14:textId="495C4ED4" w:rsidR="00604E31" w:rsidRPr="00862DA9" w:rsidRDefault="00604E31" w:rsidP="00604E31">
      <w:pPr>
        <w:pStyle w:val="Heading5"/>
      </w:pPr>
      <w:bookmarkStart w:id="142" w:name="I_BackgroundRationale"/>
      <w:bookmarkEnd w:id="142"/>
      <w:r>
        <w:t xml:space="preserve">I </w:t>
      </w:r>
      <w:r w:rsidR="00B3671B">
        <w:t xml:space="preserve"> </w:t>
      </w:r>
      <w:r>
        <w:t>Background and rationale</w:t>
      </w:r>
    </w:p>
    <w:p w14:paraId="11D10145" w14:textId="1ED68804" w:rsidR="00604E31" w:rsidRDefault="00604E31" w:rsidP="00604E31">
      <w:r>
        <w:t>Development of the Dx Profiler has been a complex process that built on pertinent theory about the broad and multifactorial nature of dyslexia (discussed in Section 2.1</w:t>
      </w:r>
      <w:r w:rsidR="00BB5092">
        <w:t>/II.6</w:t>
      </w:r>
      <w:r>
        <w:t xml:space="preserve">). To have used a proprietary dyslexia screener would have raised ethical challenges related to disclosure for participants in the non-dyslexic group, hence compromising the requirement for data collection anonymity. Stated use of a screener may also have introduced bias where participants who were not (identified as) dyslexic may have answered some parts of the questionnaire untruthfully through fear of being identified as dyslexic. Such fear is widely reported, in particular, amongst health professionals (e.g.: Shaw &amp; Anderson, 2018; Evans, 2014; Ridley, 2011; Morris &amp; Turnbill, 2007; Illingworth, 2005). </w:t>
      </w:r>
    </w:p>
    <w:p w14:paraId="1A2A7B1A" w14:textId="4F6BB547" w:rsidR="00604E31" w:rsidRDefault="00B3671B" w:rsidP="00604E31">
      <w:pPr>
        <w:pStyle w:val="Heading5"/>
        <w:rPr>
          <w:rFonts w:eastAsia="Times New Roman"/>
          <w:lang w:eastAsia="en-GB"/>
        </w:rPr>
      </w:pPr>
      <w:bookmarkStart w:id="143" w:name="II_DyslexianessContinuum"/>
      <w:bookmarkEnd w:id="143"/>
      <w:r>
        <w:rPr>
          <w:rFonts w:eastAsia="Times New Roman"/>
          <w:lang w:eastAsia="en-GB"/>
        </w:rPr>
        <w:t xml:space="preserve">II  </w:t>
      </w:r>
      <w:r w:rsidR="00D2523D">
        <w:rPr>
          <w:rFonts w:eastAsia="Times New Roman"/>
          <w:lang w:eastAsia="en-GB"/>
        </w:rPr>
        <w:t>Establishing t</w:t>
      </w:r>
      <w:r w:rsidR="00604E31">
        <w:rPr>
          <w:rFonts w:eastAsia="Times New Roman"/>
          <w:lang w:eastAsia="en-GB"/>
        </w:rPr>
        <w:t>he Dyslexia-ness Continuum</w:t>
      </w:r>
    </w:p>
    <w:p w14:paraId="4D58D519" w14:textId="77777777" w:rsidR="00BB5092" w:rsidRDefault="00604E31" w:rsidP="00604E31">
      <w:pPr>
        <w:rPr>
          <w:rFonts w:eastAsia="Times New Roman"/>
          <w:lang w:eastAsia="en-GB"/>
        </w:rPr>
      </w:pPr>
      <w:r w:rsidRPr="007D519D">
        <w:rPr>
          <w:rFonts w:eastAsia="Times New Roman"/>
          <w:lang w:eastAsia="en-GB"/>
        </w:rPr>
        <w:t>The broad definition of dyslexia outlined by the BDA acknowledges much of th</w:t>
      </w:r>
      <w:r>
        <w:rPr>
          <w:rFonts w:eastAsia="Times New Roman"/>
          <w:lang w:eastAsia="en-GB"/>
        </w:rPr>
        <w:t>is</w:t>
      </w:r>
      <w:r w:rsidRPr="007D519D">
        <w:rPr>
          <w:rFonts w:eastAsia="Times New Roman"/>
          <w:lang w:eastAsia="en-GB"/>
        </w:rPr>
        <w:t xml:space="preserve"> wider discourse about the nature and aetiology of the syndrome, discussed </w:t>
      </w:r>
      <w:r w:rsidR="00BB5092">
        <w:rPr>
          <w:rFonts w:eastAsia="Times New Roman"/>
          <w:lang w:eastAsia="en-GB"/>
        </w:rPr>
        <w:t>throughout S</w:t>
      </w:r>
      <w:r w:rsidRPr="007D519D">
        <w:rPr>
          <w:rFonts w:eastAsia="Times New Roman"/>
          <w:lang w:eastAsia="en-GB"/>
        </w:rPr>
        <w:t>ection 2.1</w:t>
      </w:r>
      <w:r>
        <w:rPr>
          <w:rFonts w:eastAsia="Times New Roman"/>
          <w:lang w:eastAsia="en-GB"/>
        </w:rPr>
        <w:t>. C</w:t>
      </w:r>
      <w:r w:rsidRPr="007D519D">
        <w:rPr>
          <w:rFonts w:eastAsia="Times New Roman"/>
          <w:lang w:eastAsia="en-GB"/>
        </w:rPr>
        <w:t xml:space="preserve">ritically, </w:t>
      </w:r>
      <w:r>
        <w:rPr>
          <w:rFonts w:eastAsia="Times New Roman"/>
          <w:lang w:eastAsia="en-GB"/>
        </w:rPr>
        <w:t xml:space="preserve">this definition </w:t>
      </w:r>
      <w:r w:rsidRPr="007D519D">
        <w:rPr>
          <w:rFonts w:eastAsia="Times New Roman"/>
          <w:lang w:eastAsia="en-GB"/>
        </w:rPr>
        <w:t>frames dyslexia as a continuum</w:t>
      </w:r>
      <w:r>
        <w:rPr>
          <w:rFonts w:eastAsia="Times New Roman"/>
          <w:lang w:eastAsia="en-GB"/>
        </w:rPr>
        <w:t>, which firstly acknowledges that categorical distinctions within the syndrome are problematic; but also suggests that no clear-cut point along this continuum can be universally fixed to indicate the boundary between dyslexic and non-dyslexic individuals. This is despite the desire to do so, not least to enable decisions to be made concerning the award of financial learning support allowances for students at UK universities.</w:t>
      </w:r>
    </w:p>
    <w:p w14:paraId="6AC14F69" w14:textId="19C8F482" w:rsidR="00604E31" w:rsidRDefault="00604E31" w:rsidP="00604E31">
      <w:r w:rsidRPr="00F364BB">
        <w:lastRenderedPageBreak/>
        <w:t>Adopting the continuum approach, therefore, adds substance to the concept of 'dyslexia-ness', introduced for this current study. Thus, it is reasonable to infer that the characteristics and attributes of dyslexia that are embraced within the definition, and which are the components of dyslexia-ness, might be measured in some way once distilled back into dimensions. This leads to the possibility for exploring either dimensions</w:t>
      </w:r>
      <w:r>
        <w:t xml:space="preserve"> unilaterally</w:t>
      </w:r>
      <w:r w:rsidRPr="00F364BB">
        <w:t>, or groups of dimensions (perhaps combined into factors), or the complete the complete portfolio of dimensions - that is, d</w:t>
      </w:r>
      <w:r>
        <w:t>y</w:t>
      </w:r>
      <w:r w:rsidRPr="00F364BB">
        <w:t>slexi</w:t>
      </w:r>
      <w:r>
        <w:t>a</w:t>
      </w:r>
      <w:r w:rsidRPr="00F364BB">
        <w:t xml:space="preserve">-ness. According to their dyslexia-ness 'score', it will be possible to locate quasi-dyslexic and non-dyslexic individuals at some point along the continuum relative to their </w:t>
      </w:r>
      <w:r>
        <w:t xml:space="preserve">more </w:t>
      </w:r>
      <w:r w:rsidRPr="00F364BB">
        <w:t>dyslexic peers, or sift individuals who share similar levels of dyslexia-ness into sub-groups.</w:t>
      </w:r>
      <w:r w:rsidRPr="00300AD1">
        <w:rPr>
          <w:rFonts w:eastAsia="Times New Roman"/>
          <w:noProof/>
          <w:lang w:eastAsia="en-GB"/>
        </w:rPr>
        <w:t xml:space="preserve"> </w:t>
      </w:r>
    </w:p>
    <w:p w14:paraId="15106D7A" w14:textId="1B110685" w:rsidR="00604E31" w:rsidRDefault="00604E31" w:rsidP="00604E31">
      <w:pPr>
        <w:keepNext/>
      </w:pPr>
      <w:r w:rsidRPr="00F364BB">
        <w:t>Hence</w:t>
      </w:r>
      <w:r>
        <w:t>,</w:t>
      </w:r>
      <w:r w:rsidRPr="00F364BB">
        <w:t xml:space="preserve"> </w:t>
      </w:r>
      <w:r>
        <w:t>T</w:t>
      </w:r>
      <w:r w:rsidRPr="00F364BB">
        <w:t xml:space="preserve">he </w:t>
      </w:r>
      <w:r>
        <w:t>D</w:t>
      </w:r>
      <w:r w:rsidRPr="00F364BB">
        <w:t>y</w:t>
      </w:r>
      <w:r>
        <w:t>s</w:t>
      </w:r>
      <w:r w:rsidRPr="00F364BB">
        <w:t xml:space="preserve">lexia-ness </w:t>
      </w:r>
      <w:r>
        <w:t>C</w:t>
      </w:r>
      <w:r w:rsidRPr="00F364BB">
        <w:t xml:space="preserve">ontinuum </w:t>
      </w:r>
      <w:r>
        <w:t>is established (Fig</w:t>
      </w:r>
      <w:r w:rsidR="008418A1">
        <w:t>ure</w:t>
      </w:r>
      <w:r>
        <w:t xml:space="preserve"> </w:t>
      </w:r>
      <w:r w:rsidR="00327542">
        <w:t>10</w:t>
      </w:r>
      <w:r>
        <w:t xml:space="preserve">), and can be regarded </w:t>
      </w:r>
      <w:r w:rsidRPr="00F364BB">
        <w:t>as a continuous, independent variable</w:t>
      </w:r>
      <w:r>
        <w:t xml:space="preserve"> against which </w:t>
      </w:r>
      <w:r w:rsidRPr="00F364BB">
        <w:t xml:space="preserve">other study attributes, such as academic confidence, can be examined as the corresponding dependent variable. </w:t>
      </w:r>
      <w:r>
        <w:t xml:space="preserve">In this way, </w:t>
      </w:r>
      <w:r w:rsidRPr="00F364BB">
        <w:t xml:space="preserve">tentative comparisons might </w:t>
      </w:r>
      <w:r>
        <w:t xml:space="preserve">then </w:t>
      </w:r>
      <w:r w:rsidRPr="00F364BB">
        <w:t xml:space="preserve">be made between groups and sub-groups of, in this case, students at university, naturally leading to a mechanism for deducing more generalized results. Indeed the idea of a dyslexia-ness continuum, might warrant further development, the first part of which should be to devise an alternative descriptor for it that removes, or at least dilutes, the allusion to the continuum being an evaluation of dyslexia, instead, that it is a continuum of learning development characteristics, skills and behaviours that has meaning and relevance in higher education contexts. Whilst this is not to ignore or dismiss the idea of dyslexia per se, such a process might help to relocate it more positively within a multifactorial portfolio of learning and study attributes that could also reduce much of the stigmatization associated with </w:t>
      </w:r>
      <w:r>
        <w:t>'</w:t>
      </w:r>
      <w:r w:rsidRPr="00F364BB">
        <w:t>difference</w:t>
      </w:r>
      <w:r>
        <w:t>'</w:t>
      </w:r>
      <w:r w:rsidRPr="00F364BB">
        <w:t xml:space="preserve"> in learning contexts</w:t>
      </w:r>
      <w:r>
        <w:t xml:space="preserve"> (Osterholm, et.al., 2007; Ho, 2004; Riddick, 2000)</w:t>
      </w:r>
      <w:r w:rsidRPr="00F364BB">
        <w:t>.</w:t>
      </w:r>
      <w:r w:rsidRPr="00300AD1">
        <w:rPr>
          <w:rFonts w:eastAsia="Times New Roman"/>
          <w:noProof/>
          <w:lang w:eastAsia="en-GB"/>
        </w:rPr>
        <w:t xml:space="preserve"> </w:t>
      </w:r>
      <w:r>
        <w:rPr>
          <w:rFonts w:eastAsia="Times New Roman"/>
          <w:noProof/>
          <w:lang w:eastAsia="en-GB"/>
        </w:rPr>
        <w:drawing>
          <wp:inline distT="0" distB="0" distL="0" distR="0" wp14:anchorId="1CCE487E" wp14:editId="69E26AB2">
            <wp:extent cx="5580315" cy="1216550"/>
            <wp:effectExtent l="0" t="0" r="0" b="317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yslexianess Continuum v2.png"/>
                    <pic:cNvPicPr/>
                  </pic:nvPicPr>
                  <pic:blipFill rotWithShape="1">
                    <a:blip r:embed="rId37">
                      <a:extLst>
                        <a:ext uri="{28A0092B-C50C-407E-A947-70E740481C1C}">
                          <a14:useLocalDpi xmlns:a14="http://schemas.microsoft.com/office/drawing/2010/main" val="0"/>
                        </a:ext>
                      </a:extLst>
                    </a:blip>
                    <a:srcRect t="29886" b="31359"/>
                    <a:stretch/>
                  </pic:blipFill>
                  <pic:spPr bwMode="auto">
                    <a:xfrm>
                      <a:off x="0" y="0"/>
                      <a:ext cx="5581015" cy="1216703"/>
                    </a:xfrm>
                    <a:prstGeom prst="rect">
                      <a:avLst/>
                    </a:prstGeom>
                    <a:ln>
                      <a:noFill/>
                    </a:ln>
                    <a:extLst>
                      <a:ext uri="{53640926-AAD7-44D8-BBD7-CCE9431645EC}">
                        <a14:shadowObscured xmlns:a14="http://schemas.microsoft.com/office/drawing/2010/main"/>
                      </a:ext>
                    </a:extLst>
                  </pic:spPr>
                </pic:pic>
              </a:graphicData>
            </a:graphic>
          </wp:inline>
        </w:drawing>
      </w:r>
    </w:p>
    <w:p w14:paraId="32449E3D" w14:textId="25137AE8" w:rsidR="00604E31" w:rsidRPr="00F364BB" w:rsidRDefault="00604E31" w:rsidP="00604E31">
      <w:pPr>
        <w:pStyle w:val="Subtitle"/>
        <w:rPr>
          <w:rFonts w:ascii="Times New Roman" w:eastAsia="Times New Roman" w:hAnsi="Times New Roman" w:cs="Times New Roman"/>
          <w:sz w:val="24"/>
          <w:szCs w:val="24"/>
          <w:lang w:eastAsia="en-GB"/>
        </w:rPr>
      </w:pPr>
      <w:bookmarkStart w:id="144" w:name="_Toc56495229"/>
      <w:r>
        <w:t xml:space="preserve">Figure </w:t>
      </w:r>
      <w:r w:rsidR="00B568C9">
        <w:fldChar w:fldCharType="begin"/>
      </w:r>
      <w:r w:rsidR="00B568C9">
        <w:instrText xml:space="preserve"> SEQ Figure \* ARABIC </w:instrText>
      </w:r>
      <w:r w:rsidR="00B568C9">
        <w:fldChar w:fldCharType="separate"/>
      </w:r>
      <w:r w:rsidR="005F0AB9">
        <w:rPr>
          <w:noProof/>
        </w:rPr>
        <w:t>10</w:t>
      </w:r>
      <w:r w:rsidR="00B568C9">
        <w:rPr>
          <w:noProof/>
        </w:rPr>
        <w:fldChar w:fldCharType="end"/>
      </w:r>
      <w:r>
        <w:t>:</w:t>
      </w:r>
      <w:r w:rsidR="000F0752">
        <w:tab/>
      </w:r>
      <w:r>
        <w:t>The Dyslexia-ness Continuum - displaying data from this current study</w:t>
      </w:r>
      <w:bookmarkEnd w:id="144"/>
    </w:p>
    <w:p w14:paraId="0D77577D" w14:textId="28EE36C4" w:rsidR="00604E31" w:rsidRPr="001B3B22" w:rsidRDefault="00604E31" w:rsidP="00604E31">
      <w:r>
        <w:t>To operationalize The Dyslexia-ness Continuum through the Dyslex</w:t>
      </w:r>
      <w:r w:rsidR="008418A1">
        <w:t>i</w:t>
      </w:r>
      <w:r>
        <w:t xml:space="preserve">a Index (Dx) Profiler, with each participant's Dyslexia Index providing the continuum locater, these design </w:t>
      </w:r>
      <w:r w:rsidRPr="001B3B22">
        <w:t>criteria</w:t>
      </w:r>
      <w:r>
        <w:t xml:space="preserve"> were established</w:t>
      </w:r>
      <w:r w:rsidRPr="001B3B22">
        <w:t>:</w:t>
      </w:r>
    </w:p>
    <w:p w14:paraId="36641B45" w14:textId="77777777" w:rsidR="00604E31" w:rsidRDefault="00604E31" w:rsidP="00604E31">
      <w:pPr>
        <w:pStyle w:val="ListParagraph"/>
        <w:numPr>
          <w:ilvl w:val="0"/>
          <w:numId w:val="4"/>
        </w:numPr>
        <w:spacing w:after="0" w:line="276" w:lineRule="auto"/>
      </w:pPr>
      <w:r>
        <w:t xml:space="preserve">the profiler was to be </w:t>
      </w:r>
      <w:r w:rsidRPr="001B3B22">
        <w:t>a self-report tool requiring no administrative supervision;</w:t>
      </w:r>
    </w:p>
    <w:p w14:paraId="3976FD22" w14:textId="77777777" w:rsidR="00604E31" w:rsidRPr="001B3B22" w:rsidRDefault="00604E31" w:rsidP="00604E31">
      <w:pPr>
        <w:pStyle w:val="ListParagraph"/>
        <w:numPr>
          <w:ilvl w:val="0"/>
          <w:numId w:val="4"/>
        </w:numPr>
        <w:spacing w:after="0" w:line="276" w:lineRule="auto"/>
      </w:pPr>
      <w:r>
        <w:t>the profiler was to be ethically non-controversial, not labelled as a dyslexia screener, and with data collected anonymously;</w:t>
      </w:r>
    </w:p>
    <w:p w14:paraId="24D9DDBD" w14:textId="77777777" w:rsidR="00604E31" w:rsidRDefault="00604E31" w:rsidP="00604E31">
      <w:pPr>
        <w:pStyle w:val="ListParagraph"/>
        <w:numPr>
          <w:ilvl w:val="0"/>
          <w:numId w:val="4"/>
        </w:numPr>
        <w:spacing w:after="0" w:line="276" w:lineRule="auto"/>
      </w:pPr>
      <w:r>
        <w:lastRenderedPageBreak/>
        <w:t xml:space="preserve">the profiler </w:t>
      </w:r>
      <w:r w:rsidRPr="001B3B22">
        <w:t xml:space="preserve">item statements </w:t>
      </w:r>
      <w:r>
        <w:t xml:space="preserve">were to be </w:t>
      </w:r>
      <w:r w:rsidRPr="001B3B22">
        <w:t>as applicable to non-dyslexic as to dyslexic students;</w:t>
      </w:r>
      <w:r w:rsidRPr="00100C45">
        <w:t xml:space="preserve"> </w:t>
      </w:r>
    </w:p>
    <w:p w14:paraId="551C7413" w14:textId="77777777" w:rsidR="00604E31" w:rsidRPr="001B3B22" w:rsidRDefault="00604E31" w:rsidP="00604E31">
      <w:pPr>
        <w:pStyle w:val="ListParagraph"/>
        <w:numPr>
          <w:ilvl w:val="0"/>
          <w:numId w:val="4"/>
        </w:numPr>
        <w:spacing w:after="0" w:line="276" w:lineRule="auto"/>
      </w:pPr>
      <w:r w:rsidRPr="001B3B22">
        <w:t xml:space="preserve">it </w:t>
      </w:r>
      <w:r>
        <w:t xml:space="preserve">would </w:t>
      </w:r>
      <w:r w:rsidRPr="001B3B22">
        <w:t>include a balance of li</w:t>
      </w:r>
      <w:r>
        <w:t>teracy-related and wider, acad</w:t>
      </w:r>
      <w:r w:rsidRPr="001B3B22">
        <w:t xml:space="preserve">emic learning-management </w:t>
      </w:r>
      <w:r>
        <w:t xml:space="preserve">and study-behaviour </w:t>
      </w:r>
      <w:r w:rsidRPr="001B3B22">
        <w:t>evaluators;</w:t>
      </w:r>
    </w:p>
    <w:p w14:paraId="3F9DE3A1" w14:textId="77777777" w:rsidR="00604E31" w:rsidRPr="001B3B22" w:rsidRDefault="00604E31" w:rsidP="00604E31">
      <w:pPr>
        <w:pStyle w:val="ListParagraph"/>
        <w:numPr>
          <w:ilvl w:val="0"/>
          <w:numId w:val="4"/>
        </w:numPr>
        <w:spacing w:after="0" w:line="276" w:lineRule="auto"/>
      </w:pPr>
      <w:r w:rsidRPr="001B3B22">
        <w:t xml:space="preserve">it </w:t>
      </w:r>
      <w:r>
        <w:t xml:space="preserve">would </w:t>
      </w:r>
      <w:r w:rsidRPr="001B3B22">
        <w:t>include elements of learning biography;</w:t>
      </w:r>
    </w:p>
    <w:p w14:paraId="27327274" w14:textId="77777777" w:rsidR="00604E31" w:rsidRPr="001B3B22" w:rsidRDefault="00604E31" w:rsidP="00604E31">
      <w:pPr>
        <w:pStyle w:val="ListParagraph"/>
        <w:numPr>
          <w:ilvl w:val="0"/>
          <w:numId w:val="4"/>
        </w:numPr>
        <w:spacing w:after="0" w:line="276" w:lineRule="auto"/>
      </w:pPr>
      <w:r w:rsidRPr="001B3B22">
        <w:t xml:space="preserve">although Likert-style </w:t>
      </w:r>
      <w:r>
        <w:t>base</w:t>
      </w:r>
      <w:r w:rsidRPr="001B3B22">
        <w:t>d, s</w:t>
      </w:r>
      <w:r>
        <w:t>cale</w:t>
      </w:r>
      <w:r w:rsidRPr="001B3B22">
        <w:t xml:space="preserve"> item statements </w:t>
      </w:r>
      <w:r>
        <w:t xml:space="preserve">were to </w:t>
      </w:r>
      <w:r w:rsidRPr="001B3B22">
        <w:t xml:space="preserve">avoid fixed anchor points by presenting </w:t>
      </w:r>
      <w:r>
        <w:t>participant</w:t>
      </w:r>
      <w:r w:rsidRPr="001B3B22">
        <w:t xml:space="preserve"> selectors as a continuous range option;</w:t>
      </w:r>
    </w:p>
    <w:p w14:paraId="555D933F" w14:textId="77777777" w:rsidR="00604E31" w:rsidRPr="001B3B22" w:rsidRDefault="00604E31" w:rsidP="00604E31">
      <w:pPr>
        <w:pStyle w:val="ListParagraph"/>
        <w:numPr>
          <w:ilvl w:val="0"/>
          <w:numId w:val="4"/>
        </w:numPr>
        <w:spacing w:after="0" w:line="276" w:lineRule="auto"/>
      </w:pPr>
      <w:r>
        <w:t>scale item statements would aim to</w:t>
      </w:r>
      <w:r w:rsidRPr="001B3B22">
        <w:t xml:space="preserve"> minimize response distortions potentially induced by negative affectivity bias (Brief, </w:t>
      </w:r>
      <w:r>
        <w:t>et al.</w:t>
      </w:r>
      <w:r w:rsidRPr="001B3B22">
        <w:t>, 1988);</w:t>
      </w:r>
    </w:p>
    <w:p w14:paraId="01E6C031" w14:textId="77777777" w:rsidR="00604E31" w:rsidRDefault="00604E31" w:rsidP="00604E31">
      <w:pPr>
        <w:pStyle w:val="ListParagraph"/>
        <w:numPr>
          <w:ilvl w:val="0"/>
          <w:numId w:val="4"/>
        </w:numPr>
        <w:spacing w:after="0" w:line="276" w:lineRule="auto"/>
      </w:pPr>
      <w:r w:rsidRPr="001D4453">
        <w:t>s</w:t>
      </w:r>
      <w:r>
        <w:t>cale</w:t>
      </w:r>
      <w:r w:rsidRPr="001D4453">
        <w:t xml:space="preserve"> item statements </w:t>
      </w:r>
      <w:r>
        <w:t xml:space="preserve">would </w:t>
      </w:r>
      <w:r w:rsidRPr="001D4453">
        <w:t>a</w:t>
      </w:r>
      <w:r>
        <w:t>im</w:t>
      </w:r>
      <w:r w:rsidRPr="001D4453">
        <w:t xml:space="preserve"> to minimize </w:t>
      </w:r>
      <w:r>
        <w:t>participant</w:t>
      </w:r>
      <w:r w:rsidRPr="001D4453">
        <w:t xml:space="preserve"> auto-acquiescence</w:t>
      </w:r>
      <w:r>
        <w:t xml:space="preserve">, that Is, </w:t>
      </w:r>
      <w:r w:rsidRPr="001D4453">
        <w:t>'yea-saying'</w:t>
      </w:r>
      <w:r>
        <w:t>,</w:t>
      </w:r>
      <w:r w:rsidRPr="001D4453">
        <w:t xml:space="preserve"> </w:t>
      </w:r>
      <w:r>
        <w:t xml:space="preserve">being </w:t>
      </w:r>
      <w:r w:rsidRPr="001D4453">
        <w:t xml:space="preserve">the </w:t>
      </w:r>
      <w:r>
        <w:t xml:space="preserve">often-problematic </w:t>
      </w:r>
      <w:r w:rsidRPr="001D4453">
        <w:t>tendency to respond positively to a</w:t>
      </w:r>
      <w:r>
        <w:t xml:space="preserve">ttitude statements </w:t>
      </w:r>
      <w:r w:rsidRPr="001D4453">
        <w:t>(Paulhaus,</w:t>
      </w:r>
      <w:r>
        <w:t xml:space="preserve"> </w:t>
      </w:r>
      <w:r w:rsidRPr="001D4453">
        <w:t>1991)</w:t>
      </w:r>
      <w:r>
        <w:t>. Thus,</w:t>
      </w:r>
      <w:r w:rsidRPr="001D4453">
        <w:t xml:space="preserve"> the response indicator design </w:t>
      </w:r>
      <w:r>
        <w:t xml:space="preserve">would </w:t>
      </w:r>
      <w:r w:rsidRPr="001D4453">
        <w:t>requir</w:t>
      </w:r>
      <w:r>
        <w:t>e</w:t>
      </w:r>
      <w:r w:rsidRPr="001D4453">
        <w:t xml:space="preserve"> a fine gradation of level-judgment to be</w:t>
      </w:r>
      <w:r>
        <w:t xml:space="preserve"> applied</w:t>
      </w:r>
      <w:r w:rsidRPr="001D4453">
        <w:t>;</w:t>
      </w:r>
    </w:p>
    <w:p w14:paraId="0C67C549" w14:textId="77777777" w:rsidR="00604E31" w:rsidRDefault="00604E31" w:rsidP="00604E31">
      <w:pPr>
        <w:pStyle w:val="ListParagraph"/>
        <w:numPr>
          <w:ilvl w:val="0"/>
          <w:numId w:val="4"/>
        </w:numPr>
        <w:spacing w:after="0" w:line="276" w:lineRule="auto"/>
      </w:pPr>
      <w:r w:rsidRPr="001D4453">
        <w:t>although not specifically designed into the suite of s</w:t>
      </w:r>
      <w:r>
        <w:t>cale</w:t>
      </w:r>
      <w:r w:rsidRPr="001D4453">
        <w:t xml:space="preserve">-item statements at the outset </w:t>
      </w:r>
      <w:r>
        <w:t xml:space="preserve">- </w:t>
      </w:r>
      <w:r w:rsidRPr="001D4453">
        <w:t xml:space="preserve">which </w:t>
      </w:r>
      <w:r>
        <w:t>we</w:t>
      </w:r>
      <w:r w:rsidRPr="001D4453">
        <w:t>re presented in a random order</w:t>
      </w:r>
      <w:r>
        <w:t xml:space="preserve"> -</w:t>
      </w:r>
      <w:r w:rsidRPr="001D4453">
        <w:t xml:space="preserve"> natural groupings of statements </w:t>
      </w:r>
      <w:r>
        <w:t>as sub-scales we</w:t>
      </w:r>
      <w:r w:rsidRPr="001D4453">
        <w:t>re expected to emerge</w:t>
      </w:r>
      <w:r>
        <w:t>, leading to the possibility for factor analysis might be applied later, if appropriate;</w:t>
      </w:r>
    </w:p>
    <w:p w14:paraId="04083ED1" w14:textId="77777777" w:rsidR="00604E31" w:rsidRPr="001B3B22" w:rsidRDefault="00604E31" w:rsidP="00604E31">
      <w:pPr>
        <w:pStyle w:val="ListParagraph"/>
        <w:numPr>
          <w:ilvl w:val="0"/>
          <w:numId w:val="4"/>
        </w:numPr>
        <w:spacing w:after="0" w:line="276" w:lineRule="auto"/>
      </w:pPr>
      <w:r w:rsidRPr="001D4453">
        <w:t>s</w:t>
      </w:r>
      <w:r>
        <w:t>cale</w:t>
      </w:r>
      <w:r w:rsidRPr="001D4453">
        <w:t xml:space="preserve"> item statements</w:t>
      </w:r>
      <w:r>
        <w:t xml:space="preserve"> were </w:t>
      </w:r>
      <w:r w:rsidRPr="001D4453">
        <w:t xml:space="preserve">to avoid social desirability bias, that is, the tendency of </w:t>
      </w:r>
      <w:r>
        <w:t xml:space="preserve">participants to self-report </w:t>
      </w:r>
      <w:r w:rsidRPr="001D4453">
        <w:t>positively, either deliberately or unconsciously. In particular, an overal</w:t>
      </w:r>
      <w:r>
        <w:t>l neutrality should be establish</w:t>
      </w:r>
      <w:r w:rsidRPr="001D4453">
        <w:t xml:space="preserve">ed for the complete Dx Profiler so that it would be difficult for participants to guess </w:t>
      </w:r>
      <w:r>
        <w:t xml:space="preserve">how to respond to </w:t>
      </w:r>
      <w:r w:rsidRPr="001D4453">
        <w:t>present them</w:t>
      </w:r>
      <w:r>
        <w:t>selves</w:t>
      </w:r>
      <w:r w:rsidRPr="001D4453">
        <w:t xml:space="preserve"> in a favourable li</w:t>
      </w:r>
      <w:r>
        <w:t>ght (Furnham &amp; Henderson, 1982)</w:t>
      </w:r>
      <w:r w:rsidRPr="001B3B22">
        <w:t>.</w:t>
      </w:r>
    </w:p>
    <w:p w14:paraId="4B5E925C" w14:textId="77777777" w:rsidR="00604E31" w:rsidRPr="00FE1952" w:rsidRDefault="00604E31" w:rsidP="00604E31">
      <w:pPr>
        <w:pStyle w:val="Heading5"/>
      </w:pPr>
    </w:p>
    <w:p w14:paraId="0621B815" w14:textId="401C0069" w:rsidR="00604E31" w:rsidRDefault="00604E31" w:rsidP="00604E31">
      <w:pPr>
        <w:pStyle w:val="Heading5"/>
      </w:pPr>
      <w:bookmarkStart w:id="145" w:name="III_DesigningDx"/>
      <w:bookmarkEnd w:id="145"/>
      <w:r>
        <w:t>II</w:t>
      </w:r>
      <w:r w:rsidR="00B3671B">
        <w:t>I</w:t>
      </w:r>
      <w:r>
        <w:t xml:space="preserve"> </w:t>
      </w:r>
      <w:r w:rsidR="00B3671B">
        <w:t xml:space="preserve"> </w:t>
      </w:r>
      <w:r>
        <w:t>Designing the Dx Profiler</w:t>
      </w:r>
    </w:p>
    <w:p w14:paraId="569FB659" w14:textId="77777777" w:rsidR="00604E31" w:rsidRDefault="00604E31" w:rsidP="00604E31">
      <w:r>
        <w:t>In addition to being grounded in the most recent BDA definition of dyslexia, several other evaluators were consulted for guidance. I</w:t>
      </w:r>
      <w:r w:rsidRPr="001B3B22">
        <w:t>n particular</w:t>
      </w:r>
      <w:r>
        <w:t>:</w:t>
      </w:r>
      <w:r w:rsidRPr="001B3B22">
        <w:t xml:space="preserve"> the BDA's Adult Checklist developed by Smythe and Everatt (2001)</w:t>
      </w:r>
      <w:r>
        <w:t>;</w:t>
      </w:r>
      <w:r w:rsidRPr="001B3B22">
        <w:t xml:space="preserve"> the original Adult Dyslexia Checklist proposed by Vinegrad (1994)</w:t>
      </w:r>
      <w:r>
        <w:t xml:space="preserve">, </w:t>
      </w:r>
      <w:r w:rsidRPr="001B3B22">
        <w:t xml:space="preserve">upon which many subsequent checklists appear to be </w:t>
      </w:r>
      <w:r>
        <w:t>base</w:t>
      </w:r>
      <w:r w:rsidRPr="001B3B22">
        <w:t>d</w:t>
      </w:r>
      <w:r>
        <w:t>;</w:t>
      </w:r>
      <w:r w:rsidRPr="001B3B22">
        <w:t xml:space="preserve"> and the later, York Adult Assessment</w:t>
      </w:r>
      <w:r>
        <w:t xml:space="preserve"> (YAA)</w:t>
      </w:r>
      <w:r w:rsidRPr="001B3B22">
        <w:t xml:space="preserve"> (Warmington </w:t>
      </w:r>
      <w:r>
        <w:t>et al.</w:t>
      </w:r>
      <w:r w:rsidRPr="001B3B22">
        <w:t>, 2012) which has a specific focus as a screening tool for dyslexia in adults</w:t>
      </w:r>
      <w:r>
        <w:t>, were all explored. D</w:t>
      </w:r>
      <w:r w:rsidRPr="001B3B22">
        <w:t>espite the limitations outlined earlier</w:t>
      </w:r>
      <w:r>
        <w:t xml:space="preserve"> (sub-section 2.1(VII))</w:t>
      </w:r>
      <w:r w:rsidRPr="001B3B22">
        <w:t xml:space="preserve">, </w:t>
      </w:r>
      <w:r>
        <w:t xml:space="preserve">the YAA </w:t>
      </w:r>
      <w:r w:rsidRPr="001B3B22">
        <w:t xml:space="preserve">was found to be usefully informative. </w:t>
      </w:r>
      <w:r>
        <w:t>But a</w:t>
      </w:r>
      <w:r w:rsidRPr="001B3B22">
        <w:t>lso consulted and adapted has be</w:t>
      </w:r>
      <w:r>
        <w:t xml:space="preserve">en </w:t>
      </w:r>
      <w:r w:rsidRPr="001B3B22">
        <w:t>the 'Myself as a Learner Scale' (Burden, 2000)</w:t>
      </w:r>
      <w:r>
        <w:t>;</w:t>
      </w:r>
      <w:r w:rsidRPr="001B3B22">
        <w:t xml:space="preserve"> the useful comparison of referral items used in screening </w:t>
      </w:r>
      <w:r>
        <w:t>test</w:t>
      </w:r>
      <w:r w:rsidRPr="001B3B22">
        <w:t>s which formed part of a wider resea</w:t>
      </w:r>
      <w:r>
        <w:t>rch review of dyslexia by Rice and</w:t>
      </w:r>
      <w:r w:rsidRPr="001B3B22">
        <w:t xml:space="preserve"> Brooks (2004)</w:t>
      </w:r>
      <w:r>
        <w:t>;</w:t>
      </w:r>
      <w:r w:rsidRPr="001B3B22">
        <w:t xml:space="preserve"> a</w:t>
      </w:r>
      <w:r>
        <w:t>nd especially more recent work by Tamboer and</w:t>
      </w:r>
      <w:r w:rsidRPr="001B3B22">
        <w:t xml:space="preserve"> Vorst (2015) where both their own self-report inventory of dyslexia for students at university</w:t>
      </w:r>
      <w:r>
        <w:t>,</w:t>
      </w:r>
      <w:r w:rsidRPr="001B3B22">
        <w:t xml:space="preserve"> and their useful overview of previous studies were consulted.</w:t>
      </w:r>
    </w:p>
    <w:p w14:paraId="56A5687D" w14:textId="0C938CD7" w:rsidR="009503C9" w:rsidRPr="00A46B12" w:rsidRDefault="00604E31" w:rsidP="00CC5358">
      <w:r>
        <w:t xml:space="preserve">Drawing from all of these sources, and from supporting literature, a portfolio of 20 statements </w:t>
      </w:r>
      <w:r w:rsidRPr="007B6D72">
        <w:t>was</w:t>
      </w:r>
      <w:r>
        <w:t xml:space="preserve"> devised for gauging attributes of study behaviours and learning biography that are known to present characteristic differences between dyslexic and non-dyslexic students, thus setting out the framework for the Dx Profiler (Table </w:t>
      </w:r>
      <w:r w:rsidR="00327542">
        <w:t>2</w:t>
      </w:r>
      <w:r>
        <w:t xml:space="preserve">). Dimensions are </w:t>
      </w:r>
    </w:p>
    <w:p w14:paraId="4823616D" w14:textId="2CB56507" w:rsidR="00A46B12" w:rsidRPr="00A02FE4" w:rsidRDefault="00A46B12" w:rsidP="00604E31">
      <w:pPr>
        <w:rPr>
          <w:rFonts w:ascii="Times New Roman" w:eastAsia="Times New Roman" w:hAnsi="Times New Roman" w:cs="Times New Roman"/>
          <w:sz w:val="24"/>
          <w:szCs w:val="24"/>
          <w:lang w:eastAsia="en-GB"/>
        </w:rPr>
        <w:sectPr w:rsidR="00A46B12" w:rsidRPr="00A02FE4" w:rsidSect="007E1461">
          <w:headerReference w:type="default" r:id="rId38"/>
          <w:type w:val="continuous"/>
          <w:pgSz w:w="11906" w:h="16838"/>
          <w:pgMar w:top="720" w:right="849" w:bottom="720" w:left="2268" w:header="709" w:footer="709" w:gutter="0"/>
          <w:cols w:space="708"/>
          <w:titlePg/>
          <w:docGrid w:linePitch="360"/>
        </w:sectPr>
      </w:pPr>
    </w:p>
    <w:p w14:paraId="105D7E6C" w14:textId="77777777" w:rsidR="00604E31" w:rsidRDefault="00604E31" w:rsidP="00604E31"/>
    <w:tbl>
      <w:tblPr>
        <w:tblStyle w:val="ListTable7ColourfulAccent3"/>
        <w:tblW w:w="0" w:type="auto"/>
        <w:tblLook w:val="04A0" w:firstRow="1" w:lastRow="0" w:firstColumn="1" w:lastColumn="0" w:noHBand="0" w:noVBand="1"/>
      </w:tblPr>
      <w:tblGrid>
        <w:gridCol w:w="737"/>
        <w:gridCol w:w="5102"/>
        <w:gridCol w:w="4535"/>
        <w:gridCol w:w="4762"/>
      </w:tblGrid>
      <w:tr w:rsidR="00604E31" w:rsidRPr="00EB4ABF" w14:paraId="11C0BC22" w14:textId="77777777" w:rsidTr="008418A1">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737" w:type="dxa"/>
            <w:vAlign w:val="center"/>
          </w:tcPr>
          <w:p w14:paraId="6DC7B752" w14:textId="77777777" w:rsidR="00604E31" w:rsidRDefault="00604E31" w:rsidP="008418A1">
            <w:pPr>
              <w:spacing w:after="100" w:afterAutospacing="1" w:line="240" w:lineRule="auto"/>
              <w:contextualSpacing/>
              <w:jc w:val="left"/>
              <w:rPr>
                <w:rFonts w:ascii="Gill Sans MT" w:hAnsi="Gill Sans MT"/>
              </w:rPr>
            </w:pPr>
            <w:r>
              <w:rPr>
                <w:rFonts w:ascii="Gill Sans MT" w:hAnsi="Gill Sans MT"/>
              </w:rPr>
              <w:t>Dim #</w:t>
            </w:r>
          </w:p>
        </w:tc>
        <w:tc>
          <w:tcPr>
            <w:tcW w:w="5102" w:type="dxa"/>
            <w:vAlign w:val="center"/>
          </w:tcPr>
          <w:p w14:paraId="21D0A693" w14:textId="77777777" w:rsidR="00604E31" w:rsidRPr="00EB4ABF" w:rsidRDefault="00604E31" w:rsidP="008418A1">
            <w:pPr>
              <w:spacing w:after="100" w:afterAutospacing="1" w:line="240" w:lineRule="auto"/>
              <w:contextualSpacing/>
              <w:cnfStyle w:val="100000000000" w:firstRow="1"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Statement</w:t>
            </w:r>
          </w:p>
        </w:tc>
        <w:tc>
          <w:tcPr>
            <w:tcW w:w="4535" w:type="dxa"/>
            <w:vAlign w:val="center"/>
          </w:tcPr>
          <w:p w14:paraId="5C930A86" w14:textId="77777777" w:rsidR="00604E31" w:rsidRDefault="00604E31" w:rsidP="008418A1">
            <w:pPr>
              <w:spacing w:after="100" w:afterAutospacing="1" w:line="240" w:lineRule="auto"/>
              <w:contextualSpacing/>
              <w:cnfStyle w:val="100000000000" w:firstRow="1"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Aiming to gauge differences in: ...</w:t>
            </w:r>
          </w:p>
        </w:tc>
        <w:tc>
          <w:tcPr>
            <w:tcW w:w="4762" w:type="dxa"/>
            <w:vAlign w:val="center"/>
          </w:tcPr>
          <w:p w14:paraId="1007AE91" w14:textId="77777777" w:rsidR="00604E31" w:rsidRPr="00D4183E" w:rsidRDefault="00604E31" w:rsidP="008418A1">
            <w:pPr>
              <w:spacing w:after="100" w:afterAutospacing="1" w:line="240" w:lineRule="auto"/>
              <w:contextualSpacing/>
              <w:cnfStyle w:val="100000000000" w:firstRow="1" w:lastRow="0" w:firstColumn="0" w:lastColumn="0" w:oddVBand="0" w:evenVBand="0" w:oddHBand="0" w:evenHBand="0" w:firstRowFirstColumn="0" w:firstRowLastColumn="0" w:lastRowFirstColumn="0" w:lastRowLastColumn="0"/>
              <w:rPr>
                <w:rFonts w:ascii="Gill Sans MT" w:hAnsi="Gill Sans MT"/>
                <w:i w:val="0"/>
                <w:iCs w:val="0"/>
              </w:rPr>
            </w:pPr>
            <w:r>
              <w:rPr>
                <w:rFonts w:ascii="Gill Sans MT" w:hAnsi="Gill Sans MT"/>
              </w:rPr>
              <w:t>Supporting references</w:t>
            </w:r>
            <w:r>
              <w:rPr>
                <w:rFonts w:ascii="Gill Sans MT" w:hAnsi="Gill Sans MT"/>
                <w:i w:val="0"/>
                <w:iCs w:val="0"/>
              </w:rPr>
              <w:t>*</w:t>
            </w:r>
          </w:p>
        </w:tc>
      </w:tr>
      <w:tr w:rsidR="00604E31" w:rsidRPr="00EB4ABF" w14:paraId="3E96333F" w14:textId="77777777" w:rsidTr="008418A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37" w:type="dxa"/>
            <w:vAlign w:val="center"/>
          </w:tcPr>
          <w:p w14:paraId="29FE1475" w14:textId="77777777" w:rsidR="00604E31" w:rsidRDefault="00604E31" w:rsidP="008418A1">
            <w:pPr>
              <w:spacing w:after="100" w:afterAutospacing="1" w:line="240" w:lineRule="auto"/>
              <w:contextualSpacing/>
              <w:jc w:val="center"/>
              <w:rPr>
                <w:rFonts w:ascii="Gill Sans MT" w:hAnsi="Gill Sans MT"/>
              </w:rPr>
            </w:pPr>
            <w:r>
              <w:rPr>
                <w:rFonts w:ascii="Gill Sans MT" w:hAnsi="Gill Sans MT"/>
              </w:rPr>
              <w:t>01</w:t>
            </w:r>
          </w:p>
        </w:tc>
        <w:tc>
          <w:tcPr>
            <w:tcW w:w="5102" w:type="dxa"/>
            <w:vAlign w:val="center"/>
          </w:tcPr>
          <w:p w14:paraId="13639783" w14:textId="77777777" w:rsidR="00604E31" w:rsidRPr="00EB4ABF" w:rsidRDefault="00604E31" w:rsidP="008418A1">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When I was learning to read at school, I often felt I was slower than others in my class</w:t>
            </w:r>
          </w:p>
        </w:tc>
        <w:tc>
          <w:tcPr>
            <w:tcW w:w="4535" w:type="dxa"/>
            <w:vAlign w:val="center"/>
          </w:tcPr>
          <w:p w14:paraId="6EB8293F" w14:textId="77777777" w:rsidR="00604E31" w:rsidRPr="00EB4ABF" w:rsidRDefault="00604E31" w:rsidP="008418A1">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Reading fluency confidence, reading anxiety</w:t>
            </w:r>
          </w:p>
        </w:tc>
        <w:tc>
          <w:tcPr>
            <w:tcW w:w="4762" w:type="dxa"/>
            <w:vAlign w:val="center"/>
          </w:tcPr>
          <w:p w14:paraId="2A13399E" w14:textId="77777777" w:rsidR="00604E31" w:rsidRPr="00EB4ABF" w:rsidRDefault="00604E31" w:rsidP="008418A1">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 xml:space="preserve">Critchley, 1970, [2.1/I]; Lombardino &amp; Gauger, 2014, [2.1/I]; Stanovich, 1988, [2.1/II(1)]; </w:t>
            </w:r>
          </w:p>
        </w:tc>
      </w:tr>
      <w:tr w:rsidR="00604E31" w:rsidRPr="00EB4ABF" w14:paraId="213528B5" w14:textId="77777777" w:rsidTr="008418A1">
        <w:trPr>
          <w:trHeight w:val="567"/>
        </w:trPr>
        <w:tc>
          <w:tcPr>
            <w:cnfStyle w:val="001000000000" w:firstRow="0" w:lastRow="0" w:firstColumn="1" w:lastColumn="0" w:oddVBand="0" w:evenVBand="0" w:oddHBand="0" w:evenHBand="0" w:firstRowFirstColumn="0" w:firstRowLastColumn="0" w:lastRowFirstColumn="0" w:lastRowLastColumn="0"/>
            <w:tcW w:w="737" w:type="dxa"/>
            <w:vAlign w:val="center"/>
          </w:tcPr>
          <w:p w14:paraId="2338D15A" w14:textId="77777777" w:rsidR="00604E31" w:rsidRDefault="00604E31" w:rsidP="008418A1">
            <w:pPr>
              <w:spacing w:after="100" w:afterAutospacing="1" w:line="240" w:lineRule="auto"/>
              <w:contextualSpacing/>
              <w:jc w:val="center"/>
              <w:rPr>
                <w:rFonts w:ascii="Gill Sans MT" w:hAnsi="Gill Sans MT"/>
              </w:rPr>
            </w:pPr>
            <w:r>
              <w:rPr>
                <w:rFonts w:ascii="Gill Sans MT" w:hAnsi="Gill Sans MT"/>
              </w:rPr>
              <w:t>02</w:t>
            </w:r>
          </w:p>
        </w:tc>
        <w:tc>
          <w:tcPr>
            <w:tcW w:w="5102" w:type="dxa"/>
            <w:vAlign w:val="center"/>
          </w:tcPr>
          <w:p w14:paraId="55C43EE3" w14:textId="77777777" w:rsidR="00604E31" w:rsidRPr="00EB4ABF" w:rsidRDefault="00604E31" w:rsidP="008418A1">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My spelling is generally good</w:t>
            </w:r>
          </w:p>
        </w:tc>
        <w:tc>
          <w:tcPr>
            <w:tcW w:w="4535" w:type="dxa"/>
            <w:vAlign w:val="center"/>
          </w:tcPr>
          <w:p w14:paraId="64AD7875" w14:textId="77777777" w:rsidR="00604E31" w:rsidRPr="00EB4ABF" w:rsidRDefault="00604E31" w:rsidP="008418A1">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Spelling confidence</w:t>
            </w:r>
          </w:p>
        </w:tc>
        <w:tc>
          <w:tcPr>
            <w:tcW w:w="4762" w:type="dxa"/>
            <w:vAlign w:val="center"/>
          </w:tcPr>
          <w:p w14:paraId="6DF31337" w14:textId="77777777" w:rsidR="00604E31" w:rsidRPr="00EB4ABF" w:rsidRDefault="00604E31" w:rsidP="008418A1">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 xml:space="preserve">Critchley, 1970, [2.1/I]; </w:t>
            </w:r>
          </w:p>
        </w:tc>
      </w:tr>
      <w:tr w:rsidR="00604E31" w:rsidRPr="00EB4ABF" w14:paraId="2FD7DCDC" w14:textId="77777777" w:rsidTr="008418A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37" w:type="dxa"/>
            <w:vAlign w:val="center"/>
          </w:tcPr>
          <w:p w14:paraId="0F6767D2" w14:textId="77777777" w:rsidR="00604E31" w:rsidRDefault="00604E31" w:rsidP="008418A1">
            <w:pPr>
              <w:spacing w:after="100" w:afterAutospacing="1" w:line="240" w:lineRule="auto"/>
              <w:contextualSpacing/>
              <w:jc w:val="center"/>
              <w:rPr>
                <w:rFonts w:ascii="Gill Sans MT" w:hAnsi="Gill Sans MT"/>
              </w:rPr>
            </w:pPr>
            <w:r>
              <w:rPr>
                <w:rFonts w:ascii="Gill Sans MT" w:hAnsi="Gill Sans MT"/>
              </w:rPr>
              <w:t>03</w:t>
            </w:r>
          </w:p>
        </w:tc>
        <w:tc>
          <w:tcPr>
            <w:tcW w:w="5102" w:type="dxa"/>
            <w:vAlign w:val="center"/>
          </w:tcPr>
          <w:p w14:paraId="0D06A262" w14:textId="77777777" w:rsidR="00604E31" w:rsidRPr="00EB4ABF" w:rsidRDefault="00604E31" w:rsidP="008418A1">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I find it very challenging to manage my time efficiently</w:t>
            </w:r>
          </w:p>
        </w:tc>
        <w:tc>
          <w:tcPr>
            <w:tcW w:w="4535" w:type="dxa"/>
            <w:vAlign w:val="center"/>
          </w:tcPr>
          <w:p w14:paraId="52903AD4" w14:textId="77777777" w:rsidR="00604E31" w:rsidRPr="00EB4ABF" w:rsidRDefault="00604E31" w:rsidP="008418A1">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Organization and time-management competencies</w:t>
            </w:r>
          </w:p>
        </w:tc>
        <w:tc>
          <w:tcPr>
            <w:tcW w:w="4762" w:type="dxa"/>
            <w:vAlign w:val="center"/>
          </w:tcPr>
          <w:p w14:paraId="022DBDD2" w14:textId="77777777" w:rsidR="00604E31" w:rsidRPr="00EB4ABF" w:rsidRDefault="00604E31" w:rsidP="008418A1">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 xml:space="preserve">Kirby et.al., 2008; </w:t>
            </w:r>
          </w:p>
        </w:tc>
      </w:tr>
      <w:tr w:rsidR="00604E31" w:rsidRPr="00EB4ABF" w14:paraId="094C469B" w14:textId="77777777" w:rsidTr="008418A1">
        <w:trPr>
          <w:trHeight w:val="567"/>
        </w:trPr>
        <w:tc>
          <w:tcPr>
            <w:cnfStyle w:val="001000000000" w:firstRow="0" w:lastRow="0" w:firstColumn="1" w:lastColumn="0" w:oddVBand="0" w:evenVBand="0" w:oddHBand="0" w:evenHBand="0" w:firstRowFirstColumn="0" w:firstRowLastColumn="0" w:lastRowFirstColumn="0" w:lastRowLastColumn="0"/>
            <w:tcW w:w="737" w:type="dxa"/>
            <w:vAlign w:val="center"/>
          </w:tcPr>
          <w:p w14:paraId="0740A6EA" w14:textId="77777777" w:rsidR="00604E31" w:rsidRDefault="00604E31" w:rsidP="008418A1">
            <w:pPr>
              <w:spacing w:after="100" w:afterAutospacing="1" w:line="240" w:lineRule="auto"/>
              <w:contextualSpacing/>
              <w:jc w:val="center"/>
              <w:rPr>
                <w:rFonts w:ascii="Gill Sans MT" w:hAnsi="Gill Sans MT"/>
              </w:rPr>
            </w:pPr>
            <w:r>
              <w:rPr>
                <w:rFonts w:ascii="Gill Sans MT" w:hAnsi="Gill Sans MT"/>
              </w:rPr>
              <w:t>04</w:t>
            </w:r>
          </w:p>
        </w:tc>
        <w:tc>
          <w:tcPr>
            <w:tcW w:w="5102" w:type="dxa"/>
            <w:vAlign w:val="center"/>
          </w:tcPr>
          <w:p w14:paraId="565011F5" w14:textId="77777777" w:rsidR="00604E31" w:rsidRPr="00EB4ABF" w:rsidRDefault="00604E31" w:rsidP="008418A1">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I can explain things to people much more easily verbally than in my writing</w:t>
            </w:r>
          </w:p>
        </w:tc>
        <w:tc>
          <w:tcPr>
            <w:tcW w:w="4535" w:type="dxa"/>
            <w:vAlign w:val="center"/>
          </w:tcPr>
          <w:p w14:paraId="58CDD19F" w14:textId="77777777" w:rsidR="00604E31" w:rsidRPr="00EB4ABF" w:rsidRDefault="00604E31" w:rsidP="008418A1">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Preferences/avoidances for communicating knowledge and expressing ideas; visualization into verbalization;</w:t>
            </w:r>
          </w:p>
        </w:tc>
        <w:tc>
          <w:tcPr>
            <w:tcW w:w="4762" w:type="dxa"/>
            <w:vAlign w:val="center"/>
          </w:tcPr>
          <w:p w14:paraId="6AEFB6FF" w14:textId="77777777" w:rsidR="00604E31" w:rsidRPr="00EB4ABF" w:rsidRDefault="00604E31" w:rsidP="008418A1">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Hummel, 2004;</w:t>
            </w:r>
          </w:p>
        </w:tc>
      </w:tr>
      <w:tr w:rsidR="00604E31" w:rsidRPr="00EB4ABF" w14:paraId="13319332" w14:textId="77777777" w:rsidTr="008418A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37" w:type="dxa"/>
            <w:vAlign w:val="center"/>
          </w:tcPr>
          <w:p w14:paraId="4E3D666C" w14:textId="77777777" w:rsidR="00604E31" w:rsidRDefault="00604E31" w:rsidP="008418A1">
            <w:pPr>
              <w:spacing w:after="100" w:afterAutospacing="1" w:line="240" w:lineRule="auto"/>
              <w:contextualSpacing/>
              <w:jc w:val="center"/>
              <w:rPr>
                <w:rFonts w:ascii="Gill Sans MT" w:hAnsi="Gill Sans MT"/>
              </w:rPr>
            </w:pPr>
            <w:r>
              <w:rPr>
                <w:rFonts w:ascii="Gill Sans MT" w:hAnsi="Gill Sans MT"/>
              </w:rPr>
              <w:t>05</w:t>
            </w:r>
          </w:p>
        </w:tc>
        <w:tc>
          <w:tcPr>
            <w:tcW w:w="5102" w:type="dxa"/>
            <w:vAlign w:val="center"/>
          </w:tcPr>
          <w:p w14:paraId="248F2D54" w14:textId="77777777" w:rsidR="00604E31" w:rsidRPr="00EB4ABF" w:rsidRDefault="00604E31" w:rsidP="008418A1">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I think I am a highly organized learner</w:t>
            </w:r>
          </w:p>
        </w:tc>
        <w:tc>
          <w:tcPr>
            <w:tcW w:w="4535" w:type="dxa"/>
            <w:vAlign w:val="center"/>
          </w:tcPr>
          <w:p w14:paraId="23CABF2B" w14:textId="77777777" w:rsidR="00604E31" w:rsidRPr="00EB4ABF" w:rsidRDefault="00604E31" w:rsidP="008418A1">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Organization and time-management competencies</w:t>
            </w:r>
          </w:p>
        </w:tc>
        <w:tc>
          <w:tcPr>
            <w:tcW w:w="4762" w:type="dxa"/>
            <w:vAlign w:val="center"/>
          </w:tcPr>
          <w:p w14:paraId="34148B52" w14:textId="77777777" w:rsidR="00604E31" w:rsidRPr="00EB4ABF" w:rsidRDefault="00604E31" w:rsidP="008418A1">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Miles, 1993; Jacklin et.al., 2007, [2.1/VII];</w:t>
            </w:r>
          </w:p>
        </w:tc>
      </w:tr>
      <w:tr w:rsidR="00604E31" w:rsidRPr="00EB4ABF" w14:paraId="2C28535F" w14:textId="77777777" w:rsidTr="008418A1">
        <w:trPr>
          <w:trHeight w:val="567"/>
        </w:trPr>
        <w:tc>
          <w:tcPr>
            <w:cnfStyle w:val="001000000000" w:firstRow="0" w:lastRow="0" w:firstColumn="1" w:lastColumn="0" w:oddVBand="0" w:evenVBand="0" w:oddHBand="0" w:evenHBand="0" w:firstRowFirstColumn="0" w:firstRowLastColumn="0" w:lastRowFirstColumn="0" w:lastRowLastColumn="0"/>
            <w:tcW w:w="737" w:type="dxa"/>
            <w:vAlign w:val="center"/>
          </w:tcPr>
          <w:p w14:paraId="6FE8A6CC" w14:textId="77777777" w:rsidR="00604E31" w:rsidRDefault="00604E31" w:rsidP="008418A1">
            <w:pPr>
              <w:spacing w:after="100" w:afterAutospacing="1" w:line="240" w:lineRule="auto"/>
              <w:contextualSpacing/>
              <w:jc w:val="center"/>
              <w:rPr>
                <w:rFonts w:ascii="Gill Sans MT" w:hAnsi="Gill Sans MT"/>
              </w:rPr>
            </w:pPr>
            <w:r>
              <w:rPr>
                <w:rFonts w:ascii="Gill Sans MT" w:hAnsi="Gill Sans MT"/>
              </w:rPr>
              <w:t>06</w:t>
            </w:r>
          </w:p>
        </w:tc>
        <w:tc>
          <w:tcPr>
            <w:tcW w:w="5102" w:type="dxa"/>
            <w:vAlign w:val="center"/>
          </w:tcPr>
          <w:p w14:paraId="4B53E4CF" w14:textId="77777777" w:rsidR="00604E31" w:rsidRPr="00EB4ABF" w:rsidRDefault="00604E31" w:rsidP="008418A1">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In my writing, I frequently use the wrong word for my intended meaning</w:t>
            </w:r>
          </w:p>
        </w:tc>
        <w:tc>
          <w:tcPr>
            <w:tcW w:w="4535" w:type="dxa"/>
            <w:vAlign w:val="center"/>
          </w:tcPr>
          <w:p w14:paraId="6C7DA70C" w14:textId="77777777" w:rsidR="00604E31" w:rsidRPr="00EB4ABF" w:rsidRDefault="00604E31" w:rsidP="008418A1">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Word confusion; word retrieval</w:t>
            </w:r>
          </w:p>
        </w:tc>
        <w:tc>
          <w:tcPr>
            <w:tcW w:w="4762" w:type="dxa"/>
            <w:vAlign w:val="center"/>
          </w:tcPr>
          <w:p w14:paraId="2B7E6D00" w14:textId="77777777" w:rsidR="00604E31" w:rsidRPr="00EB4ABF" w:rsidRDefault="00604E31" w:rsidP="008418A1">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Reid, 2011; le Jan et.al., 2009 [2.1/I];</w:t>
            </w:r>
          </w:p>
        </w:tc>
      </w:tr>
      <w:tr w:rsidR="00604E31" w:rsidRPr="00EB4ABF" w14:paraId="50806558" w14:textId="77777777" w:rsidTr="008418A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37" w:type="dxa"/>
            <w:vAlign w:val="center"/>
          </w:tcPr>
          <w:p w14:paraId="22132A19" w14:textId="77777777" w:rsidR="00604E31" w:rsidRDefault="00604E31" w:rsidP="008418A1">
            <w:pPr>
              <w:spacing w:after="100" w:afterAutospacing="1" w:line="240" w:lineRule="auto"/>
              <w:contextualSpacing/>
              <w:jc w:val="center"/>
              <w:rPr>
                <w:rFonts w:ascii="Gill Sans MT" w:hAnsi="Gill Sans MT"/>
              </w:rPr>
            </w:pPr>
            <w:r>
              <w:rPr>
                <w:rFonts w:ascii="Gill Sans MT" w:hAnsi="Gill Sans MT"/>
              </w:rPr>
              <w:t>07</w:t>
            </w:r>
          </w:p>
        </w:tc>
        <w:tc>
          <w:tcPr>
            <w:tcW w:w="5102" w:type="dxa"/>
            <w:vAlign w:val="center"/>
          </w:tcPr>
          <w:p w14:paraId="5442B89A" w14:textId="77777777" w:rsidR="00604E31" w:rsidRPr="00EB4ABF" w:rsidRDefault="00604E31" w:rsidP="008418A1">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I generally remember appointments and arrive on time</w:t>
            </w:r>
          </w:p>
        </w:tc>
        <w:tc>
          <w:tcPr>
            <w:tcW w:w="4535" w:type="dxa"/>
            <w:vAlign w:val="center"/>
          </w:tcPr>
          <w:p w14:paraId="1EB0DCA4" w14:textId="77777777" w:rsidR="00604E31" w:rsidRPr="00EB4ABF" w:rsidRDefault="00604E31" w:rsidP="008418A1">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Organization and time-management competencies</w:t>
            </w:r>
          </w:p>
        </w:tc>
        <w:tc>
          <w:tcPr>
            <w:tcW w:w="4762" w:type="dxa"/>
            <w:vAlign w:val="center"/>
          </w:tcPr>
          <w:p w14:paraId="020D3A40" w14:textId="77777777" w:rsidR="00604E31" w:rsidRPr="00EB4ABF" w:rsidRDefault="00604E31" w:rsidP="008418A1">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Klein, 1993; Farmer, et.al., 2002; Mortimore &amp; Crozier, 2006;</w:t>
            </w:r>
          </w:p>
        </w:tc>
      </w:tr>
      <w:tr w:rsidR="00604E31" w:rsidRPr="00EB4ABF" w14:paraId="632AA1B0" w14:textId="77777777" w:rsidTr="008418A1">
        <w:trPr>
          <w:trHeight w:val="567"/>
        </w:trPr>
        <w:tc>
          <w:tcPr>
            <w:cnfStyle w:val="001000000000" w:firstRow="0" w:lastRow="0" w:firstColumn="1" w:lastColumn="0" w:oddVBand="0" w:evenVBand="0" w:oddHBand="0" w:evenHBand="0" w:firstRowFirstColumn="0" w:firstRowLastColumn="0" w:lastRowFirstColumn="0" w:lastRowLastColumn="0"/>
            <w:tcW w:w="737" w:type="dxa"/>
            <w:vAlign w:val="center"/>
          </w:tcPr>
          <w:p w14:paraId="68BCAE5F" w14:textId="77777777" w:rsidR="00604E31" w:rsidRDefault="00604E31" w:rsidP="008418A1">
            <w:pPr>
              <w:spacing w:after="100" w:afterAutospacing="1" w:line="240" w:lineRule="auto"/>
              <w:contextualSpacing/>
              <w:jc w:val="center"/>
              <w:rPr>
                <w:rFonts w:ascii="Gill Sans MT" w:hAnsi="Gill Sans MT"/>
              </w:rPr>
            </w:pPr>
            <w:r>
              <w:rPr>
                <w:rFonts w:ascii="Gill Sans MT" w:hAnsi="Gill Sans MT"/>
              </w:rPr>
              <w:t>08</w:t>
            </w:r>
          </w:p>
        </w:tc>
        <w:tc>
          <w:tcPr>
            <w:tcW w:w="5102" w:type="dxa"/>
            <w:vAlign w:val="center"/>
          </w:tcPr>
          <w:p w14:paraId="297A5558" w14:textId="77777777" w:rsidR="00604E31" w:rsidRPr="00EB4ABF" w:rsidRDefault="00604E31" w:rsidP="008418A1">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When I'm reading, I sometimes read the same line again or miss out a line altogether</w:t>
            </w:r>
          </w:p>
        </w:tc>
        <w:tc>
          <w:tcPr>
            <w:tcW w:w="4535" w:type="dxa"/>
            <w:vAlign w:val="center"/>
          </w:tcPr>
          <w:p w14:paraId="5528DAD9" w14:textId="77777777" w:rsidR="00604E31" w:rsidRPr="00EB4ABF" w:rsidRDefault="00604E31" w:rsidP="008418A1">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Reading fluency, particularly visual tracking</w:t>
            </w:r>
          </w:p>
        </w:tc>
        <w:tc>
          <w:tcPr>
            <w:tcW w:w="4762" w:type="dxa"/>
            <w:vAlign w:val="center"/>
          </w:tcPr>
          <w:p w14:paraId="1B60946C" w14:textId="77777777" w:rsidR="00604E31" w:rsidRPr="00EB4ABF" w:rsidRDefault="00604E31" w:rsidP="008418A1">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le Jan et.al., 2009 [2.1/I]; Stein, 1991, [2.1/II(2)]; Bellocchi et.al., 2013, [2.1/II(2)];</w:t>
            </w:r>
          </w:p>
        </w:tc>
      </w:tr>
      <w:tr w:rsidR="00604E31" w:rsidRPr="00EB4ABF" w14:paraId="6DC3448B" w14:textId="77777777" w:rsidTr="008418A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37" w:type="dxa"/>
            <w:vAlign w:val="center"/>
          </w:tcPr>
          <w:p w14:paraId="7589CE73" w14:textId="77777777" w:rsidR="00604E31" w:rsidRDefault="00604E31" w:rsidP="008418A1">
            <w:pPr>
              <w:spacing w:after="100" w:afterAutospacing="1" w:line="240" w:lineRule="auto"/>
              <w:contextualSpacing/>
              <w:jc w:val="center"/>
              <w:rPr>
                <w:rFonts w:ascii="Gill Sans MT" w:hAnsi="Gill Sans MT"/>
              </w:rPr>
            </w:pPr>
            <w:r>
              <w:rPr>
                <w:rFonts w:ascii="Gill Sans MT" w:hAnsi="Gill Sans MT"/>
              </w:rPr>
              <w:t>09</w:t>
            </w:r>
          </w:p>
        </w:tc>
        <w:tc>
          <w:tcPr>
            <w:tcW w:w="5102" w:type="dxa"/>
            <w:vAlign w:val="center"/>
          </w:tcPr>
          <w:p w14:paraId="42C21919" w14:textId="77777777" w:rsidR="00604E31" w:rsidRPr="00EB4ABF" w:rsidRDefault="00604E31" w:rsidP="008418A1">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I have difficulty putting my writing ideas into a sensible order</w:t>
            </w:r>
          </w:p>
        </w:tc>
        <w:tc>
          <w:tcPr>
            <w:tcW w:w="4535" w:type="dxa"/>
            <w:vAlign w:val="center"/>
          </w:tcPr>
          <w:p w14:paraId="2B49AFB9" w14:textId="77777777" w:rsidR="00604E31" w:rsidRPr="00EB4ABF" w:rsidRDefault="00604E31" w:rsidP="008418A1">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Thinking-to-writing coherence; competencies with linear processes</w:t>
            </w:r>
          </w:p>
        </w:tc>
        <w:tc>
          <w:tcPr>
            <w:tcW w:w="4762" w:type="dxa"/>
            <w:vAlign w:val="center"/>
          </w:tcPr>
          <w:p w14:paraId="44E7054D" w14:textId="77777777" w:rsidR="00604E31" w:rsidRPr="00EB4ABF" w:rsidRDefault="00604E31" w:rsidP="008418A1">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Tamboer &amp; Voorst, 2015, [2.1/VII]</w:t>
            </w:r>
          </w:p>
        </w:tc>
      </w:tr>
      <w:tr w:rsidR="00604E31" w:rsidRPr="00EB4ABF" w14:paraId="5D65E5F5" w14:textId="77777777" w:rsidTr="008418A1">
        <w:trPr>
          <w:trHeight w:val="567"/>
        </w:trPr>
        <w:tc>
          <w:tcPr>
            <w:cnfStyle w:val="001000000000" w:firstRow="0" w:lastRow="0" w:firstColumn="1" w:lastColumn="0" w:oddVBand="0" w:evenVBand="0" w:oddHBand="0" w:evenHBand="0" w:firstRowFirstColumn="0" w:firstRowLastColumn="0" w:lastRowFirstColumn="0" w:lastRowLastColumn="0"/>
            <w:tcW w:w="737" w:type="dxa"/>
            <w:vAlign w:val="center"/>
          </w:tcPr>
          <w:p w14:paraId="77298613" w14:textId="77777777" w:rsidR="00604E31" w:rsidRDefault="00604E31" w:rsidP="008418A1">
            <w:pPr>
              <w:spacing w:after="100" w:afterAutospacing="1" w:line="240" w:lineRule="auto"/>
              <w:contextualSpacing/>
              <w:jc w:val="center"/>
              <w:rPr>
                <w:rFonts w:ascii="Gill Sans MT" w:hAnsi="Gill Sans MT"/>
              </w:rPr>
            </w:pPr>
            <w:r>
              <w:rPr>
                <w:rFonts w:ascii="Gill Sans MT" w:hAnsi="Gill Sans MT"/>
              </w:rPr>
              <w:t>10</w:t>
            </w:r>
          </w:p>
        </w:tc>
        <w:tc>
          <w:tcPr>
            <w:tcW w:w="5102" w:type="dxa"/>
            <w:vAlign w:val="center"/>
          </w:tcPr>
          <w:p w14:paraId="0F09713B" w14:textId="77777777" w:rsidR="00604E31" w:rsidRPr="00EB4ABF" w:rsidRDefault="00604E31" w:rsidP="008418A1">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In my writing at school I often mixed up similar letters, like 'b' and 'd' or 'p' and 'q'</w:t>
            </w:r>
          </w:p>
        </w:tc>
        <w:tc>
          <w:tcPr>
            <w:tcW w:w="4535" w:type="dxa"/>
            <w:vAlign w:val="center"/>
          </w:tcPr>
          <w:p w14:paraId="78498E51" w14:textId="77777777" w:rsidR="00604E31" w:rsidRPr="00EB4ABF" w:rsidRDefault="00604E31" w:rsidP="008418A1">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Learning-to-read history, specifically incidence of letter reversals</w:t>
            </w:r>
          </w:p>
        </w:tc>
        <w:tc>
          <w:tcPr>
            <w:tcW w:w="4762" w:type="dxa"/>
            <w:vAlign w:val="center"/>
          </w:tcPr>
          <w:p w14:paraId="38E5A7DF" w14:textId="77777777" w:rsidR="00604E31" w:rsidRPr="00EB4ABF" w:rsidRDefault="00604E31" w:rsidP="008418A1">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 xml:space="preserve">Orton, 1928, [2.1/II(2)]; Liberman et.al., 1971; Lane, 1988; Lachman &amp; Geyer, 2003; </w:t>
            </w:r>
          </w:p>
        </w:tc>
      </w:tr>
      <w:tr w:rsidR="00604E31" w:rsidRPr="00EB4ABF" w14:paraId="3C509A2D" w14:textId="77777777" w:rsidTr="008418A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37" w:type="dxa"/>
            <w:vAlign w:val="center"/>
          </w:tcPr>
          <w:p w14:paraId="2933E0F1" w14:textId="77777777" w:rsidR="00604E31" w:rsidRDefault="00604E31" w:rsidP="008418A1">
            <w:pPr>
              <w:spacing w:after="100" w:afterAutospacing="1" w:line="240" w:lineRule="auto"/>
              <w:contextualSpacing/>
              <w:jc w:val="center"/>
              <w:rPr>
                <w:rFonts w:ascii="Gill Sans MT" w:hAnsi="Gill Sans MT"/>
              </w:rPr>
            </w:pPr>
            <w:r>
              <w:rPr>
                <w:rFonts w:ascii="Gill Sans MT" w:hAnsi="Gill Sans MT"/>
              </w:rPr>
              <w:t>11</w:t>
            </w:r>
          </w:p>
        </w:tc>
        <w:tc>
          <w:tcPr>
            <w:tcW w:w="5102" w:type="dxa"/>
            <w:vAlign w:val="center"/>
          </w:tcPr>
          <w:p w14:paraId="46493778" w14:textId="77777777" w:rsidR="00604E31" w:rsidRPr="00EB4ABF" w:rsidRDefault="00604E31" w:rsidP="008418A1">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When I'm planning my work, I use diagrams or mindmaps rather than lists or bullet points</w:t>
            </w:r>
          </w:p>
        </w:tc>
        <w:tc>
          <w:tcPr>
            <w:tcW w:w="4535" w:type="dxa"/>
            <w:vAlign w:val="center"/>
          </w:tcPr>
          <w:p w14:paraId="01E1E019" w14:textId="77777777" w:rsidR="00604E31" w:rsidRPr="00EB4ABF" w:rsidRDefault="00604E31" w:rsidP="008418A1">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Thinking and processing, more specifically: holistic or divergent, compared to linear thinking process preferences</w:t>
            </w:r>
          </w:p>
        </w:tc>
        <w:tc>
          <w:tcPr>
            <w:tcW w:w="4762" w:type="dxa"/>
            <w:vAlign w:val="center"/>
          </w:tcPr>
          <w:p w14:paraId="515EC8F7" w14:textId="77777777" w:rsidR="00604E31" w:rsidRPr="00EB4ABF" w:rsidRDefault="00604E31" w:rsidP="008418A1">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Heinman &amp; Procel, 2003; Mortimore, 2008, [2.1/III]; Attree et.al., 2009, [2.1/III]; Brunswick, et.al. 2010, [2.1/III]; Draffen et.al.,2014, [2.1/III];</w:t>
            </w:r>
          </w:p>
        </w:tc>
      </w:tr>
      <w:tr w:rsidR="00604E31" w:rsidRPr="00EB4ABF" w14:paraId="583D649C" w14:textId="77777777" w:rsidTr="008418A1">
        <w:trPr>
          <w:trHeight w:val="567"/>
        </w:trPr>
        <w:tc>
          <w:tcPr>
            <w:cnfStyle w:val="001000000000" w:firstRow="0" w:lastRow="0" w:firstColumn="1" w:lastColumn="0" w:oddVBand="0" w:evenVBand="0" w:oddHBand="0" w:evenHBand="0" w:firstRowFirstColumn="0" w:firstRowLastColumn="0" w:lastRowFirstColumn="0" w:lastRowLastColumn="0"/>
            <w:tcW w:w="737" w:type="dxa"/>
            <w:vAlign w:val="center"/>
          </w:tcPr>
          <w:p w14:paraId="7B379725" w14:textId="77777777" w:rsidR="00604E31" w:rsidRDefault="00604E31" w:rsidP="008418A1">
            <w:pPr>
              <w:spacing w:after="100" w:afterAutospacing="1" w:line="240" w:lineRule="auto"/>
              <w:contextualSpacing/>
              <w:jc w:val="center"/>
              <w:rPr>
                <w:rFonts w:ascii="Gill Sans MT" w:hAnsi="Gill Sans MT"/>
              </w:rPr>
            </w:pPr>
            <w:r>
              <w:rPr>
                <w:rFonts w:ascii="Gill Sans MT" w:hAnsi="Gill Sans MT"/>
              </w:rPr>
              <w:t>12</w:t>
            </w:r>
          </w:p>
        </w:tc>
        <w:tc>
          <w:tcPr>
            <w:tcW w:w="5102" w:type="dxa"/>
            <w:vAlign w:val="center"/>
          </w:tcPr>
          <w:p w14:paraId="1EAE6EBD" w14:textId="77777777" w:rsidR="00604E31" w:rsidRPr="00EB4ABF" w:rsidRDefault="00604E31" w:rsidP="008418A1">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I'm hopeless at remembering things like telephone numbers</w:t>
            </w:r>
          </w:p>
        </w:tc>
        <w:tc>
          <w:tcPr>
            <w:tcW w:w="4535" w:type="dxa"/>
            <w:vAlign w:val="center"/>
          </w:tcPr>
          <w:p w14:paraId="24DB0BB9" w14:textId="77777777" w:rsidR="00604E31" w:rsidRPr="00EB4ABF" w:rsidRDefault="00604E31" w:rsidP="008418A1">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Perception of memory retrieval competencies</w:t>
            </w:r>
          </w:p>
        </w:tc>
        <w:tc>
          <w:tcPr>
            <w:tcW w:w="4762" w:type="dxa"/>
            <w:vAlign w:val="center"/>
          </w:tcPr>
          <w:p w14:paraId="025D817E" w14:textId="77777777" w:rsidR="00604E31" w:rsidRPr="00EB4ABF" w:rsidRDefault="00604E31" w:rsidP="008418A1">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Vellutino et.al., 1996; Tambour et.al., 2016, [2.1/1I(6)]</w:t>
            </w:r>
          </w:p>
        </w:tc>
      </w:tr>
      <w:tr w:rsidR="00604E31" w:rsidRPr="00EB4ABF" w14:paraId="11765789" w14:textId="77777777" w:rsidTr="008418A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37" w:type="dxa"/>
            <w:vAlign w:val="center"/>
          </w:tcPr>
          <w:p w14:paraId="4649AA76" w14:textId="77777777" w:rsidR="00604E31" w:rsidRDefault="00604E31" w:rsidP="008418A1">
            <w:pPr>
              <w:spacing w:after="100" w:afterAutospacing="1" w:line="240" w:lineRule="auto"/>
              <w:contextualSpacing/>
              <w:jc w:val="center"/>
              <w:rPr>
                <w:rFonts w:ascii="Gill Sans MT" w:hAnsi="Gill Sans MT"/>
              </w:rPr>
            </w:pPr>
            <w:r>
              <w:rPr>
                <w:rFonts w:ascii="Gill Sans MT" w:hAnsi="Gill Sans MT"/>
              </w:rPr>
              <w:lastRenderedPageBreak/>
              <w:t>13</w:t>
            </w:r>
          </w:p>
        </w:tc>
        <w:tc>
          <w:tcPr>
            <w:tcW w:w="5102" w:type="dxa"/>
            <w:vAlign w:val="center"/>
          </w:tcPr>
          <w:p w14:paraId="131D5007" w14:textId="77777777" w:rsidR="00604E31" w:rsidRPr="00EB4ABF" w:rsidRDefault="00604E31" w:rsidP="008418A1">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I find following directions to get to places quite straightforward</w:t>
            </w:r>
          </w:p>
        </w:tc>
        <w:tc>
          <w:tcPr>
            <w:tcW w:w="4535" w:type="dxa"/>
            <w:vAlign w:val="center"/>
          </w:tcPr>
          <w:p w14:paraId="6693EA3E" w14:textId="77777777" w:rsidR="00604E31" w:rsidRPr="00EB4ABF" w:rsidRDefault="00604E31" w:rsidP="008418A1">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Perception of working/ST memory competencies; linear thinking competencies</w:t>
            </w:r>
          </w:p>
        </w:tc>
        <w:tc>
          <w:tcPr>
            <w:tcW w:w="4762" w:type="dxa"/>
            <w:vAlign w:val="center"/>
          </w:tcPr>
          <w:p w14:paraId="538E3439" w14:textId="77777777" w:rsidR="00604E31" w:rsidRPr="00EB4ABF" w:rsidRDefault="00604E31" w:rsidP="008418A1">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Miles, 1993; Vellutino et.al., 1996; Pickering, 2012, [2.1/II];</w:t>
            </w:r>
          </w:p>
        </w:tc>
      </w:tr>
      <w:tr w:rsidR="00604E31" w:rsidRPr="00EB4ABF" w14:paraId="503033E7" w14:textId="77777777" w:rsidTr="008418A1">
        <w:trPr>
          <w:trHeight w:val="567"/>
        </w:trPr>
        <w:tc>
          <w:tcPr>
            <w:cnfStyle w:val="001000000000" w:firstRow="0" w:lastRow="0" w:firstColumn="1" w:lastColumn="0" w:oddVBand="0" w:evenVBand="0" w:oddHBand="0" w:evenHBand="0" w:firstRowFirstColumn="0" w:firstRowLastColumn="0" w:lastRowFirstColumn="0" w:lastRowLastColumn="0"/>
            <w:tcW w:w="737" w:type="dxa"/>
            <w:vAlign w:val="center"/>
          </w:tcPr>
          <w:p w14:paraId="0408DAAC" w14:textId="77777777" w:rsidR="00604E31" w:rsidRDefault="00604E31" w:rsidP="008418A1">
            <w:pPr>
              <w:spacing w:after="100" w:afterAutospacing="1" w:line="240" w:lineRule="auto"/>
              <w:contextualSpacing/>
              <w:jc w:val="center"/>
              <w:rPr>
                <w:rFonts w:ascii="Gill Sans MT" w:hAnsi="Gill Sans MT"/>
              </w:rPr>
            </w:pPr>
            <w:r>
              <w:rPr>
                <w:rFonts w:ascii="Gill Sans MT" w:hAnsi="Gill Sans MT"/>
              </w:rPr>
              <w:t>14</w:t>
            </w:r>
          </w:p>
        </w:tc>
        <w:tc>
          <w:tcPr>
            <w:tcW w:w="5102" w:type="dxa"/>
            <w:vAlign w:val="center"/>
          </w:tcPr>
          <w:p w14:paraId="62B998ED" w14:textId="77777777" w:rsidR="00604E31" w:rsidRPr="00EB4ABF" w:rsidRDefault="00604E31" w:rsidP="008418A1">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I prefer looking at the 'big picture' rather than focusing on the details</w:t>
            </w:r>
          </w:p>
        </w:tc>
        <w:tc>
          <w:tcPr>
            <w:tcW w:w="4535" w:type="dxa"/>
            <w:vAlign w:val="center"/>
          </w:tcPr>
          <w:p w14:paraId="052CAEE4" w14:textId="77777777" w:rsidR="00604E31" w:rsidRPr="00EB4ABF" w:rsidRDefault="00604E31" w:rsidP="008418A1">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Preference for 'overview' cf 'detail' thinking and processing competencies; use of concept mapping tools;</w:t>
            </w:r>
          </w:p>
        </w:tc>
        <w:tc>
          <w:tcPr>
            <w:tcW w:w="4762" w:type="dxa"/>
            <w:vAlign w:val="center"/>
          </w:tcPr>
          <w:p w14:paraId="1E3E1ECC" w14:textId="77777777" w:rsidR="00604E31" w:rsidRPr="00EB4ABF" w:rsidRDefault="00604E31" w:rsidP="008418A1">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 xml:space="preserve">Draffen et.al., 2007; Lami &amp; Locatelli, 2008; </w:t>
            </w:r>
          </w:p>
        </w:tc>
      </w:tr>
      <w:tr w:rsidR="00604E31" w:rsidRPr="00EB4ABF" w14:paraId="144179A4" w14:textId="77777777" w:rsidTr="008418A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37" w:type="dxa"/>
            <w:vAlign w:val="center"/>
          </w:tcPr>
          <w:p w14:paraId="6443FCCF" w14:textId="77777777" w:rsidR="00604E31" w:rsidRDefault="00604E31" w:rsidP="008418A1">
            <w:pPr>
              <w:spacing w:after="100" w:afterAutospacing="1" w:line="240" w:lineRule="auto"/>
              <w:contextualSpacing/>
              <w:jc w:val="center"/>
              <w:rPr>
                <w:rFonts w:ascii="Gill Sans MT" w:hAnsi="Gill Sans MT"/>
              </w:rPr>
            </w:pPr>
            <w:r>
              <w:rPr>
                <w:rFonts w:ascii="Gill Sans MT" w:hAnsi="Gill Sans MT"/>
              </w:rPr>
              <w:t>15</w:t>
            </w:r>
          </w:p>
        </w:tc>
        <w:tc>
          <w:tcPr>
            <w:tcW w:w="5102" w:type="dxa"/>
            <w:vAlign w:val="center"/>
          </w:tcPr>
          <w:p w14:paraId="1F466D83" w14:textId="77777777" w:rsidR="00604E31" w:rsidRPr="00EB4ABF" w:rsidRDefault="00604E31" w:rsidP="008418A1">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My friends say I often think in unusual or creative ways to solve problems</w:t>
            </w:r>
          </w:p>
        </w:tc>
        <w:tc>
          <w:tcPr>
            <w:tcW w:w="4535" w:type="dxa"/>
            <w:vAlign w:val="center"/>
          </w:tcPr>
          <w:p w14:paraId="6BE40C09" w14:textId="77777777" w:rsidR="00604E31" w:rsidRPr="00EB4ABF" w:rsidRDefault="00604E31" w:rsidP="008418A1">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Evidence for divergent thinking; creative problem-solving</w:t>
            </w:r>
          </w:p>
        </w:tc>
        <w:tc>
          <w:tcPr>
            <w:tcW w:w="4762" w:type="dxa"/>
            <w:vAlign w:val="center"/>
          </w:tcPr>
          <w:p w14:paraId="26AEA01F" w14:textId="77777777" w:rsidR="00604E31" w:rsidRPr="00EB4ABF" w:rsidRDefault="00604E31" w:rsidP="008418A1">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 xml:space="preserve">Everatt et.al., 1999; Cockroft &amp; Hartgill, 2004; </w:t>
            </w:r>
          </w:p>
        </w:tc>
      </w:tr>
      <w:tr w:rsidR="00604E31" w:rsidRPr="00EB4ABF" w14:paraId="24E4AADB" w14:textId="77777777" w:rsidTr="008418A1">
        <w:trPr>
          <w:trHeight w:val="567"/>
        </w:trPr>
        <w:tc>
          <w:tcPr>
            <w:cnfStyle w:val="001000000000" w:firstRow="0" w:lastRow="0" w:firstColumn="1" w:lastColumn="0" w:oddVBand="0" w:evenVBand="0" w:oddHBand="0" w:evenHBand="0" w:firstRowFirstColumn="0" w:firstRowLastColumn="0" w:lastRowFirstColumn="0" w:lastRowLastColumn="0"/>
            <w:tcW w:w="737" w:type="dxa"/>
            <w:vAlign w:val="center"/>
          </w:tcPr>
          <w:p w14:paraId="2EE43AC8" w14:textId="77777777" w:rsidR="00604E31" w:rsidRDefault="00604E31" w:rsidP="008418A1">
            <w:pPr>
              <w:spacing w:after="100" w:afterAutospacing="1" w:line="240" w:lineRule="auto"/>
              <w:contextualSpacing/>
              <w:jc w:val="center"/>
              <w:rPr>
                <w:rFonts w:ascii="Gill Sans MT" w:hAnsi="Gill Sans MT"/>
              </w:rPr>
            </w:pPr>
            <w:r>
              <w:rPr>
                <w:rFonts w:ascii="Gill Sans MT" w:hAnsi="Gill Sans MT"/>
              </w:rPr>
              <w:t>16</w:t>
            </w:r>
          </w:p>
        </w:tc>
        <w:tc>
          <w:tcPr>
            <w:tcW w:w="5102" w:type="dxa"/>
            <w:vAlign w:val="center"/>
          </w:tcPr>
          <w:p w14:paraId="04AFD8F6" w14:textId="77777777" w:rsidR="00604E31" w:rsidRDefault="00604E31" w:rsidP="008418A1">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I find it really challenging to follow a list of instructions</w:t>
            </w:r>
          </w:p>
        </w:tc>
        <w:tc>
          <w:tcPr>
            <w:tcW w:w="4535" w:type="dxa"/>
            <w:vAlign w:val="center"/>
          </w:tcPr>
          <w:p w14:paraId="692301B9" w14:textId="77777777" w:rsidR="00604E31" w:rsidRDefault="00604E31" w:rsidP="008418A1">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 xml:space="preserve">Reading fluency -&gt; verbal processing -&gt; W/ST memory, </w:t>
            </w:r>
          </w:p>
        </w:tc>
        <w:tc>
          <w:tcPr>
            <w:tcW w:w="4762" w:type="dxa"/>
            <w:vAlign w:val="center"/>
          </w:tcPr>
          <w:p w14:paraId="7F06046C" w14:textId="77777777" w:rsidR="00604E31" w:rsidRPr="00EB4ABF" w:rsidRDefault="00604E31" w:rsidP="008418A1">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Jeffries &amp; Everatt, 2004, [2.1/II];</w:t>
            </w:r>
          </w:p>
        </w:tc>
      </w:tr>
      <w:tr w:rsidR="00604E31" w:rsidRPr="00EB4ABF" w14:paraId="5C87E5F3" w14:textId="77777777" w:rsidTr="008418A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37" w:type="dxa"/>
            <w:vAlign w:val="center"/>
          </w:tcPr>
          <w:p w14:paraId="737B64B4" w14:textId="77777777" w:rsidR="00604E31" w:rsidRDefault="00604E31" w:rsidP="008418A1">
            <w:pPr>
              <w:spacing w:after="100" w:afterAutospacing="1" w:line="240" w:lineRule="auto"/>
              <w:contextualSpacing/>
              <w:jc w:val="center"/>
              <w:rPr>
                <w:rFonts w:ascii="Gill Sans MT" w:hAnsi="Gill Sans MT"/>
              </w:rPr>
            </w:pPr>
            <w:r>
              <w:rPr>
                <w:rFonts w:ascii="Gill Sans MT" w:hAnsi="Gill Sans MT"/>
              </w:rPr>
              <w:t>17</w:t>
            </w:r>
          </w:p>
        </w:tc>
        <w:tc>
          <w:tcPr>
            <w:tcW w:w="5102" w:type="dxa"/>
            <w:vAlign w:val="center"/>
          </w:tcPr>
          <w:p w14:paraId="5FD342BA" w14:textId="77777777" w:rsidR="00604E31" w:rsidRPr="00EB4ABF" w:rsidRDefault="00604E31" w:rsidP="008418A1">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I get my 'lefts' and 'rights' easily mixed up</w:t>
            </w:r>
          </w:p>
        </w:tc>
        <w:tc>
          <w:tcPr>
            <w:tcW w:w="4535" w:type="dxa"/>
            <w:vAlign w:val="center"/>
          </w:tcPr>
          <w:p w14:paraId="46B3C4CB" w14:textId="77777777" w:rsidR="00604E31" w:rsidRPr="00EB4ABF" w:rsidRDefault="00604E31" w:rsidP="008418A1">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Laterality</w:t>
            </w:r>
          </w:p>
        </w:tc>
        <w:tc>
          <w:tcPr>
            <w:tcW w:w="4762" w:type="dxa"/>
            <w:vAlign w:val="center"/>
          </w:tcPr>
          <w:p w14:paraId="799176CF" w14:textId="77777777" w:rsidR="00604E31" w:rsidRPr="00EB4ABF" w:rsidRDefault="00604E31" w:rsidP="008418A1">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Ginsburg &amp; Hartwick, 1971;</w:t>
            </w:r>
          </w:p>
        </w:tc>
      </w:tr>
      <w:tr w:rsidR="00604E31" w:rsidRPr="00EB4ABF" w14:paraId="2D60D9B3" w14:textId="77777777" w:rsidTr="008418A1">
        <w:trPr>
          <w:trHeight w:val="567"/>
        </w:trPr>
        <w:tc>
          <w:tcPr>
            <w:cnfStyle w:val="001000000000" w:firstRow="0" w:lastRow="0" w:firstColumn="1" w:lastColumn="0" w:oddVBand="0" w:evenVBand="0" w:oddHBand="0" w:evenHBand="0" w:firstRowFirstColumn="0" w:firstRowLastColumn="0" w:lastRowFirstColumn="0" w:lastRowLastColumn="0"/>
            <w:tcW w:w="737" w:type="dxa"/>
            <w:vAlign w:val="center"/>
          </w:tcPr>
          <w:p w14:paraId="648D73C4" w14:textId="77777777" w:rsidR="00604E31" w:rsidRDefault="00604E31" w:rsidP="008418A1">
            <w:pPr>
              <w:spacing w:after="100" w:afterAutospacing="1" w:line="240" w:lineRule="auto"/>
              <w:contextualSpacing/>
              <w:jc w:val="center"/>
              <w:rPr>
                <w:rFonts w:ascii="Gill Sans MT" w:hAnsi="Gill Sans MT"/>
              </w:rPr>
            </w:pPr>
            <w:r>
              <w:rPr>
                <w:rFonts w:ascii="Gill Sans MT" w:hAnsi="Gill Sans MT"/>
              </w:rPr>
              <w:t>18</w:t>
            </w:r>
          </w:p>
        </w:tc>
        <w:tc>
          <w:tcPr>
            <w:tcW w:w="5102" w:type="dxa"/>
            <w:vAlign w:val="center"/>
          </w:tcPr>
          <w:p w14:paraId="219F13E6" w14:textId="77777777" w:rsidR="00604E31" w:rsidRPr="00EB4ABF" w:rsidRDefault="00604E31" w:rsidP="008418A1">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My tutors often tell me that my essays or assignments are confusing to read</w:t>
            </w:r>
          </w:p>
        </w:tc>
        <w:tc>
          <w:tcPr>
            <w:tcW w:w="4535" w:type="dxa"/>
            <w:vAlign w:val="center"/>
          </w:tcPr>
          <w:p w14:paraId="6ECB3565" w14:textId="77777777" w:rsidR="00604E31" w:rsidRPr="00EB4ABF" w:rsidRDefault="00604E31" w:rsidP="008418A1">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Thinking organization/linearity, more specifically: competencies in adapting 'grasshopper thinking' into organized, systematic, linear writing coherence</w:t>
            </w:r>
          </w:p>
        </w:tc>
        <w:tc>
          <w:tcPr>
            <w:tcW w:w="4762" w:type="dxa"/>
            <w:vAlign w:val="center"/>
          </w:tcPr>
          <w:p w14:paraId="04CC518A" w14:textId="77777777" w:rsidR="00604E31" w:rsidRPr="00EB4ABF" w:rsidRDefault="00604E31" w:rsidP="008418A1">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Cameron, 2016, [2.1/V]</w:t>
            </w:r>
          </w:p>
        </w:tc>
      </w:tr>
      <w:tr w:rsidR="00604E31" w:rsidRPr="00EB4ABF" w14:paraId="4B22E378" w14:textId="77777777" w:rsidTr="008418A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37" w:type="dxa"/>
            <w:vAlign w:val="center"/>
          </w:tcPr>
          <w:p w14:paraId="778C7533" w14:textId="77777777" w:rsidR="00604E31" w:rsidRDefault="00604E31" w:rsidP="008418A1">
            <w:pPr>
              <w:spacing w:after="100" w:afterAutospacing="1" w:line="240" w:lineRule="auto"/>
              <w:contextualSpacing/>
              <w:jc w:val="center"/>
              <w:rPr>
                <w:rFonts w:ascii="Gill Sans MT" w:hAnsi="Gill Sans MT"/>
              </w:rPr>
            </w:pPr>
            <w:r>
              <w:rPr>
                <w:rFonts w:ascii="Gill Sans MT" w:hAnsi="Gill Sans MT"/>
              </w:rPr>
              <w:t>19</w:t>
            </w:r>
          </w:p>
        </w:tc>
        <w:tc>
          <w:tcPr>
            <w:tcW w:w="5102" w:type="dxa"/>
            <w:vAlign w:val="center"/>
          </w:tcPr>
          <w:p w14:paraId="6279292D" w14:textId="77777777" w:rsidR="00604E31" w:rsidRPr="00EB4ABF" w:rsidRDefault="00604E31" w:rsidP="008418A1">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I get in a muddle when I'm searching for learning resources or information</w:t>
            </w:r>
          </w:p>
        </w:tc>
        <w:tc>
          <w:tcPr>
            <w:tcW w:w="4535" w:type="dxa"/>
            <w:vAlign w:val="center"/>
          </w:tcPr>
          <w:p w14:paraId="5D2D82BB" w14:textId="77777777" w:rsidR="00604E31" w:rsidRPr="00EB4ABF" w:rsidRDefault="00604E31" w:rsidP="008418A1">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Thinking and processing, more specifically: competencies in systematic activities; working/ST memory; thinking linearity;</w:t>
            </w:r>
          </w:p>
        </w:tc>
        <w:tc>
          <w:tcPr>
            <w:tcW w:w="4762" w:type="dxa"/>
            <w:vAlign w:val="center"/>
          </w:tcPr>
          <w:p w14:paraId="35FD228A" w14:textId="77777777" w:rsidR="00604E31" w:rsidRPr="00EB4ABF" w:rsidRDefault="00604E31" w:rsidP="008418A1">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MacFarlance et.al., 2012; Berget &amp; Sandnes, 2015;</w:t>
            </w:r>
          </w:p>
        </w:tc>
      </w:tr>
      <w:tr w:rsidR="00604E31" w:rsidRPr="00EB4ABF" w14:paraId="02D53EA8" w14:textId="77777777" w:rsidTr="008418A1">
        <w:trPr>
          <w:trHeight w:val="567"/>
        </w:trPr>
        <w:tc>
          <w:tcPr>
            <w:cnfStyle w:val="001000000000" w:firstRow="0" w:lastRow="0" w:firstColumn="1" w:lastColumn="0" w:oddVBand="0" w:evenVBand="0" w:oddHBand="0" w:evenHBand="0" w:firstRowFirstColumn="0" w:firstRowLastColumn="0" w:lastRowFirstColumn="0" w:lastRowLastColumn="0"/>
            <w:tcW w:w="737" w:type="dxa"/>
            <w:vAlign w:val="center"/>
          </w:tcPr>
          <w:p w14:paraId="147D5C8C" w14:textId="77777777" w:rsidR="00604E31" w:rsidRDefault="00604E31" w:rsidP="008418A1">
            <w:pPr>
              <w:spacing w:after="100" w:afterAutospacing="1" w:line="240" w:lineRule="auto"/>
              <w:contextualSpacing/>
              <w:jc w:val="center"/>
              <w:rPr>
                <w:rFonts w:ascii="Gill Sans MT" w:hAnsi="Gill Sans MT"/>
              </w:rPr>
            </w:pPr>
            <w:r>
              <w:rPr>
                <w:rFonts w:ascii="Gill Sans MT" w:hAnsi="Gill Sans MT"/>
              </w:rPr>
              <w:t>20</w:t>
            </w:r>
          </w:p>
        </w:tc>
        <w:tc>
          <w:tcPr>
            <w:tcW w:w="5102" w:type="dxa"/>
            <w:vAlign w:val="center"/>
          </w:tcPr>
          <w:p w14:paraId="28541431" w14:textId="77777777" w:rsidR="00604E31" w:rsidRPr="00EB4ABF" w:rsidRDefault="00604E31" w:rsidP="008418A1">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I get really anxious if I'm asked to read 'out loud'</w:t>
            </w:r>
          </w:p>
        </w:tc>
        <w:tc>
          <w:tcPr>
            <w:tcW w:w="4535" w:type="dxa"/>
            <w:vAlign w:val="center"/>
          </w:tcPr>
          <w:p w14:paraId="3C977185" w14:textId="77777777" w:rsidR="00604E31" w:rsidRPr="00EB4ABF" w:rsidRDefault="00604E31" w:rsidP="008418A1">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Reading fluency confidence, reading anxiety</w:t>
            </w:r>
          </w:p>
        </w:tc>
        <w:tc>
          <w:tcPr>
            <w:tcW w:w="4762" w:type="dxa"/>
            <w:vAlign w:val="center"/>
          </w:tcPr>
          <w:p w14:paraId="18EACD5E" w14:textId="77777777" w:rsidR="00604E31" w:rsidRPr="00EB4ABF" w:rsidRDefault="00604E31" w:rsidP="008418A1">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 xml:space="preserve">Riddick et.al., 1999; Carroll &amp; Iles, 2006; </w:t>
            </w:r>
          </w:p>
        </w:tc>
      </w:tr>
      <w:tr w:rsidR="00604E31" w:rsidRPr="00EB4ABF" w14:paraId="43BD5C86" w14:textId="77777777" w:rsidTr="008418A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37" w:type="dxa"/>
            <w:vAlign w:val="center"/>
          </w:tcPr>
          <w:p w14:paraId="49D16CA7" w14:textId="77777777" w:rsidR="00604E31" w:rsidRDefault="00604E31" w:rsidP="008418A1">
            <w:pPr>
              <w:spacing w:after="100" w:afterAutospacing="1" w:line="240" w:lineRule="auto"/>
              <w:contextualSpacing/>
              <w:jc w:val="center"/>
              <w:rPr>
                <w:rFonts w:ascii="Gill Sans MT" w:hAnsi="Gill Sans MT"/>
              </w:rPr>
            </w:pPr>
          </w:p>
        </w:tc>
        <w:tc>
          <w:tcPr>
            <w:tcW w:w="5102" w:type="dxa"/>
            <w:vAlign w:val="center"/>
          </w:tcPr>
          <w:p w14:paraId="0242104D" w14:textId="77777777" w:rsidR="00604E31" w:rsidRDefault="00604E31" w:rsidP="008418A1">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rPr>
            </w:pPr>
          </w:p>
        </w:tc>
        <w:tc>
          <w:tcPr>
            <w:tcW w:w="4535" w:type="dxa"/>
            <w:vAlign w:val="center"/>
          </w:tcPr>
          <w:p w14:paraId="3B7804FB" w14:textId="77777777" w:rsidR="00604E31" w:rsidRDefault="00604E31" w:rsidP="008418A1">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rPr>
            </w:pPr>
          </w:p>
        </w:tc>
        <w:tc>
          <w:tcPr>
            <w:tcW w:w="4762" w:type="dxa"/>
            <w:vAlign w:val="center"/>
          </w:tcPr>
          <w:p w14:paraId="0663F512" w14:textId="77777777" w:rsidR="00604E31" w:rsidRPr="00D4183E" w:rsidRDefault="00604E31" w:rsidP="008418A1">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D4183E">
              <w:rPr>
                <w:rFonts w:ascii="Gill Sans MT" w:hAnsi="Gill Sans MT"/>
                <w:sz w:val="18"/>
                <w:szCs w:val="18"/>
              </w:rPr>
              <w:t xml:space="preserve">* </w:t>
            </w:r>
            <w:r w:rsidRPr="00D4183E">
              <w:rPr>
                <w:rFonts w:ascii="Gill Sans MT" w:hAnsi="Gill Sans MT"/>
                <w:i/>
                <w:iCs/>
                <w:sz w:val="18"/>
                <w:szCs w:val="18"/>
              </w:rPr>
              <w:t>additionally referring to Section 2 (Literature Review) where citations have supported the discussion points raised.</w:t>
            </w:r>
          </w:p>
        </w:tc>
      </w:tr>
    </w:tbl>
    <w:p w14:paraId="55505217" w14:textId="77777777" w:rsidR="00604E31" w:rsidRDefault="00604E31" w:rsidP="009503C9">
      <w:pPr>
        <w:pStyle w:val="Tables"/>
      </w:pPr>
      <w:bookmarkStart w:id="146" w:name="_Toc57033181"/>
      <w:r>
        <w:t xml:space="preserve">Table </w:t>
      </w:r>
      <w:r w:rsidR="008418A1">
        <w:t>2</w:t>
      </w:r>
      <w:r>
        <w:t>:</w:t>
      </w:r>
      <w:r w:rsidR="00720890">
        <w:tab/>
      </w:r>
      <w:r>
        <w:t>Dyslexia Index statements with attributes and characteristics of dyslexia-ness each aims to be gauging, together with supporting referenc</w:t>
      </w:r>
      <w:r w:rsidR="00CC5358">
        <w:t>e</w:t>
      </w:r>
      <w:bookmarkEnd w:id="146"/>
    </w:p>
    <w:p w14:paraId="52E7E211" w14:textId="77777777" w:rsidR="00CC5358" w:rsidRDefault="00CC5358" w:rsidP="009503C9">
      <w:pPr>
        <w:pStyle w:val="Tables"/>
        <w:sectPr w:rsidR="00CC5358" w:rsidSect="007E1461">
          <w:pgSz w:w="16838" w:h="11906" w:orient="landscape"/>
          <w:pgMar w:top="849" w:right="720" w:bottom="2268" w:left="720" w:header="709" w:footer="709" w:gutter="0"/>
          <w:cols w:space="708"/>
          <w:titlePg/>
          <w:docGrid w:linePitch="360"/>
        </w:sectPr>
      </w:pPr>
    </w:p>
    <w:p w14:paraId="24D8882F" w14:textId="77777777" w:rsidR="00CC5358" w:rsidRDefault="00CC5358" w:rsidP="00CC5358">
      <w:r>
        <w:lastRenderedPageBreak/>
        <w:t>listed in the order in which they appeared in the final iteration of the main research questionnaire. Participants were requested to gauge the magnitude of their agreement with each of the statements by adjusting the position of the range input slider from its default, 50%, position towards 0% or 100% agreement accordingly.</w:t>
      </w:r>
    </w:p>
    <w:p w14:paraId="21ED3D08" w14:textId="416BFF9B" w:rsidR="00CC5358" w:rsidRPr="00BD1F27" w:rsidRDefault="00CC5358" w:rsidP="00CC5358">
      <w:r>
        <w:t>The Profiler was to be aligned with the BDA (2018) definition of dyslexia, as adopted for this current study, (see Section 2.1</w:t>
      </w:r>
      <w:r w:rsidR="00BB5092">
        <w:t>/</w:t>
      </w:r>
      <w:r>
        <w:t xml:space="preserve">I), and this definition was distilled into three components: language and literacy skills; thinking and processing skills (encompassing issues related to working/short-term memory, but also to include creative strengths); and organization and time-management competencies. The statements in the Profiler were located across the three components accordingly (below), setting out a framework that might be validated from post-hoc factor analysis of results acquired from participants in this study later given that this was </w:t>
      </w:r>
      <w:r w:rsidRPr="00A02FE4">
        <w:t>a newly devised metric (see sub-section 4.</w:t>
      </w:r>
      <w:r>
        <w:t>5/III</w:t>
      </w:r>
      <w:r w:rsidRPr="00A02FE4">
        <w:t>).</w:t>
      </w:r>
    </w:p>
    <w:p w14:paraId="254B1A19" w14:textId="77777777" w:rsidR="00CC5358" w:rsidRPr="00642C69" w:rsidRDefault="00CC5358" w:rsidP="00CC5358">
      <w:pPr>
        <w:spacing w:before="0" w:after="0"/>
        <w:rPr>
          <w:rFonts w:ascii="Gill Sans MT" w:eastAsia="Times New Roman" w:hAnsi="Gill Sans MT" w:cs="Times New Roman"/>
          <w:color w:val="4472C4" w:themeColor="accent1"/>
          <w:sz w:val="22"/>
          <w:szCs w:val="22"/>
          <w:lang w:eastAsia="en-GB"/>
        </w:rPr>
      </w:pPr>
      <w:r w:rsidRPr="00642C69">
        <w:rPr>
          <w:rFonts w:ascii="Gill Sans MT" w:eastAsia="Times New Roman" w:hAnsi="Gill Sans MT"/>
          <w:color w:val="4472C4" w:themeColor="accent1"/>
          <w:sz w:val="22"/>
          <w:szCs w:val="22"/>
          <w:lang w:eastAsia="en-GB"/>
        </w:rPr>
        <w:t>COMPONENT: Literacy and language</w:t>
      </w:r>
    </w:p>
    <w:p w14:paraId="4D3501C8" w14:textId="77777777" w:rsidR="00CC5358" w:rsidRPr="00642C69" w:rsidRDefault="00CC5358" w:rsidP="00CC5358">
      <w:pPr>
        <w:pStyle w:val="ListParagraph"/>
        <w:numPr>
          <w:ilvl w:val="0"/>
          <w:numId w:val="16"/>
        </w:numPr>
        <w:spacing w:before="0" w:after="0"/>
        <w:rPr>
          <w:rFonts w:ascii="Gill Sans MT" w:eastAsia="Times New Roman" w:hAnsi="Gill Sans MT"/>
          <w:sz w:val="22"/>
          <w:szCs w:val="22"/>
          <w:lang w:eastAsia="en-GB"/>
        </w:rPr>
      </w:pPr>
      <w:r w:rsidRPr="00642C69">
        <w:rPr>
          <w:rFonts w:ascii="Gill Sans MT" w:eastAsia="Times New Roman" w:hAnsi="Gill Sans MT"/>
          <w:sz w:val="22"/>
          <w:szCs w:val="22"/>
          <w:lang w:eastAsia="en-GB"/>
        </w:rPr>
        <w:t>accurate and fluent word reading and spelling;</w:t>
      </w:r>
    </w:p>
    <w:p w14:paraId="05922130" w14:textId="77777777" w:rsidR="00CC5358" w:rsidRPr="00642C69" w:rsidRDefault="00CC5358" w:rsidP="00CC5358">
      <w:pPr>
        <w:pStyle w:val="ListParagraph"/>
        <w:numPr>
          <w:ilvl w:val="0"/>
          <w:numId w:val="16"/>
        </w:numPr>
        <w:spacing w:before="0" w:after="0"/>
        <w:rPr>
          <w:rFonts w:ascii="Gill Sans MT" w:eastAsia="Times New Roman" w:hAnsi="Gill Sans MT"/>
          <w:sz w:val="22"/>
          <w:szCs w:val="22"/>
          <w:lang w:eastAsia="en-GB"/>
        </w:rPr>
      </w:pPr>
      <w:r w:rsidRPr="00642C69">
        <w:rPr>
          <w:rFonts w:ascii="Gill Sans MT" w:eastAsia="Times New Roman" w:hAnsi="Gill Sans MT"/>
          <w:sz w:val="22"/>
          <w:szCs w:val="22"/>
          <w:lang w:eastAsia="en-GB"/>
        </w:rPr>
        <w:t>phonological awareness;</w:t>
      </w:r>
    </w:p>
    <w:p w14:paraId="520FE582" w14:textId="77777777" w:rsidR="00CC5358" w:rsidRPr="00642C69" w:rsidRDefault="00CC5358" w:rsidP="00CC5358">
      <w:pPr>
        <w:pStyle w:val="ListParagraph"/>
        <w:numPr>
          <w:ilvl w:val="0"/>
          <w:numId w:val="16"/>
        </w:numPr>
        <w:spacing w:before="0" w:after="0"/>
        <w:rPr>
          <w:rFonts w:ascii="Gill Sans MT" w:eastAsia="Times New Roman" w:hAnsi="Gill Sans MT"/>
          <w:sz w:val="22"/>
          <w:szCs w:val="22"/>
          <w:lang w:eastAsia="en-GB"/>
        </w:rPr>
      </w:pPr>
      <w:r w:rsidRPr="00642C69">
        <w:rPr>
          <w:rFonts w:ascii="Gill Sans MT" w:eastAsia="Times New Roman" w:hAnsi="Gill Sans MT"/>
          <w:sz w:val="22"/>
          <w:szCs w:val="22"/>
          <w:lang w:eastAsia="en-GB"/>
        </w:rPr>
        <w:t>[other] aspects of language (eg: writing coherence);</w:t>
      </w:r>
    </w:p>
    <w:p w14:paraId="46E49979" w14:textId="77777777" w:rsidR="00CC5358" w:rsidRPr="00642C69" w:rsidRDefault="00CC5358" w:rsidP="00CC5358">
      <w:pPr>
        <w:pStyle w:val="ListParagraph"/>
        <w:numPr>
          <w:ilvl w:val="0"/>
          <w:numId w:val="16"/>
        </w:numPr>
        <w:spacing w:before="0" w:after="0"/>
        <w:rPr>
          <w:rFonts w:ascii="Gill Sans MT" w:eastAsia="Times New Roman" w:hAnsi="Gill Sans MT"/>
          <w:sz w:val="22"/>
          <w:szCs w:val="22"/>
          <w:lang w:eastAsia="en-GB"/>
        </w:rPr>
      </w:pPr>
      <w:r w:rsidRPr="00642C69">
        <w:rPr>
          <w:rFonts w:ascii="Gill Sans MT" w:eastAsia="Times New Roman" w:hAnsi="Gill Sans MT"/>
          <w:sz w:val="22"/>
          <w:szCs w:val="22"/>
          <w:lang w:eastAsia="en-GB"/>
        </w:rPr>
        <w:t>visual processing challenges;</w:t>
      </w:r>
    </w:p>
    <w:p w14:paraId="4AE08A5A" w14:textId="77777777" w:rsidR="00CC5358" w:rsidRPr="00642C69" w:rsidRDefault="00CC5358" w:rsidP="00CC5358">
      <w:pPr>
        <w:spacing w:before="0" w:after="0"/>
        <w:rPr>
          <w:rFonts w:ascii="Gill Sans MT" w:eastAsia="Times New Roman" w:hAnsi="Gill Sans MT" w:cs="Times New Roman"/>
          <w:color w:val="4472C4" w:themeColor="accent1"/>
          <w:sz w:val="22"/>
          <w:szCs w:val="22"/>
          <w:lang w:eastAsia="en-GB"/>
        </w:rPr>
      </w:pPr>
      <w:r w:rsidRPr="00642C69">
        <w:rPr>
          <w:rFonts w:ascii="Gill Sans MT" w:eastAsia="Times New Roman" w:hAnsi="Gill Sans MT"/>
          <w:color w:val="4472C4" w:themeColor="accent1"/>
          <w:sz w:val="22"/>
          <w:szCs w:val="22"/>
          <w:lang w:eastAsia="en-GB"/>
        </w:rPr>
        <w:t>Dimension</w:t>
      </w:r>
      <w:r>
        <w:rPr>
          <w:rFonts w:ascii="Gill Sans MT" w:eastAsia="Times New Roman" w:hAnsi="Gill Sans MT"/>
          <w:color w:val="4472C4" w:themeColor="accent1"/>
          <w:sz w:val="22"/>
          <w:szCs w:val="22"/>
          <w:lang w:eastAsia="en-GB"/>
        </w:rPr>
        <w:t>s</w:t>
      </w:r>
      <w:r w:rsidRPr="00642C69">
        <w:rPr>
          <w:rFonts w:ascii="Gill Sans MT" w:eastAsia="Times New Roman" w:hAnsi="Gill Sans MT"/>
          <w:color w:val="4472C4" w:themeColor="accent1"/>
          <w:sz w:val="22"/>
          <w:szCs w:val="22"/>
          <w:lang w:eastAsia="en-GB"/>
        </w:rPr>
        <w:t>:</w:t>
      </w:r>
    </w:p>
    <w:p w14:paraId="23287EE8" w14:textId="77777777" w:rsidR="00CC5358" w:rsidRPr="00642C69" w:rsidRDefault="00CC5358" w:rsidP="00CC5358">
      <w:pPr>
        <w:spacing w:before="0" w:after="0"/>
        <w:ind w:left="720"/>
        <w:rPr>
          <w:rFonts w:ascii="Gill Sans MT" w:eastAsia="Times New Roman" w:hAnsi="Gill Sans MT" w:cs="Times New Roman"/>
          <w:sz w:val="22"/>
          <w:szCs w:val="22"/>
          <w:lang w:eastAsia="en-GB"/>
        </w:rPr>
      </w:pPr>
      <w:r w:rsidRPr="00642C69">
        <w:rPr>
          <w:rFonts w:ascii="Gill Sans MT" w:eastAsia="Times New Roman" w:hAnsi="Gill Sans MT"/>
          <w:sz w:val="22"/>
          <w:szCs w:val="22"/>
          <w:lang w:eastAsia="en-GB"/>
        </w:rPr>
        <w:t>'When I was learning to read at school, I often felt I was slower than others in my class'</w:t>
      </w:r>
    </w:p>
    <w:p w14:paraId="63994672" w14:textId="77777777" w:rsidR="00CC5358" w:rsidRPr="00642C69" w:rsidRDefault="00CC5358" w:rsidP="00CC5358">
      <w:pPr>
        <w:spacing w:before="0" w:after="0"/>
        <w:ind w:left="720"/>
        <w:rPr>
          <w:rFonts w:ascii="Gill Sans MT" w:eastAsia="Times New Roman" w:hAnsi="Gill Sans MT" w:cs="Times New Roman"/>
          <w:sz w:val="22"/>
          <w:szCs w:val="22"/>
          <w:lang w:eastAsia="en-GB"/>
        </w:rPr>
      </w:pPr>
      <w:r w:rsidRPr="00642C69">
        <w:rPr>
          <w:rFonts w:ascii="Gill Sans MT" w:eastAsia="Times New Roman" w:hAnsi="Gill Sans MT"/>
          <w:sz w:val="22"/>
          <w:szCs w:val="22"/>
          <w:lang w:eastAsia="en-GB"/>
        </w:rPr>
        <w:t>'My spelling is generally good'</w:t>
      </w:r>
    </w:p>
    <w:p w14:paraId="0A307E26" w14:textId="77777777" w:rsidR="00CC5358" w:rsidRPr="00642C69" w:rsidRDefault="00CC5358" w:rsidP="00CC5358">
      <w:pPr>
        <w:spacing w:before="0" w:after="0"/>
        <w:ind w:left="720"/>
        <w:rPr>
          <w:rFonts w:ascii="Gill Sans MT" w:eastAsia="Times New Roman" w:hAnsi="Gill Sans MT" w:cs="Times New Roman"/>
          <w:sz w:val="22"/>
          <w:szCs w:val="22"/>
          <w:lang w:eastAsia="en-GB"/>
        </w:rPr>
      </w:pPr>
      <w:r w:rsidRPr="00642C69">
        <w:rPr>
          <w:rFonts w:ascii="Gill Sans MT" w:eastAsia="Times New Roman" w:hAnsi="Gill Sans MT"/>
          <w:sz w:val="22"/>
          <w:szCs w:val="22"/>
          <w:lang w:eastAsia="en-GB"/>
        </w:rPr>
        <w:t>'In my writing, I frequently use the wrong word for my intended meaning'</w:t>
      </w:r>
    </w:p>
    <w:p w14:paraId="01643F84" w14:textId="77777777" w:rsidR="00CC5358" w:rsidRPr="00642C69" w:rsidRDefault="00CC5358" w:rsidP="00CC5358">
      <w:pPr>
        <w:spacing w:before="0" w:after="0"/>
        <w:ind w:left="720"/>
        <w:rPr>
          <w:rFonts w:ascii="Gill Sans MT" w:eastAsia="Times New Roman" w:hAnsi="Gill Sans MT" w:cs="Times New Roman"/>
          <w:sz w:val="22"/>
          <w:szCs w:val="22"/>
          <w:lang w:eastAsia="en-GB"/>
        </w:rPr>
      </w:pPr>
      <w:r w:rsidRPr="00642C69">
        <w:rPr>
          <w:rFonts w:ascii="Gill Sans MT" w:eastAsia="Times New Roman" w:hAnsi="Gill Sans MT"/>
          <w:sz w:val="22"/>
          <w:szCs w:val="22"/>
          <w:lang w:eastAsia="en-GB"/>
        </w:rPr>
        <w:t>'When I'm reading, I sometimes read the same line again or miss out a line altogether'</w:t>
      </w:r>
    </w:p>
    <w:p w14:paraId="7DE557E8" w14:textId="77777777" w:rsidR="00CC5358" w:rsidRPr="00642C69" w:rsidRDefault="00CC5358" w:rsidP="00CC5358">
      <w:pPr>
        <w:spacing w:before="0" w:after="0"/>
        <w:ind w:left="720"/>
        <w:rPr>
          <w:rFonts w:ascii="Gill Sans MT" w:eastAsia="Times New Roman" w:hAnsi="Gill Sans MT" w:cs="Times New Roman"/>
          <w:sz w:val="22"/>
          <w:szCs w:val="22"/>
          <w:lang w:eastAsia="en-GB"/>
        </w:rPr>
      </w:pPr>
      <w:r w:rsidRPr="00642C69">
        <w:rPr>
          <w:rFonts w:ascii="Gill Sans MT" w:eastAsia="Times New Roman" w:hAnsi="Gill Sans MT"/>
          <w:sz w:val="22"/>
          <w:szCs w:val="22"/>
          <w:lang w:eastAsia="en-GB"/>
        </w:rPr>
        <w:t>'I have difficulty putting my writing ideas into a sensible order'</w:t>
      </w:r>
    </w:p>
    <w:p w14:paraId="626A5EE2" w14:textId="77777777" w:rsidR="00CC5358" w:rsidRPr="00642C69" w:rsidRDefault="00CC5358" w:rsidP="00CC5358">
      <w:pPr>
        <w:spacing w:before="0" w:after="0"/>
        <w:ind w:left="720"/>
        <w:rPr>
          <w:rFonts w:ascii="Gill Sans MT" w:eastAsia="Times New Roman" w:hAnsi="Gill Sans MT" w:cs="Times New Roman"/>
          <w:sz w:val="22"/>
          <w:szCs w:val="22"/>
          <w:lang w:eastAsia="en-GB"/>
        </w:rPr>
      </w:pPr>
      <w:r w:rsidRPr="00642C69">
        <w:rPr>
          <w:rFonts w:ascii="Gill Sans MT" w:eastAsia="Times New Roman" w:hAnsi="Gill Sans MT"/>
          <w:sz w:val="22"/>
          <w:szCs w:val="22"/>
          <w:lang w:eastAsia="en-GB"/>
        </w:rPr>
        <w:t>'In my writing at school I often mixed up similar letters, like 'b' and 'd' or 'p' and 'q''</w:t>
      </w:r>
    </w:p>
    <w:p w14:paraId="25C6F65E" w14:textId="77777777" w:rsidR="00CC5358" w:rsidRPr="00642C69" w:rsidRDefault="00CC5358" w:rsidP="00CC5358">
      <w:pPr>
        <w:spacing w:before="0" w:after="0"/>
        <w:ind w:left="720"/>
        <w:rPr>
          <w:rFonts w:ascii="Gill Sans MT" w:eastAsia="Times New Roman" w:hAnsi="Gill Sans MT" w:cs="Times New Roman"/>
          <w:sz w:val="22"/>
          <w:szCs w:val="22"/>
          <w:lang w:eastAsia="en-GB"/>
        </w:rPr>
      </w:pPr>
      <w:r w:rsidRPr="00642C69">
        <w:rPr>
          <w:rFonts w:ascii="Gill Sans MT" w:eastAsia="Times New Roman" w:hAnsi="Gill Sans MT"/>
          <w:sz w:val="22"/>
          <w:szCs w:val="22"/>
          <w:lang w:eastAsia="en-GB"/>
        </w:rPr>
        <w:t>'My tutors often tell me that my essays or assignments are confusing to read'</w:t>
      </w:r>
    </w:p>
    <w:p w14:paraId="5CE64E10" w14:textId="77777777" w:rsidR="00CC5358" w:rsidRPr="00642C69" w:rsidRDefault="00CC5358" w:rsidP="00CC5358">
      <w:pPr>
        <w:spacing w:before="0" w:after="0"/>
        <w:ind w:left="720"/>
        <w:rPr>
          <w:rFonts w:ascii="Gill Sans MT" w:eastAsia="Times New Roman" w:hAnsi="Gill Sans MT" w:cs="Times New Roman"/>
          <w:sz w:val="22"/>
          <w:szCs w:val="22"/>
          <w:lang w:eastAsia="en-GB"/>
        </w:rPr>
      </w:pPr>
      <w:r w:rsidRPr="00642C69">
        <w:rPr>
          <w:rFonts w:ascii="Gill Sans MT" w:eastAsia="Times New Roman" w:hAnsi="Gill Sans MT"/>
          <w:sz w:val="22"/>
          <w:szCs w:val="22"/>
          <w:lang w:eastAsia="en-GB"/>
        </w:rPr>
        <w:t>'I get really anxious if I'm asked to read 'out loud''</w:t>
      </w:r>
    </w:p>
    <w:p w14:paraId="0A4D9475" w14:textId="77777777" w:rsidR="00CC5358" w:rsidRPr="00642C69" w:rsidRDefault="00CC5358" w:rsidP="00CC5358">
      <w:pPr>
        <w:spacing w:before="0" w:after="0"/>
        <w:ind w:left="720"/>
        <w:rPr>
          <w:rFonts w:ascii="Times New Roman" w:eastAsia="Times New Roman" w:hAnsi="Times New Roman" w:cs="Times New Roman"/>
          <w:lang w:eastAsia="en-GB"/>
        </w:rPr>
      </w:pPr>
      <w:r w:rsidRPr="00642C69">
        <w:rPr>
          <w:rFonts w:eastAsia="Times New Roman"/>
          <w:lang w:eastAsia="en-GB"/>
        </w:rPr>
        <w:t>​</w:t>
      </w:r>
    </w:p>
    <w:p w14:paraId="5D44FB68" w14:textId="77777777" w:rsidR="00CC5358" w:rsidRPr="00642C69" w:rsidRDefault="00CC5358" w:rsidP="00CC5358">
      <w:pPr>
        <w:spacing w:before="0" w:after="0"/>
        <w:rPr>
          <w:rFonts w:ascii="Gill Sans MT" w:eastAsia="Times New Roman" w:hAnsi="Gill Sans MT" w:cs="Times New Roman"/>
          <w:color w:val="4472C4" w:themeColor="accent1"/>
          <w:sz w:val="22"/>
          <w:szCs w:val="22"/>
          <w:lang w:eastAsia="en-GB"/>
        </w:rPr>
      </w:pPr>
      <w:r w:rsidRPr="00642C69">
        <w:rPr>
          <w:rFonts w:ascii="Gill Sans MT" w:eastAsia="Times New Roman" w:hAnsi="Gill Sans MT"/>
          <w:color w:val="4472C4" w:themeColor="accent1"/>
          <w:sz w:val="22"/>
          <w:szCs w:val="22"/>
          <w:lang w:eastAsia="en-GB"/>
        </w:rPr>
        <w:t>COMPONENT: Thinking, processing, memory</w:t>
      </w:r>
      <w:r>
        <w:rPr>
          <w:rFonts w:ascii="Gill Sans MT" w:eastAsia="Times New Roman" w:hAnsi="Gill Sans MT"/>
          <w:color w:val="4472C4" w:themeColor="accent1"/>
          <w:sz w:val="22"/>
          <w:szCs w:val="22"/>
          <w:lang w:eastAsia="en-GB"/>
        </w:rPr>
        <w:t>:</w:t>
      </w:r>
    </w:p>
    <w:p w14:paraId="3A6DB9BF" w14:textId="77777777" w:rsidR="00CC5358" w:rsidRPr="00642C69" w:rsidRDefault="00CC5358" w:rsidP="00CC5358">
      <w:pPr>
        <w:pStyle w:val="ListParagraph"/>
        <w:numPr>
          <w:ilvl w:val="0"/>
          <w:numId w:val="17"/>
        </w:numPr>
        <w:spacing w:before="0" w:after="0"/>
        <w:rPr>
          <w:rFonts w:ascii="Gill Sans MT" w:eastAsia="Times New Roman" w:hAnsi="Gill Sans MT"/>
          <w:sz w:val="22"/>
          <w:szCs w:val="22"/>
          <w:lang w:eastAsia="en-GB"/>
        </w:rPr>
      </w:pPr>
      <w:r w:rsidRPr="00642C69">
        <w:rPr>
          <w:rFonts w:ascii="Gill Sans MT" w:eastAsia="Times New Roman" w:hAnsi="Gill Sans MT"/>
          <w:sz w:val="22"/>
          <w:szCs w:val="22"/>
          <w:lang w:eastAsia="en-GB"/>
        </w:rPr>
        <w:t>verbal memory;</w:t>
      </w:r>
    </w:p>
    <w:p w14:paraId="1E7B9C9F" w14:textId="77777777" w:rsidR="00CC5358" w:rsidRPr="00642C69" w:rsidRDefault="00CC5358" w:rsidP="00CC5358">
      <w:pPr>
        <w:pStyle w:val="ListParagraph"/>
        <w:numPr>
          <w:ilvl w:val="0"/>
          <w:numId w:val="17"/>
        </w:numPr>
        <w:spacing w:before="0" w:after="0"/>
        <w:rPr>
          <w:rFonts w:ascii="Gill Sans MT" w:eastAsia="Times New Roman" w:hAnsi="Gill Sans MT"/>
          <w:sz w:val="22"/>
          <w:szCs w:val="22"/>
          <w:lang w:eastAsia="en-GB"/>
        </w:rPr>
      </w:pPr>
      <w:r w:rsidRPr="00642C69">
        <w:rPr>
          <w:rFonts w:ascii="Gill Sans MT" w:eastAsia="Times New Roman" w:hAnsi="Gill Sans MT"/>
          <w:sz w:val="22"/>
          <w:szCs w:val="22"/>
          <w:lang w:eastAsia="en-GB"/>
        </w:rPr>
        <w:t>verbal processing speed;</w:t>
      </w:r>
    </w:p>
    <w:p w14:paraId="07343723" w14:textId="77777777" w:rsidR="00CC5358" w:rsidRPr="00642C69" w:rsidRDefault="00CC5358" w:rsidP="00CC5358">
      <w:pPr>
        <w:pStyle w:val="ListParagraph"/>
        <w:numPr>
          <w:ilvl w:val="0"/>
          <w:numId w:val="17"/>
        </w:numPr>
        <w:spacing w:before="0" w:after="0"/>
        <w:rPr>
          <w:rFonts w:ascii="Gill Sans MT" w:eastAsia="Times New Roman" w:hAnsi="Gill Sans MT"/>
          <w:sz w:val="22"/>
          <w:szCs w:val="22"/>
          <w:lang w:eastAsia="en-GB"/>
        </w:rPr>
      </w:pPr>
      <w:r w:rsidRPr="00642C69">
        <w:rPr>
          <w:rFonts w:ascii="Gill Sans MT" w:eastAsia="Times New Roman" w:hAnsi="Gill Sans MT"/>
          <w:sz w:val="22"/>
          <w:szCs w:val="22"/>
          <w:lang w:eastAsia="en-GB"/>
        </w:rPr>
        <w:t>mental calculation;</w:t>
      </w:r>
    </w:p>
    <w:p w14:paraId="7933F61B" w14:textId="77777777" w:rsidR="00CC5358" w:rsidRPr="00642C69" w:rsidRDefault="00CC5358" w:rsidP="00CC5358">
      <w:pPr>
        <w:pStyle w:val="ListParagraph"/>
        <w:numPr>
          <w:ilvl w:val="0"/>
          <w:numId w:val="17"/>
        </w:numPr>
        <w:spacing w:before="0" w:after="0"/>
        <w:rPr>
          <w:rFonts w:ascii="Gill Sans MT" w:eastAsia="Times New Roman" w:hAnsi="Gill Sans MT"/>
          <w:sz w:val="22"/>
          <w:szCs w:val="22"/>
          <w:lang w:eastAsia="en-GB"/>
        </w:rPr>
      </w:pPr>
      <w:r w:rsidRPr="00642C69">
        <w:rPr>
          <w:rFonts w:ascii="Gill Sans MT" w:eastAsia="Times New Roman" w:hAnsi="Gill Sans MT"/>
          <w:sz w:val="22"/>
          <w:szCs w:val="22"/>
          <w:lang w:eastAsia="en-GB"/>
        </w:rPr>
        <w:t>concentration;</w:t>
      </w:r>
    </w:p>
    <w:p w14:paraId="59755315" w14:textId="77777777" w:rsidR="00CC5358" w:rsidRPr="00642C69" w:rsidRDefault="00CC5358" w:rsidP="00CC5358">
      <w:pPr>
        <w:pStyle w:val="ListParagraph"/>
        <w:numPr>
          <w:ilvl w:val="0"/>
          <w:numId w:val="17"/>
        </w:numPr>
        <w:spacing w:before="0" w:after="0"/>
        <w:rPr>
          <w:rFonts w:ascii="Gill Sans MT" w:eastAsia="Times New Roman" w:hAnsi="Gill Sans MT"/>
          <w:sz w:val="22"/>
          <w:szCs w:val="22"/>
          <w:lang w:eastAsia="en-GB"/>
        </w:rPr>
      </w:pPr>
      <w:r w:rsidRPr="00642C69">
        <w:rPr>
          <w:rFonts w:ascii="Gill Sans MT" w:eastAsia="Times New Roman" w:hAnsi="Gill Sans MT"/>
          <w:sz w:val="22"/>
          <w:szCs w:val="22"/>
          <w:lang w:eastAsia="en-GB"/>
        </w:rPr>
        <w:t>information synthesis;</w:t>
      </w:r>
    </w:p>
    <w:p w14:paraId="05012E6A" w14:textId="77777777" w:rsidR="00CC5358" w:rsidRPr="00642C69" w:rsidRDefault="00CC5358" w:rsidP="00CC5358">
      <w:pPr>
        <w:pStyle w:val="ListParagraph"/>
        <w:numPr>
          <w:ilvl w:val="0"/>
          <w:numId w:val="17"/>
        </w:numPr>
        <w:spacing w:before="0" w:after="0"/>
        <w:rPr>
          <w:rFonts w:ascii="Gill Sans MT" w:eastAsia="Times New Roman" w:hAnsi="Gill Sans MT"/>
          <w:sz w:val="22"/>
          <w:szCs w:val="22"/>
          <w:lang w:eastAsia="en-GB"/>
        </w:rPr>
      </w:pPr>
      <w:r w:rsidRPr="00642C69">
        <w:rPr>
          <w:rFonts w:ascii="Gill Sans MT" w:eastAsia="Times New Roman" w:hAnsi="Gill Sans MT"/>
          <w:sz w:val="22"/>
          <w:szCs w:val="22"/>
          <w:lang w:eastAsia="en-GB"/>
        </w:rPr>
        <w:t>design, problem-solving ingenuity, creativity;</w:t>
      </w:r>
    </w:p>
    <w:p w14:paraId="195E4D8F" w14:textId="77777777" w:rsidR="00CC5358" w:rsidRPr="00642C69" w:rsidRDefault="00CC5358" w:rsidP="00CC5358">
      <w:pPr>
        <w:spacing w:before="0" w:after="0"/>
        <w:rPr>
          <w:rFonts w:ascii="Gill Sans MT" w:eastAsia="Times New Roman" w:hAnsi="Gill Sans MT" w:cs="Times New Roman"/>
          <w:color w:val="4472C4" w:themeColor="accent1"/>
          <w:sz w:val="22"/>
          <w:szCs w:val="22"/>
          <w:lang w:eastAsia="en-GB"/>
        </w:rPr>
      </w:pPr>
      <w:r w:rsidRPr="00642C69">
        <w:rPr>
          <w:rFonts w:ascii="Gill Sans MT" w:eastAsia="Times New Roman" w:hAnsi="Gill Sans MT"/>
          <w:color w:val="4472C4" w:themeColor="accent1"/>
          <w:sz w:val="22"/>
          <w:szCs w:val="22"/>
          <w:lang w:eastAsia="en-GB"/>
        </w:rPr>
        <w:t>Dimension</w:t>
      </w:r>
      <w:r>
        <w:rPr>
          <w:rFonts w:ascii="Gill Sans MT" w:eastAsia="Times New Roman" w:hAnsi="Gill Sans MT"/>
          <w:color w:val="4472C4" w:themeColor="accent1"/>
          <w:sz w:val="22"/>
          <w:szCs w:val="22"/>
          <w:lang w:eastAsia="en-GB"/>
        </w:rPr>
        <w:t>s</w:t>
      </w:r>
      <w:r w:rsidRPr="00642C69">
        <w:rPr>
          <w:rFonts w:ascii="Gill Sans MT" w:eastAsia="Times New Roman" w:hAnsi="Gill Sans MT"/>
          <w:color w:val="4472C4" w:themeColor="accent1"/>
          <w:sz w:val="22"/>
          <w:szCs w:val="22"/>
          <w:lang w:eastAsia="en-GB"/>
        </w:rPr>
        <w:t>:</w:t>
      </w:r>
    </w:p>
    <w:p w14:paraId="51D23181" w14:textId="77777777" w:rsidR="00CC5358" w:rsidRPr="00642C69" w:rsidRDefault="00CC5358" w:rsidP="00CC5358">
      <w:pPr>
        <w:spacing w:before="0" w:after="0"/>
        <w:ind w:left="720"/>
        <w:rPr>
          <w:rFonts w:ascii="Gill Sans MT" w:eastAsia="Times New Roman" w:hAnsi="Gill Sans MT" w:cs="Times New Roman"/>
          <w:sz w:val="22"/>
          <w:szCs w:val="22"/>
          <w:lang w:eastAsia="en-GB"/>
        </w:rPr>
      </w:pPr>
      <w:r w:rsidRPr="00642C69">
        <w:rPr>
          <w:rFonts w:ascii="Gill Sans MT" w:eastAsia="Times New Roman" w:hAnsi="Gill Sans MT"/>
          <w:sz w:val="22"/>
          <w:szCs w:val="22"/>
          <w:lang w:eastAsia="en-GB"/>
        </w:rPr>
        <w:t>'I can explain things to people much more easily verbally than in my writing'</w:t>
      </w:r>
    </w:p>
    <w:p w14:paraId="07C1F171" w14:textId="77777777" w:rsidR="00CC5358" w:rsidRPr="00642C69" w:rsidRDefault="00CC5358" w:rsidP="00CC5358">
      <w:pPr>
        <w:spacing w:before="0" w:after="0"/>
        <w:ind w:left="720"/>
        <w:rPr>
          <w:rFonts w:ascii="Gill Sans MT" w:eastAsia="Times New Roman" w:hAnsi="Gill Sans MT" w:cs="Times New Roman"/>
          <w:sz w:val="22"/>
          <w:szCs w:val="22"/>
          <w:lang w:eastAsia="en-GB"/>
        </w:rPr>
      </w:pPr>
      <w:r w:rsidRPr="00642C69">
        <w:rPr>
          <w:rFonts w:ascii="Gill Sans MT" w:eastAsia="Times New Roman" w:hAnsi="Gill Sans MT"/>
          <w:sz w:val="22"/>
          <w:szCs w:val="22"/>
          <w:lang w:eastAsia="en-GB"/>
        </w:rPr>
        <w:t>'I get in a muddle when I'm searching for learning resources or information'</w:t>
      </w:r>
    </w:p>
    <w:p w14:paraId="36582BC8" w14:textId="77777777" w:rsidR="00CC5358" w:rsidRPr="00642C69" w:rsidRDefault="00CC5358" w:rsidP="00CC5358">
      <w:pPr>
        <w:spacing w:before="0" w:after="0"/>
        <w:ind w:left="720"/>
        <w:rPr>
          <w:rFonts w:ascii="Gill Sans MT" w:eastAsia="Times New Roman" w:hAnsi="Gill Sans MT" w:cs="Times New Roman"/>
          <w:sz w:val="22"/>
          <w:szCs w:val="22"/>
          <w:lang w:eastAsia="en-GB"/>
        </w:rPr>
      </w:pPr>
      <w:r w:rsidRPr="00642C69">
        <w:rPr>
          <w:rFonts w:ascii="Gill Sans MT" w:eastAsia="Times New Roman" w:hAnsi="Gill Sans MT"/>
          <w:sz w:val="22"/>
          <w:szCs w:val="22"/>
          <w:lang w:eastAsia="en-GB"/>
        </w:rPr>
        <w:t>'I'm hopeless at remembering things like telephone numbers'</w:t>
      </w:r>
    </w:p>
    <w:p w14:paraId="6F94662E" w14:textId="77777777" w:rsidR="00CC5358" w:rsidRPr="00642C69" w:rsidRDefault="00CC5358" w:rsidP="00CC5358">
      <w:pPr>
        <w:spacing w:before="0" w:after="0"/>
        <w:ind w:left="720"/>
        <w:rPr>
          <w:rFonts w:ascii="Gill Sans MT" w:eastAsia="Times New Roman" w:hAnsi="Gill Sans MT" w:cs="Times New Roman"/>
          <w:sz w:val="22"/>
          <w:szCs w:val="22"/>
          <w:lang w:eastAsia="en-GB"/>
        </w:rPr>
      </w:pPr>
      <w:r w:rsidRPr="00642C69">
        <w:rPr>
          <w:rFonts w:ascii="Gill Sans MT" w:eastAsia="Times New Roman" w:hAnsi="Gill Sans MT"/>
          <w:sz w:val="22"/>
          <w:szCs w:val="22"/>
          <w:lang w:eastAsia="en-GB"/>
        </w:rPr>
        <w:t>'I find following directions to get to places quite straightforward'</w:t>
      </w:r>
    </w:p>
    <w:p w14:paraId="2B20DA57" w14:textId="77777777" w:rsidR="00CC5358" w:rsidRPr="00642C69" w:rsidRDefault="00CC5358" w:rsidP="00CC5358">
      <w:pPr>
        <w:spacing w:before="0" w:after="0"/>
        <w:ind w:left="720"/>
        <w:rPr>
          <w:rFonts w:ascii="Gill Sans MT" w:eastAsia="Times New Roman" w:hAnsi="Gill Sans MT" w:cs="Times New Roman"/>
          <w:sz w:val="22"/>
          <w:szCs w:val="22"/>
          <w:lang w:eastAsia="en-GB"/>
        </w:rPr>
      </w:pPr>
      <w:r w:rsidRPr="00642C69">
        <w:rPr>
          <w:rFonts w:ascii="Gill Sans MT" w:eastAsia="Times New Roman" w:hAnsi="Gill Sans MT"/>
          <w:sz w:val="22"/>
          <w:szCs w:val="22"/>
          <w:lang w:eastAsia="en-GB"/>
        </w:rPr>
        <w:t>'I prefer looking at the 'big picture' rather than focusing on the details'</w:t>
      </w:r>
    </w:p>
    <w:p w14:paraId="2664F72D" w14:textId="77777777" w:rsidR="00CC5358" w:rsidRPr="00642C69" w:rsidRDefault="00CC5358" w:rsidP="00CC5358">
      <w:pPr>
        <w:spacing w:before="0" w:after="0"/>
        <w:ind w:left="720"/>
        <w:rPr>
          <w:rFonts w:ascii="Gill Sans MT" w:eastAsia="Times New Roman" w:hAnsi="Gill Sans MT" w:cs="Times New Roman"/>
          <w:sz w:val="22"/>
          <w:szCs w:val="22"/>
          <w:lang w:eastAsia="en-GB"/>
        </w:rPr>
      </w:pPr>
      <w:r w:rsidRPr="00642C69">
        <w:rPr>
          <w:rFonts w:ascii="Gill Sans MT" w:eastAsia="Times New Roman" w:hAnsi="Gill Sans MT"/>
          <w:sz w:val="22"/>
          <w:szCs w:val="22"/>
          <w:lang w:eastAsia="en-GB"/>
        </w:rPr>
        <w:lastRenderedPageBreak/>
        <w:t>'My friends say I often think in unusual or creative ways to solve problems'</w:t>
      </w:r>
    </w:p>
    <w:p w14:paraId="0A6B3C56" w14:textId="77777777" w:rsidR="00CC5358" w:rsidRPr="00642C69" w:rsidRDefault="00CC5358" w:rsidP="00CC5358">
      <w:pPr>
        <w:spacing w:before="0" w:after="0"/>
        <w:ind w:left="720"/>
        <w:rPr>
          <w:rFonts w:ascii="Gill Sans MT" w:eastAsia="Times New Roman" w:hAnsi="Gill Sans MT" w:cs="Times New Roman"/>
          <w:sz w:val="22"/>
          <w:szCs w:val="22"/>
          <w:lang w:eastAsia="en-GB"/>
        </w:rPr>
      </w:pPr>
      <w:r w:rsidRPr="00642C69">
        <w:rPr>
          <w:rFonts w:ascii="Gill Sans MT" w:eastAsia="Times New Roman" w:hAnsi="Gill Sans MT"/>
          <w:sz w:val="22"/>
          <w:szCs w:val="22"/>
          <w:lang w:eastAsia="en-GB"/>
        </w:rPr>
        <w:t>'I find it really challenging to follow a list of instructions'</w:t>
      </w:r>
    </w:p>
    <w:p w14:paraId="4EF6718E" w14:textId="77777777" w:rsidR="00CC5358" w:rsidRPr="00642C69" w:rsidRDefault="00CC5358" w:rsidP="00CC5358">
      <w:pPr>
        <w:spacing w:before="0" w:after="0"/>
        <w:ind w:left="720"/>
        <w:rPr>
          <w:rFonts w:ascii="Gill Sans MT" w:eastAsia="Times New Roman" w:hAnsi="Gill Sans MT" w:cs="Times New Roman"/>
          <w:sz w:val="22"/>
          <w:szCs w:val="22"/>
          <w:lang w:eastAsia="en-GB"/>
        </w:rPr>
      </w:pPr>
      <w:r w:rsidRPr="00642C69">
        <w:rPr>
          <w:rFonts w:ascii="Gill Sans MT" w:eastAsia="Times New Roman" w:hAnsi="Gill Sans MT"/>
          <w:sz w:val="22"/>
          <w:szCs w:val="22"/>
          <w:lang w:eastAsia="en-GB"/>
        </w:rPr>
        <w:t>'I get my 'lefts and 'rights' easily mixed up'</w:t>
      </w:r>
    </w:p>
    <w:p w14:paraId="5F6F24E8" w14:textId="77777777" w:rsidR="00CC5358" w:rsidRPr="00642C69" w:rsidRDefault="00CC5358" w:rsidP="00CC5358">
      <w:pPr>
        <w:spacing w:before="0" w:after="0"/>
        <w:ind w:left="1440"/>
        <w:rPr>
          <w:rFonts w:ascii="Gill Sans MT" w:eastAsia="Times New Roman" w:hAnsi="Gill Sans MT" w:cs="Times New Roman"/>
          <w:sz w:val="22"/>
          <w:szCs w:val="22"/>
          <w:lang w:eastAsia="en-GB"/>
        </w:rPr>
      </w:pPr>
      <w:r w:rsidRPr="00642C69">
        <w:rPr>
          <w:rFonts w:ascii="Arial" w:eastAsia="Times New Roman" w:hAnsi="Arial" w:cs="Arial"/>
          <w:sz w:val="22"/>
          <w:szCs w:val="22"/>
          <w:lang w:eastAsia="en-GB"/>
        </w:rPr>
        <w:t>​</w:t>
      </w:r>
    </w:p>
    <w:p w14:paraId="45E7CDB2" w14:textId="77777777" w:rsidR="00CC5358" w:rsidRPr="00642C69" w:rsidRDefault="00CC5358" w:rsidP="00CC5358">
      <w:pPr>
        <w:spacing w:before="0" w:after="0"/>
        <w:rPr>
          <w:rFonts w:ascii="Gill Sans MT" w:eastAsia="Times New Roman" w:hAnsi="Gill Sans MT" w:cs="Times New Roman"/>
          <w:color w:val="4472C4" w:themeColor="accent1"/>
          <w:sz w:val="22"/>
          <w:szCs w:val="22"/>
          <w:lang w:eastAsia="en-GB"/>
        </w:rPr>
      </w:pPr>
      <w:r w:rsidRPr="00642C69">
        <w:rPr>
          <w:rFonts w:ascii="Gill Sans MT" w:eastAsia="Times New Roman" w:hAnsi="Gill Sans MT"/>
          <w:color w:val="4472C4" w:themeColor="accent1"/>
          <w:sz w:val="22"/>
          <w:szCs w:val="22"/>
          <w:lang w:eastAsia="en-GB"/>
        </w:rPr>
        <w:t>COMPONENT: Organization and time management</w:t>
      </w:r>
    </w:p>
    <w:p w14:paraId="68CAF157" w14:textId="77777777" w:rsidR="00CC5358" w:rsidRPr="00642C69" w:rsidRDefault="00CC5358" w:rsidP="00CC5358">
      <w:pPr>
        <w:pStyle w:val="ListParagraph"/>
        <w:numPr>
          <w:ilvl w:val="0"/>
          <w:numId w:val="18"/>
        </w:numPr>
        <w:spacing w:before="0" w:after="0"/>
        <w:rPr>
          <w:rFonts w:ascii="Gill Sans MT" w:eastAsia="Times New Roman" w:hAnsi="Gill Sans MT"/>
          <w:sz w:val="22"/>
          <w:szCs w:val="22"/>
          <w:lang w:eastAsia="en-GB"/>
        </w:rPr>
      </w:pPr>
      <w:r w:rsidRPr="00642C69">
        <w:rPr>
          <w:rFonts w:ascii="Gill Sans MT" w:eastAsia="Times New Roman" w:hAnsi="Gill Sans MT"/>
          <w:sz w:val="22"/>
          <w:szCs w:val="22"/>
          <w:lang w:eastAsia="en-GB"/>
        </w:rPr>
        <w:t>personal organization;</w:t>
      </w:r>
    </w:p>
    <w:p w14:paraId="4C9981FA" w14:textId="77777777" w:rsidR="00CC5358" w:rsidRPr="00642C69" w:rsidRDefault="00CC5358" w:rsidP="00CC5358">
      <w:pPr>
        <w:spacing w:before="0" w:after="0"/>
        <w:rPr>
          <w:rFonts w:ascii="Gill Sans MT" w:eastAsia="Times New Roman" w:hAnsi="Gill Sans MT" w:cs="Times New Roman"/>
          <w:color w:val="4472C4" w:themeColor="accent1"/>
          <w:sz w:val="22"/>
          <w:szCs w:val="22"/>
          <w:lang w:eastAsia="en-GB"/>
        </w:rPr>
      </w:pPr>
      <w:r w:rsidRPr="00642C69">
        <w:rPr>
          <w:rFonts w:ascii="Gill Sans MT" w:eastAsia="Times New Roman" w:hAnsi="Gill Sans MT"/>
          <w:color w:val="4472C4" w:themeColor="accent1"/>
          <w:sz w:val="22"/>
          <w:szCs w:val="22"/>
          <w:lang w:eastAsia="en-GB"/>
        </w:rPr>
        <w:t>Dimension</w:t>
      </w:r>
      <w:r>
        <w:rPr>
          <w:rFonts w:ascii="Gill Sans MT" w:eastAsia="Times New Roman" w:hAnsi="Gill Sans MT"/>
          <w:color w:val="4472C4" w:themeColor="accent1"/>
          <w:sz w:val="22"/>
          <w:szCs w:val="22"/>
          <w:lang w:eastAsia="en-GB"/>
        </w:rPr>
        <w:t>s</w:t>
      </w:r>
      <w:r w:rsidRPr="00642C69">
        <w:rPr>
          <w:rFonts w:ascii="Gill Sans MT" w:eastAsia="Times New Roman" w:hAnsi="Gill Sans MT"/>
          <w:color w:val="4472C4" w:themeColor="accent1"/>
          <w:sz w:val="22"/>
          <w:szCs w:val="22"/>
          <w:lang w:eastAsia="en-GB"/>
        </w:rPr>
        <w:t>:</w:t>
      </w:r>
    </w:p>
    <w:p w14:paraId="381C38D3" w14:textId="77777777" w:rsidR="00CC5358" w:rsidRPr="00642C69" w:rsidRDefault="00CC5358" w:rsidP="00CC5358">
      <w:pPr>
        <w:spacing w:before="0" w:after="0"/>
        <w:ind w:left="720"/>
        <w:rPr>
          <w:rFonts w:ascii="Gill Sans MT" w:eastAsia="Times New Roman" w:hAnsi="Gill Sans MT" w:cs="Times New Roman"/>
          <w:sz w:val="22"/>
          <w:szCs w:val="22"/>
          <w:lang w:eastAsia="en-GB"/>
        </w:rPr>
      </w:pPr>
      <w:r w:rsidRPr="00642C69">
        <w:rPr>
          <w:rFonts w:ascii="Gill Sans MT" w:eastAsia="Times New Roman" w:hAnsi="Gill Sans MT"/>
          <w:sz w:val="22"/>
          <w:szCs w:val="22"/>
          <w:lang w:eastAsia="en-GB"/>
        </w:rPr>
        <w:t>'I find it very challenging to manage my time efficiently'</w:t>
      </w:r>
    </w:p>
    <w:p w14:paraId="2DBCCACC" w14:textId="77777777" w:rsidR="00CC5358" w:rsidRPr="00642C69" w:rsidRDefault="00CC5358" w:rsidP="00CC5358">
      <w:pPr>
        <w:spacing w:before="0" w:after="0"/>
        <w:ind w:left="720"/>
        <w:rPr>
          <w:rFonts w:ascii="Gill Sans MT" w:eastAsia="Times New Roman" w:hAnsi="Gill Sans MT" w:cs="Times New Roman"/>
          <w:sz w:val="22"/>
          <w:szCs w:val="22"/>
          <w:lang w:eastAsia="en-GB"/>
        </w:rPr>
      </w:pPr>
      <w:r w:rsidRPr="00642C69">
        <w:rPr>
          <w:rFonts w:ascii="Gill Sans MT" w:eastAsia="Times New Roman" w:hAnsi="Gill Sans MT"/>
          <w:sz w:val="22"/>
          <w:szCs w:val="22"/>
          <w:lang w:eastAsia="en-GB"/>
        </w:rPr>
        <w:t>'I think I am a highly organized learner'</w:t>
      </w:r>
    </w:p>
    <w:p w14:paraId="3EBCCD46" w14:textId="77777777" w:rsidR="00CC5358" w:rsidRPr="00642C69" w:rsidRDefault="00CC5358" w:rsidP="00CC5358">
      <w:pPr>
        <w:spacing w:before="0" w:after="0"/>
        <w:ind w:left="720"/>
        <w:rPr>
          <w:rFonts w:ascii="Gill Sans MT" w:eastAsia="Times New Roman" w:hAnsi="Gill Sans MT" w:cs="Times New Roman"/>
          <w:sz w:val="22"/>
          <w:szCs w:val="22"/>
          <w:lang w:eastAsia="en-GB"/>
        </w:rPr>
      </w:pPr>
      <w:r w:rsidRPr="00642C69">
        <w:rPr>
          <w:rFonts w:ascii="Gill Sans MT" w:eastAsia="Times New Roman" w:hAnsi="Gill Sans MT"/>
          <w:sz w:val="22"/>
          <w:szCs w:val="22"/>
          <w:lang w:eastAsia="en-GB"/>
        </w:rPr>
        <w:t>'I generally remember appointments and arrive on time'</w:t>
      </w:r>
    </w:p>
    <w:p w14:paraId="6C1BD61C" w14:textId="77777777" w:rsidR="00CC5358" w:rsidRPr="00642C69" w:rsidRDefault="00CC5358" w:rsidP="00CC5358">
      <w:pPr>
        <w:spacing w:before="0" w:after="0"/>
        <w:ind w:left="720"/>
        <w:rPr>
          <w:rFonts w:ascii="Gill Sans MT" w:eastAsia="Times New Roman" w:hAnsi="Gill Sans MT" w:cs="Times New Roman"/>
          <w:sz w:val="22"/>
          <w:szCs w:val="22"/>
          <w:lang w:eastAsia="en-GB"/>
        </w:rPr>
      </w:pPr>
      <w:r w:rsidRPr="00642C69">
        <w:rPr>
          <w:rFonts w:ascii="Gill Sans MT" w:eastAsia="Times New Roman" w:hAnsi="Gill Sans MT"/>
          <w:sz w:val="22"/>
          <w:szCs w:val="22"/>
          <w:lang w:eastAsia="en-GB"/>
        </w:rPr>
        <w:t>'When I'm planning my work, I use diagrams or mindmaps rather than lists or bullet points'</w:t>
      </w:r>
    </w:p>
    <w:p w14:paraId="138DA4C5" w14:textId="068F4BE3" w:rsidR="00CC5358" w:rsidRDefault="00CC5358" w:rsidP="00CC5358">
      <w:pPr>
        <w:sectPr w:rsidR="00CC5358" w:rsidSect="00CC5358">
          <w:pgSz w:w="11906" w:h="16838"/>
          <w:pgMar w:top="720" w:right="849" w:bottom="720" w:left="2268" w:header="709" w:footer="709" w:gutter="0"/>
          <w:cols w:space="708"/>
          <w:titlePg/>
          <w:docGrid w:linePitch="360"/>
        </w:sectPr>
      </w:pPr>
      <w:r w:rsidRPr="00A46B12">
        <w:rPr>
          <w:rFonts w:eastAsia="Times New Roman"/>
          <w:lang w:eastAsia="en-GB"/>
        </w:rPr>
        <w:t>The multifactorial nature of the syndrome implies that attributes are presented in varying degrees in each individual, and that some of the attributes devised are not likely to be uniquely located into any single component. For example, it is reasonable to suppose that the statement '</w:t>
      </w:r>
      <w:r w:rsidRPr="00A46B12">
        <w:rPr>
          <w:rFonts w:eastAsia="Times New Roman"/>
          <w:i/>
          <w:iCs/>
          <w:lang w:eastAsia="en-GB"/>
        </w:rPr>
        <w:t>I get in a muddle when I'm searching for learning resources or information</w:t>
      </w:r>
      <w:r w:rsidRPr="00A46B12">
        <w:rPr>
          <w:rFonts w:eastAsia="Times New Roman"/>
          <w:lang w:eastAsia="en-GB"/>
        </w:rPr>
        <w:t>' may be variably influenced by criteria from the skillsets of all three components. How this variability may appear was unknown at the design stage of the Dx Profiler due to the unique, individual distribution of attributes across factors. Nevertheless, a draft of a possible mapping was constructed (Fig</w:t>
      </w:r>
      <w:r>
        <w:rPr>
          <w:rFonts w:eastAsia="Times New Roman"/>
          <w:lang w:eastAsia="en-GB"/>
        </w:rPr>
        <w:t>ure</w:t>
      </w:r>
      <w:r w:rsidRPr="00A46B12">
        <w:rPr>
          <w:rFonts w:eastAsia="Times New Roman"/>
          <w:lang w:eastAsia="en-GB"/>
        </w:rPr>
        <w:t xml:space="preserve"> 11) which would be compared later with the output derived from the dimension reduction analysis of observed data, where attribute-factor overlap would be determined by relative factor loadings should these emerge from th</w:t>
      </w:r>
      <w:r>
        <w:rPr>
          <w:rFonts w:eastAsia="Times New Roman"/>
          <w:lang w:eastAsia="en-GB"/>
        </w:rPr>
        <w:t>is process</w:t>
      </w:r>
    </w:p>
    <w:p w14:paraId="6F4F51A6" w14:textId="45A71E32" w:rsidR="00604E31" w:rsidRDefault="00604E31" w:rsidP="00604E31">
      <w:pPr>
        <w:keepNext/>
        <w:sectPr w:rsidR="00604E31" w:rsidSect="00A2665A">
          <w:type w:val="continuous"/>
          <w:pgSz w:w="16838" w:h="11906" w:orient="landscape"/>
          <w:pgMar w:top="849" w:right="720" w:bottom="2268" w:left="720" w:header="709" w:footer="709" w:gutter="0"/>
          <w:cols w:space="708"/>
          <w:titlePg/>
          <w:docGrid w:linePitch="360"/>
        </w:sectPr>
      </w:pPr>
      <w:bookmarkStart w:id="147" w:name="_Toc56495230"/>
      <w:r w:rsidRPr="00CD6DD4">
        <w:rPr>
          <w:rStyle w:val="SubtitleChar"/>
          <w:noProof/>
        </w:rPr>
        <w:lastRenderedPageBreak/>
        <w:drawing>
          <wp:anchor distT="0" distB="0" distL="114300" distR="114300" simplePos="0" relativeHeight="251718656" behindDoc="0" locked="0" layoutInCell="1" allowOverlap="1" wp14:anchorId="480563D3" wp14:editId="2E241F48">
            <wp:simplePos x="0" y="0"/>
            <wp:positionH relativeFrom="column">
              <wp:posOffset>3810</wp:posOffset>
            </wp:positionH>
            <wp:positionV relativeFrom="paragraph">
              <wp:posOffset>1905</wp:posOffset>
            </wp:positionV>
            <wp:extent cx="9777730" cy="5499735"/>
            <wp:effectExtent l="0" t="0" r="1270" b="0"/>
            <wp:wrapTopAndBottom/>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xDimensionsMAPtoBDA.png"/>
                    <pic:cNvPicPr/>
                  </pic:nvPicPr>
                  <pic:blipFill>
                    <a:blip r:embed="rId39">
                      <a:extLst>
                        <a:ext uri="{28A0092B-C50C-407E-A947-70E740481C1C}">
                          <a14:useLocalDpi xmlns:a14="http://schemas.microsoft.com/office/drawing/2010/main" val="0"/>
                        </a:ext>
                      </a:extLst>
                    </a:blip>
                    <a:stretch>
                      <a:fillRect/>
                    </a:stretch>
                  </pic:blipFill>
                  <pic:spPr>
                    <a:xfrm>
                      <a:off x="0" y="0"/>
                      <a:ext cx="9777730" cy="5499735"/>
                    </a:xfrm>
                    <a:prstGeom prst="rect">
                      <a:avLst/>
                    </a:prstGeom>
                  </pic:spPr>
                </pic:pic>
              </a:graphicData>
            </a:graphic>
            <wp14:sizeRelH relativeFrom="page">
              <wp14:pctWidth>0</wp14:pctWidth>
            </wp14:sizeRelH>
            <wp14:sizeRelV relativeFrom="page">
              <wp14:pctHeight>0</wp14:pctHeight>
            </wp14:sizeRelV>
          </wp:anchor>
        </w:drawing>
      </w:r>
      <w:r w:rsidRPr="00CD6DD4">
        <w:rPr>
          <w:rStyle w:val="SubtitleChar"/>
        </w:rPr>
        <w:t xml:space="preserve">Figure </w:t>
      </w:r>
      <w:r w:rsidRPr="00CD6DD4">
        <w:rPr>
          <w:rStyle w:val="SubtitleChar"/>
        </w:rPr>
        <w:fldChar w:fldCharType="begin"/>
      </w:r>
      <w:r w:rsidRPr="00CD6DD4">
        <w:rPr>
          <w:rStyle w:val="SubtitleChar"/>
        </w:rPr>
        <w:instrText xml:space="preserve"> SEQ Figure \* ARABIC </w:instrText>
      </w:r>
      <w:r w:rsidRPr="00CD6DD4">
        <w:rPr>
          <w:rStyle w:val="SubtitleChar"/>
        </w:rPr>
        <w:fldChar w:fldCharType="separate"/>
      </w:r>
      <w:r w:rsidR="005F0AB9">
        <w:rPr>
          <w:rStyle w:val="SubtitleChar"/>
          <w:noProof/>
        </w:rPr>
        <w:t>11</w:t>
      </w:r>
      <w:r w:rsidRPr="00CD6DD4">
        <w:rPr>
          <w:rStyle w:val="SubtitleChar"/>
        </w:rPr>
        <w:fldChar w:fldCharType="end"/>
      </w:r>
      <w:r w:rsidRPr="00CD6DD4">
        <w:rPr>
          <w:rStyle w:val="SubtitleChar"/>
        </w:rPr>
        <w:t>:</w:t>
      </w:r>
      <w:r w:rsidR="000F0752">
        <w:rPr>
          <w:rStyle w:val="SubtitleChar"/>
        </w:rPr>
        <w:tab/>
      </w:r>
      <w:r w:rsidR="000F0752">
        <w:rPr>
          <w:rStyle w:val="SubtitleChar"/>
        </w:rPr>
        <w:tab/>
      </w:r>
      <w:r w:rsidRPr="00CD6DD4">
        <w:rPr>
          <w:rStyle w:val="SubtitleChar"/>
        </w:rPr>
        <w:t>Dyslexia dimensions distributed across BDA component</w:t>
      </w:r>
      <w:r>
        <w:rPr>
          <w:rStyle w:val="SubtitleChar"/>
        </w:rPr>
        <w:t>s</w:t>
      </w:r>
      <w:bookmarkEnd w:id="147"/>
    </w:p>
    <w:p w14:paraId="50FC2EDC" w14:textId="1180C835" w:rsidR="00604E31" w:rsidRDefault="00604E31" w:rsidP="00604E31">
      <w:pPr>
        <w:pStyle w:val="Heading5"/>
        <w:tabs>
          <w:tab w:val="left" w:pos="2268"/>
        </w:tabs>
      </w:pPr>
      <w:bookmarkStart w:id="148" w:name="IV_Validating"/>
      <w:bookmarkEnd w:id="148"/>
      <w:r>
        <w:lastRenderedPageBreak/>
        <w:t>I</w:t>
      </w:r>
      <w:r w:rsidR="00B3671B">
        <w:t xml:space="preserve">V </w:t>
      </w:r>
      <w:r>
        <w:t xml:space="preserve"> Validating the Dx Profiler </w:t>
      </w:r>
    </w:p>
    <w:p w14:paraId="759E9AF1" w14:textId="77777777" w:rsidR="00604E31" w:rsidRDefault="00604E31" w:rsidP="00604E31">
      <w:pPr>
        <w:tabs>
          <w:tab w:val="left" w:pos="2268"/>
        </w:tabs>
      </w:pPr>
      <w:r>
        <w:t xml:space="preserve">Before deploying the Dx Profiler as part of the research questionnaire, two further factors were considered pertinent: firstly, it was important to gain a tentative confirmation that the statements devised resonate with the learning and study experiences of students at university, and hence might be a realistic attempt to gauge the levels of dyslexia-ness of participants in this current project; and secondly, that a reasonable estimate of the </w:t>
      </w:r>
      <w:r>
        <w:rPr>
          <w:i/>
          <w:iCs/>
        </w:rPr>
        <w:t>prevalence</w:t>
      </w:r>
      <w:r>
        <w:t xml:space="preserve"> of each dimension could be gained to justify the adjustment of the numerical overall output of the Dx Profiler using a </w:t>
      </w:r>
      <w:r w:rsidRPr="00096EB2">
        <w:rPr>
          <w:i/>
          <w:iCs/>
        </w:rPr>
        <w:t>weighted</w:t>
      </w:r>
      <w:r>
        <w:t xml:space="preserve"> rather than a simple mean-average of scores obtained from the complete set of 20 dimensions. It was reasonable to suppose that were prevalence data ignored, outputs from the Profiler would be certainly less realistic, and possibly significantly skewed.</w:t>
      </w:r>
    </w:p>
    <w:p w14:paraId="60AAF467" w14:textId="0AED1480" w:rsidR="00604E31" w:rsidRDefault="00604E31" w:rsidP="00604E31">
      <w:pPr>
        <w:tabs>
          <w:tab w:val="left" w:pos="2268"/>
        </w:tabs>
      </w:pPr>
      <w:r>
        <w:t>To meet these objectives, feedback was sought about the proposed portfolio of statements ahead of finalizing the Dx Profiler and incorporating it into the main research questionnaire. As the Profiler was to be a metric for use in university settings, the rationale for obtaining such feedback focused on obtaining data from that environment, specifically, from dyslexia support professionals. It seemed reasonable to assume that these members of university support services staff are likely to have day-to-day interactions with dyslexic students at university, and hence should have a good sense of how regularly they encounter the dimensions of dyslexia enshrined in the statements. Hence, a small-scale enquiry was devised, being a short, online poll designed, built and hosted on the project's webpages which sought to gauge the prevalence and frequency of dyslexia characteristics and attributes that were to be incorporated into the Dx Profiler</w:t>
      </w:r>
      <w:r w:rsidR="00BD1F27">
        <w:t>.</w:t>
      </w:r>
    </w:p>
    <w:p w14:paraId="196F0024" w14:textId="62D9E1CF" w:rsidR="00604E31" w:rsidRDefault="009503C9" w:rsidP="00604E31">
      <w:pPr>
        <w:pStyle w:val="Heading5"/>
        <w:tabs>
          <w:tab w:val="left" w:pos="2268"/>
        </w:tabs>
      </w:pPr>
      <w:bookmarkStart w:id="149" w:name="Rationale1"/>
      <w:bookmarkEnd w:id="149"/>
      <w:r>
        <w:t xml:space="preserve">1. </w:t>
      </w:r>
      <w:r w:rsidR="00604E31">
        <w:t>Rationale, Methods and Processes:</w:t>
      </w:r>
    </w:p>
    <w:p w14:paraId="52652E0F" w14:textId="77777777" w:rsidR="00604E31" w:rsidRDefault="00604E31" w:rsidP="00604E31">
      <w:pPr>
        <w:tabs>
          <w:tab w:val="left" w:pos="2268"/>
        </w:tabs>
      </w:pPr>
      <w:r>
        <w:t>The rationale for this enquiry was threefold:</w:t>
      </w:r>
    </w:p>
    <w:p w14:paraId="0EA4CC25" w14:textId="77777777" w:rsidR="00604E31" w:rsidRDefault="00604E31" w:rsidP="00604E31">
      <w:pPr>
        <w:pStyle w:val="ListParagraph"/>
        <w:numPr>
          <w:ilvl w:val="0"/>
          <w:numId w:val="19"/>
        </w:numPr>
        <w:tabs>
          <w:tab w:val="left" w:pos="2268"/>
        </w:tabs>
        <w:spacing w:line="276" w:lineRule="auto"/>
      </w:pPr>
      <w:r w:rsidRPr="00B152E3">
        <w:t xml:space="preserve">By exploring the prevalence of attributes (dimensions) of dyslexia observed </w:t>
      </w:r>
      <w:r>
        <w:t>in the field</w:t>
      </w:r>
      <w:r w:rsidRPr="00B152E3">
        <w:t xml:space="preserve"> in addition to those distilled through the theory and literature reviewed to that point, it was hoped that the data acquired would confirm that the dimensions being gauged were </w:t>
      </w:r>
      <w:r>
        <w:t>appropriate and recognizable</w:t>
      </w:r>
      <w:r w:rsidRPr="00B152E3">
        <w:t xml:space="preserve"> features of the learning and study profiles of dyslexic students at university</w:t>
      </w:r>
      <w:r>
        <w:t>;</w:t>
      </w:r>
    </w:p>
    <w:p w14:paraId="633860FC" w14:textId="77777777" w:rsidR="00604E31" w:rsidRDefault="00604E31" w:rsidP="00604E31">
      <w:pPr>
        <w:pStyle w:val="ListParagraph"/>
        <w:numPr>
          <w:ilvl w:val="0"/>
          <w:numId w:val="19"/>
        </w:numPr>
        <w:tabs>
          <w:tab w:val="left" w:pos="2268"/>
        </w:tabs>
        <w:spacing w:line="276" w:lineRule="auto"/>
      </w:pPr>
      <w:r w:rsidRPr="00B152E3">
        <w:t xml:space="preserve">Through analysis of the data collected, value weightings </w:t>
      </w:r>
      <w:r>
        <w:t xml:space="preserve">could be ascribed to each dimension based on their reported prevalence. Hence </w:t>
      </w:r>
      <w:r w:rsidRPr="00B152E3">
        <w:t xml:space="preserve">the output of the </w:t>
      </w:r>
      <w:r>
        <w:t xml:space="preserve">Dx </w:t>
      </w:r>
      <w:r w:rsidRPr="00B152E3">
        <w:t xml:space="preserve">Profiler </w:t>
      </w:r>
      <w:r>
        <w:t>in the main research questionnaire would account</w:t>
      </w:r>
      <w:r w:rsidRPr="00B152E3">
        <w:t xml:space="preserve"> </w:t>
      </w:r>
      <w:r>
        <w:t xml:space="preserve">for </w:t>
      </w:r>
      <w:r w:rsidRPr="00B152E3">
        <w:t>the</w:t>
      </w:r>
      <w:r>
        <w:t xml:space="preserve"> likely relative influence</w:t>
      </w:r>
      <w:r w:rsidRPr="00B152E3">
        <w:t xml:space="preserve"> of </w:t>
      </w:r>
      <w:r>
        <w:t xml:space="preserve">each </w:t>
      </w:r>
      <w:r w:rsidRPr="00B152E3">
        <w:t>dimensions</w:t>
      </w:r>
      <w:r>
        <w:t xml:space="preserve"> by generating a weighted-mean average level of dyslexia-ness for each participant;</w:t>
      </w:r>
    </w:p>
    <w:p w14:paraId="04ED9092" w14:textId="42C79B6F" w:rsidR="00604E31" w:rsidRDefault="00604E31" w:rsidP="00604E31">
      <w:pPr>
        <w:pStyle w:val="ListParagraph"/>
        <w:numPr>
          <w:ilvl w:val="0"/>
          <w:numId w:val="19"/>
        </w:numPr>
        <w:tabs>
          <w:tab w:val="left" w:pos="2268"/>
        </w:tabs>
        <w:spacing w:line="276" w:lineRule="auto"/>
      </w:pPr>
      <w:r>
        <w:t xml:space="preserve">Feedback could be sought about the design and operation of the continuous range input sliders (Fig </w:t>
      </w:r>
      <w:r w:rsidR="00A46B12">
        <w:t>12</w:t>
      </w:r>
      <w:r>
        <w:t>) being trialled in this poll, as these were planned to be extensively used in the main questionnaire later.</w:t>
      </w:r>
    </w:p>
    <w:p w14:paraId="28CFEF88" w14:textId="2EDF6B78" w:rsidR="00604E31" w:rsidRDefault="00720890" w:rsidP="00604E31">
      <w:pPr>
        <w:tabs>
          <w:tab w:val="left" w:pos="2268"/>
        </w:tabs>
      </w:pPr>
      <w:r>
        <w:rPr>
          <w:noProof/>
        </w:rPr>
        <w:lastRenderedPageBreak/>
        <mc:AlternateContent>
          <mc:Choice Requires="wps">
            <w:drawing>
              <wp:anchor distT="0" distB="0" distL="114300" distR="114300" simplePos="0" relativeHeight="251722752" behindDoc="0" locked="0" layoutInCell="1" allowOverlap="1" wp14:anchorId="00E7C669" wp14:editId="48409A66">
                <wp:simplePos x="0" y="0"/>
                <wp:positionH relativeFrom="column">
                  <wp:posOffset>30480</wp:posOffset>
                </wp:positionH>
                <wp:positionV relativeFrom="paragraph">
                  <wp:posOffset>2511425</wp:posOffset>
                </wp:positionV>
                <wp:extent cx="5509895" cy="635"/>
                <wp:effectExtent l="0" t="0" r="1905" b="12065"/>
                <wp:wrapTopAndBottom/>
                <wp:docPr id="54" name="Text Box 54"/>
                <wp:cNvGraphicFramePr/>
                <a:graphic xmlns:a="http://schemas.openxmlformats.org/drawingml/2006/main">
                  <a:graphicData uri="http://schemas.microsoft.com/office/word/2010/wordprocessingShape">
                    <wps:wsp>
                      <wps:cNvSpPr txBox="1"/>
                      <wps:spPr>
                        <a:xfrm>
                          <a:off x="0" y="0"/>
                          <a:ext cx="5509895" cy="635"/>
                        </a:xfrm>
                        <a:prstGeom prst="rect">
                          <a:avLst/>
                        </a:prstGeom>
                        <a:solidFill>
                          <a:prstClr val="white"/>
                        </a:solidFill>
                        <a:ln>
                          <a:noFill/>
                        </a:ln>
                      </wps:spPr>
                      <wps:txbx>
                        <w:txbxContent>
                          <w:p w14:paraId="266F0193" w14:textId="473AEF80" w:rsidR="00533FBF" w:rsidRPr="00EE1047" w:rsidRDefault="00533FBF" w:rsidP="00720890">
                            <w:pPr>
                              <w:pStyle w:val="Subtitle"/>
                              <w:rPr>
                                <w:rFonts w:ascii="Muli" w:hAnsi="Muli"/>
                                <w:noProof/>
                                <w:sz w:val="20"/>
                              </w:rPr>
                            </w:pPr>
                            <w:bookmarkStart w:id="150" w:name="_Toc56495231"/>
                            <w:r>
                              <w:t xml:space="preserve">Figure </w:t>
                            </w:r>
                            <w:r w:rsidR="00B568C9">
                              <w:fldChar w:fldCharType="begin"/>
                            </w:r>
                            <w:r w:rsidR="00B568C9">
                              <w:instrText xml:space="preserve"> SEQ Figure \* ARABIC </w:instrText>
                            </w:r>
                            <w:r w:rsidR="00B568C9">
                              <w:fldChar w:fldCharType="separate"/>
                            </w:r>
                            <w:r>
                              <w:rPr>
                                <w:noProof/>
                              </w:rPr>
                              <w:t>12</w:t>
                            </w:r>
                            <w:r w:rsidR="00B568C9">
                              <w:rPr>
                                <w:noProof/>
                              </w:rPr>
                              <w:fldChar w:fldCharType="end"/>
                            </w:r>
                            <w:r>
                              <w:t>:</w:t>
                            </w:r>
                            <w:r>
                              <w:tab/>
                              <w:t>Likert-style scale item continuous range input slider used in the Straw-Poll of dyslexia practitioners</w:t>
                            </w:r>
                            <w:bookmarkEnd w:id="1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E7C669" id="Text Box 54" o:spid="_x0000_s1037" type="#_x0000_t202" style="position:absolute;margin-left:2.4pt;margin-top:197.75pt;width:433.85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" stroked="f">
                <v:textbox style="mso-fit-shape-to-text:t" inset="0,0,0,0">
                  <w:txbxContent>
                    <w:p w14:paraId="266F0193" w14:textId="473AEF80" w:rsidR="00533FBF" w:rsidRPr="00EE1047" w:rsidRDefault="00533FBF" w:rsidP="00720890">
                      <w:pPr>
                        <w:pStyle w:val="Subtitle"/>
                        <w:rPr>
                          <w:rFonts w:ascii="Muli" w:hAnsi="Muli"/>
                          <w:noProof/>
                          <w:sz w:val="20"/>
                        </w:rPr>
                      </w:pPr>
                      <w:bookmarkStart w:id="168" w:name="_Toc56495231"/>
                      <w:r>
                        <w:t xml:space="preserve">Figure </w:t>
                      </w:r>
                      <w:fldSimple w:instr=" SEQ Figure \* ARABIC ">
                        <w:r>
                          <w:rPr>
                            <w:noProof/>
                          </w:rPr>
                          <w:t>12</w:t>
                        </w:r>
                      </w:fldSimple>
                      <w:r>
                        <w:t>:</w:t>
                      </w:r>
                      <w:r>
                        <w:tab/>
                        <w:t>Likert-style scale item continuous range input slider used in the Straw-Poll of dyslexia practitioners</w:t>
                      </w:r>
                      <w:bookmarkEnd w:id="168"/>
                    </w:p>
                  </w:txbxContent>
                </v:textbox>
                <w10:wrap type="topAndBottom"/>
              </v:shape>
            </w:pict>
          </mc:Fallback>
        </mc:AlternateContent>
      </w:r>
      <w:r>
        <w:rPr>
          <w:noProof/>
        </w:rPr>
        <w:drawing>
          <wp:anchor distT="0" distB="0" distL="114300" distR="114300" simplePos="0" relativeHeight="251716608" behindDoc="0" locked="0" layoutInCell="1" allowOverlap="1" wp14:anchorId="12FE2FF3" wp14:editId="10428C11">
            <wp:simplePos x="0" y="0"/>
            <wp:positionH relativeFrom="column">
              <wp:posOffset>30811</wp:posOffset>
            </wp:positionH>
            <wp:positionV relativeFrom="paragraph">
              <wp:posOffset>1977059</wp:posOffset>
            </wp:positionV>
            <wp:extent cx="5509895" cy="478129"/>
            <wp:effectExtent l="0" t="0" r="0" b="508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509895" cy="478129"/>
                    </a:xfrm>
                    <a:prstGeom prst="rect">
                      <a:avLst/>
                    </a:prstGeom>
                  </pic:spPr>
                </pic:pic>
              </a:graphicData>
            </a:graphic>
          </wp:anchor>
        </w:drawing>
      </w:r>
      <w:r w:rsidR="00604E31">
        <w:t xml:space="preserve">The poll </w:t>
      </w:r>
      <w:r w:rsidR="00FA38EA">
        <w:t xml:space="preserve">(available </w:t>
      </w:r>
      <w:hyperlink r:id="rId41" w:history="1">
        <w:r w:rsidR="00FA38EA" w:rsidRPr="00FA38EA">
          <w:rPr>
            <w:rStyle w:val="Hyperlink"/>
          </w:rPr>
          <w:t>here</w:t>
        </w:r>
      </w:hyperlink>
      <w:r w:rsidR="00FA38EA">
        <w:t xml:space="preserve">) </w:t>
      </w:r>
      <w:r w:rsidR="00604E31">
        <w:t xml:space="preserve">contained 18 statements, mirroring those to be used in the Dx Profiler later. The list of statements was prefixed with the question: </w:t>
      </w:r>
      <w:r w:rsidR="00604E31" w:rsidRPr="00376C88">
        <w:rPr>
          <w:i/>
          <w:iCs/>
        </w:rPr>
        <w:t>'</w:t>
      </w:r>
      <w:r w:rsidR="00604E31">
        <w:rPr>
          <w:i/>
          <w:iCs/>
        </w:rPr>
        <w:t xml:space="preserve">In your interactions with students, to what extent do you encounter each of these dimensions?' </w:t>
      </w:r>
      <w:r w:rsidR="00604E31">
        <w:t>Participants recorded their answer as a percentage where 0% indicated 'never encountered', 50% indicated 'encountered in about half of interactions', and 100% indicated 'all the time'. T</w:t>
      </w:r>
      <w:r w:rsidR="00604E31" w:rsidRPr="00B152E3">
        <w:t>he default position was set at the midpoint of the slider scale</w:t>
      </w:r>
      <w:r>
        <w:t xml:space="preserve"> (Figure 12)</w:t>
      </w:r>
      <w:r w:rsidR="00604E31">
        <w:t>, noting that t</w:t>
      </w:r>
      <w:r w:rsidR="00604E31" w:rsidRPr="00B152E3">
        <w:t xml:space="preserve">he default position of input range sliders </w:t>
      </w:r>
      <w:r w:rsidR="00604E31">
        <w:t xml:space="preserve">has been reported to have no significant </w:t>
      </w:r>
      <w:r w:rsidR="00604E31" w:rsidRPr="00B152E3">
        <w:t>impact on output</w:t>
      </w:r>
      <w:r w:rsidR="00604E31">
        <w:t xml:space="preserve"> </w:t>
      </w:r>
      <w:r w:rsidR="00604E31" w:rsidRPr="00B152E3">
        <w:t xml:space="preserve">(Couper </w:t>
      </w:r>
      <w:r w:rsidR="00604E31">
        <w:t>et al.</w:t>
      </w:r>
      <w:r w:rsidR="00604E31" w:rsidRPr="00B152E3">
        <w:t>, 2006).</w:t>
      </w:r>
    </w:p>
    <w:p w14:paraId="4C24FA9D" w14:textId="427072BA" w:rsidR="00604E31" w:rsidRPr="003D4901" w:rsidRDefault="009503C9" w:rsidP="00604E31">
      <w:pPr>
        <w:pStyle w:val="Heading5"/>
        <w:tabs>
          <w:tab w:val="left" w:pos="2268"/>
        </w:tabs>
        <w:spacing w:line="480" w:lineRule="auto"/>
      </w:pPr>
      <w:bookmarkStart w:id="151" w:name="RecruitParticipants2"/>
      <w:bookmarkEnd w:id="151"/>
      <w:r>
        <w:t xml:space="preserve">2. </w:t>
      </w:r>
      <w:r w:rsidR="00604E31">
        <w:t>Recruitment of p</w:t>
      </w:r>
      <w:r w:rsidR="00604E31" w:rsidRPr="00300465">
        <w:t xml:space="preserve">articipants </w:t>
      </w:r>
    </w:p>
    <w:p w14:paraId="41AF3A71" w14:textId="14461AA6" w:rsidR="00604E31" w:rsidRDefault="00604E31" w:rsidP="00604E31">
      <w:pPr>
        <w:tabs>
          <w:tab w:val="left" w:pos="2268"/>
        </w:tabs>
        <w:spacing w:before="0" w:after="160" w:line="360" w:lineRule="auto"/>
      </w:pPr>
      <w:r>
        <w:t>Of the 132 UK Higher Education Institutions identified through the Universities UK database, 116 were identified with Student Support Services that included an indicated provision for students with dyslexia, generally as part of more general services for students with disabilities. These were established through inspection of institutions' outward-facing webpages. Most provided a specific e-mail address for contacting the team of dyslexia specialists directly, or otherwise a more general enquiry address for student services was available. All 116 institutions were contacted to invite participation in the enquiry by including a link to the poll in the e-mail. The response rate of 30/116 institutions was disappointing, although was considered sufficient for meeting the objectives of the poll</w:t>
      </w:r>
      <w:r w:rsidR="00BD1F27">
        <w:t xml:space="preserve"> given the absence of alternative data.</w:t>
      </w:r>
    </w:p>
    <w:p w14:paraId="7A61DFFB" w14:textId="72A7C256" w:rsidR="00604E31" w:rsidRDefault="009503C9" w:rsidP="00604E31">
      <w:pPr>
        <w:pStyle w:val="Heading5"/>
        <w:tabs>
          <w:tab w:val="left" w:pos="2268"/>
        </w:tabs>
      </w:pPr>
      <w:bookmarkStart w:id="152" w:name="Process3"/>
      <w:bookmarkEnd w:id="152"/>
      <w:r>
        <w:t xml:space="preserve">3. </w:t>
      </w:r>
      <w:r w:rsidR="00604E31">
        <w:t>Process</w:t>
      </w:r>
    </w:p>
    <w:p w14:paraId="17DAA5B5" w14:textId="77777777" w:rsidR="00604E31" w:rsidRPr="00131AD3" w:rsidRDefault="00604E31" w:rsidP="00604E31">
      <w:pPr>
        <w:tabs>
          <w:tab w:val="left" w:pos="2268"/>
        </w:tabs>
        <w:rPr>
          <w:rFonts w:ascii="Times New Roman" w:eastAsia="Times New Roman" w:hAnsi="Times New Roman" w:cs="Times New Roman"/>
          <w:sz w:val="24"/>
          <w:szCs w:val="24"/>
          <w:lang w:eastAsia="en-GB"/>
        </w:rPr>
      </w:pPr>
      <w:r>
        <w:t xml:space="preserve">An introduction to the poll described its purpose, provided instructions about how to complete it, and how to request withdrawal of data (revocation) after submission in the event that a participant had a change of heart about taking part. </w:t>
      </w:r>
      <w:r w:rsidRPr="00131AD3">
        <w:t>The relationship of the poll to the current study's main research was also stated, as was an offer to share the findings of the poll given that a contact e-mail address was supplied.</w:t>
      </w:r>
    </w:p>
    <w:p w14:paraId="3A13DE9B" w14:textId="77777777" w:rsidR="00604E31" w:rsidRPr="00956221" w:rsidRDefault="00604E31" w:rsidP="00604E31">
      <w:pPr>
        <w:keepNext/>
        <w:tabs>
          <w:tab w:val="left" w:pos="2268"/>
        </w:tabs>
      </w:pPr>
      <w:r w:rsidRPr="00B152E3">
        <w:t xml:space="preserve">It was </w:t>
      </w:r>
      <w:r>
        <w:t xml:space="preserve">expected </w:t>
      </w:r>
      <w:r w:rsidRPr="00B152E3">
        <w:t xml:space="preserve">that </w:t>
      </w:r>
      <w:r>
        <w:t>participant</w:t>
      </w:r>
      <w:r w:rsidRPr="00B152E3">
        <w:t>s would natur</w:t>
      </w:r>
      <w:r>
        <w:t xml:space="preserve">ally </w:t>
      </w:r>
      <w:r w:rsidRPr="00B152E3">
        <w:t>dis-count repeat visitors from th</w:t>
      </w:r>
      <w:r>
        <w:t>eir</w:t>
      </w:r>
      <w:r w:rsidRPr="00B152E3">
        <w:t xml:space="preserve"> estimate</w:t>
      </w:r>
      <w:r>
        <w:t>s of dimension prevalence</w:t>
      </w:r>
      <w:r w:rsidRPr="00B152E3">
        <w:t xml:space="preserve"> although to do so was not made explicit </w:t>
      </w:r>
      <w:r>
        <w:t xml:space="preserve">to keep </w:t>
      </w:r>
      <w:r w:rsidRPr="00B152E3">
        <w:t xml:space="preserve">the preamble as brief </w:t>
      </w:r>
      <w:r>
        <w:t xml:space="preserve">and uncomplicated </w:t>
      </w:r>
      <w:r w:rsidRPr="00B152E3">
        <w:t>as possible</w:t>
      </w:r>
      <w:r>
        <w:t xml:space="preserve">. Space was provided near the end of the poll for participants to submit any comments about either the enquiry itself or about features of the poll. An invitation was also made to submit information about any additional attributes or characteristics of dyslexia-ness that were regularly encountered. </w:t>
      </w:r>
      <w:r w:rsidRPr="00E74DFB">
        <w:rPr>
          <w:rFonts w:eastAsia="Times New Roman"/>
          <w:lang w:eastAsia="en-GB"/>
        </w:rPr>
        <w:t>Once participants had completed the</w:t>
      </w:r>
      <w:r>
        <w:rPr>
          <w:rFonts w:eastAsia="Times New Roman"/>
          <w:lang w:eastAsia="en-GB"/>
        </w:rPr>
        <w:t xml:space="preserve"> poll</w:t>
      </w:r>
      <w:r w:rsidRPr="00E74DFB">
        <w:rPr>
          <w:rFonts w:eastAsia="Times New Roman"/>
          <w:lang w:eastAsia="en-GB"/>
        </w:rPr>
        <w:t xml:space="preserve">, submitting </w:t>
      </w:r>
      <w:r>
        <w:rPr>
          <w:rFonts w:eastAsia="Times New Roman"/>
          <w:lang w:eastAsia="en-GB"/>
        </w:rPr>
        <w:t xml:space="preserve">it </w:t>
      </w:r>
      <w:r w:rsidRPr="00E74DFB">
        <w:rPr>
          <w:rFonts w:eastAsia="Times New Roman"/>
          <w:lang w:eastAsia="en-GB"/>
        </w:rPr>
        <w:t xml:space="preserve">sent the dataset to the </w:t>
      </w:r>
      <w:r w:rsidRPr="00E74DFB">
        <w:rPr>
          <w:rFonts w:eastAsia="Times New Roman"/>
          <w:lang w:eastAsia="en-GB"/>
        </w:rPr>
        <w:lastRenderedPageBreak/>
        <w:t>researcher's university e-mail account, where it was downloaded into an Excel spreadsheet for collation and analysis.</w:t>
      </w:r>
    </w:p>
    <w:p w14:paraId="274FAF96" w14:textId="599966A8" w:rsidR="00604E31" w:rsidRPr="00862DA9" w:rsidRDefault="009503C9" w:rsidP="00604E31">
      <w:pPr>
        <w:pStyle w:val="Heading5"/>
        <w:tabs>
          <w:tab w:val="left" w:pos="2268"/>
        </w:tabs>
      </w:pPr>
      <w:bookmarkStart w:id="153" w:name="ResultsOutcomes4"/>
      <w:bookmarkEnd w:id="153"/>
      <w:r>
        <w:t xml:space="preserve">4. </w:t>
      </w:r>
      <w:r w:rsidR="00604E31">
        <w:t>Results and Outcomes</w:t>
      </w:r>
    </w:p>
    <w:p w14:paraId="370FC7B6" w14:textId="2EB7A4CE" w:rsidR="00604E31" w:rsidRPr="0033452A" w:rsidRDefault="00604E31" w:rsidP="00604E31">
      <w:pPr>
        <w:tabs>
          <w:tab w:val="left" w:pos="2268"/>
        </w:tabs>
      </w:pPr>
      <w:r w:rsidRPr="00B152E3">
        <w:t xml:space="preserve">Data received from the </w:t>
      </w:r>
      <w:r>
        <w:t>poll</w:t>
      </w:r>
      <w:r w:rsidRPr="00B152E3">
        <w:t xml:space="preserve"> submissions were collated</w:t>
      </w:r>
      <w:r>
        <w:t>,</w:t>
      </w:r>
      <w:r w:rsidRPr="00B152E3">
        <w:t xml:space="preserve"> and in the first instance the mean average prevalence for each dimension was calculated</w:t>
      </w:r>
      <w:r>
        <w:t xml:space="preserve">, derived from the </w:t>
      </w:r>
      <w:r w:rsidRPr="00B152E3">
        <w:t>average frequency (that is, extent) that each dimension w</w:t>
      </w:r>
      <w:r>
        <w:t>as</w:t>
      </w:r>
      <w:r w:rsidRPr="00B152E3">
        <w:t xml:space="preserve"> encountered</w:t>
      </w:r>
      <w:r>
        <w:t xml:space="preserve"> (Table </w:t>
      </w:r>
      <w:r w:rsidR="00D33D1F">
        <w:t>3</w:t>
      </w:r>
      <w:r>
        <w:t xml:space="preserve">). </w:t>
      </w:r>
    </w:p>
    <w:tbl>
      <w:tblPr>
        <w:tblStyle w:val="GridTable5Dark-Accent1"/>
        <w:tblpPr w:leftFromText="180" w:rightFromText="180" w:vertAnchor="text" w:tblpY="-50"/>
        <w:tblW w:w="5000" w:type="pct"/>
        <w:tblLayout w:type="fixed"/>
        <w:tblLook w:val="04A0" w:firstRow="1" w:lastRow="0" w:firstColumn="1" w:lastColumn="0" w:noHBand="0" w:noVBand="1"/>
      </w:tblPr>
      <w:tblGrid>
        <w:gridCol w:w="750"/>
        <w:gridCol w:w="4141"/>
        <w:gridCol w:w="976"/>
        <w:gridCol w:w="839"/>
        <w:gridCol w:w="1958"/>
      </w:tblGrid>
      <w:tr w:rsidR="00604E31" w:rsidRPr="00BF0955" w14:paraId="02963E93" w14:textId="77777777" w:rsidTr="005B5DB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3" w:type="pct"/>
            <w:hideMark/>
          </w:tcPr>
          <w:p w14:paraId="736D7020" w14:textId="77777777" w:rsidR="00604E31" w:rsidRPr="00354FCA" w:rsidRDefault="00604E31" w:rsidP="008418A1">
            <w:pPr>
              <w:tabs>
                <w:tab w:val="left" w:pos="2268"/>
              </w:tabs>
              <w:spacing w:before="0" w:after="0" w:line="276" w:lineRule="auto"/>
              <w:rPr>
                <w:rFonts w:ascii="Gill Sans MT" w:hAnsi="Gill Sans MT"/>
                <w:b w:val="0"/>
                <w:sz w:val="18"/>
                <w:szCs w:val="18"/>
              </w:rPr>
            </w:pPr>
            <w:r w:rsidRPr="00354FCA">
              <w:rPr>
                <w:rFonts w:ascii="Gill Sans MT" w:hAnsi="Gill Sans MT"/>
                <w:b w:val="0"/>
                <w:sz w:val="18"/>
                <w:szCs w:val="18"/>
              </w:rPr>
              <w:t>dim#</w:t>
            </w:r>
          </w:p>
        </w:tc>
        <w:tc>
          <w:tcPr>
            <w:tcW w:w="2390" w:type="pct"/>
            <w:hideMark/>
          </w:tcPr>
          <w:p w14:paraId="487361C1" w14:textId="77777777" w:rsidR="00604E31" w:rsidRPr="00354FCA" w:rsidRDefault="00604E31" w:rsidP="008418A1">
            <w:pPr>
              <w:tabs>
                <w:tab w:val="left" w:pos="2268"/>
              </w:tabs>
              <w:spacing w:before="0" w:after="0" w:line="276" w:lineRule="auto"/>
              <w:cnfStyle w:val="100000000000" w:firstRow="1" w:lastRow="0" w:firstColumn="0" w:lastColumn="0" w:oddVBand="0" w:evenVBand="0" w:oddHBand="0" w:evenHBand="0" w:firstRowFirstColumn="0" w:firstRowLastColumn="0" w:lastRowFirstColumn="0" w:lastRowLastColumn="0"/>
              <w:rPr>
                <w:rFonts w:ascii="Gill Sans MT" w:hAnsi="Gill Sans MT"/>
                <w:b w:val="0"/>
                <w:sz w:val="18"/>
                <w:szCs w:val="18"/>
              </w:rPr>
            </w:pPr>
            <w:r w:rsidRPr="00354FCA">
              <w:rPr>
                <w:rFonts w:ascii="Gill Sans MT" w:hAnsi="Gill Sans MT"/>
                <w:b w:val="0"/>
                <w:sz w:val="18"/>
                <w:szCs w:val="18"/>
              </w:rPr>
              <w:t>Dyslexia dimension</w:t>
            </w:r>
          </w:p>
        </w:tc>
        <w:tc>
          <w:tcPr>
            <w:tcW w:w="563" w:type="pct"/>
            <w:hideMark/>
          </w:tcPr>
          <w:p w14:paraId="0D79F2C5" w14:textId="77777777" w:rsidR="00604E31" w:rsidRPr="00354FCA" w:rsidRDefault="00604E31" w:rsidP="008418A1">
            <w:pPr>
              <w:tabs>
                <w:tab w:val="left" w:pos="2268"/>
              </w:tabs>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sz w:val="18"/>
                <w:szCs w:val="18"/>
              </w:rPr>
            </w:pPr>
            <w:r w:rsidRPr="00354FCA">
              <w:rPr>
                <w:rFonts w:ascii="Gill Sans MT" w:hAnsi="Gill Sans MT"/>
                <w:b w:val="0"/>
                <w:sz w:val="18"/>
                <w:szCs w:val="18"/>
              </w:rPr>
              <w:t>mean prev</w:t>
            </w:r>
          </w:p>
        </w:tc>
        <w:tc>
          <w:tcPr>
            <w:tcW w:w="484" w:type="pct"/>
            <w:hideMark/>
          </w:tcPr>
          <w:p w14:paraId="1A633840" w14:textId="77777777" w:rsidR="00604E31" w:rsidRPr="00354FCA" w:rsidRDefault="00604E31" w:rsidP="008418A1">
            <w:pPr>
              <w:tabs>
                <w:tab w:val="left" w:pos="2268"/>
              </w:tabs>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sz w:val="18"/>
                <w:szCs w:val="18"/>
              </w:rPr>
            </w:pPr>
            <w:r w:rsidRPr="00354FCA">
              <w:rPr>
                <w:rFonts w:ascii="Gill Sans MT" w:hAnsi="Gill Sans MT"/>
                <w:b w:val="0"/>
                <w:sz w:val="18"/>
                <w:szCs w:val="18"/>
              </w:rPr>
              <w:t>st dev</w:t>
            </w:r>
          </w:p>
        </w:tc>
        <w:tc>
          <w:tcPr>
            <w:tcW w:w="1130" w:type="pct"/>
            <w:hideMark/>
          </w:tcPr>
          <w:p w14:paraId="6B71AA11" w14:textId="77777777" w:rsidR="00604E31" w:rsidRPr="00354FCA" w:rsidRDefault="00604E31" w:rsidP="008418A1">
            <w:pPr>
              <w:tabs>
                <w:tab w:val="left" w:pos="2268"/>
              </w:tabs>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sz w:val="18"/>
                <w:szCs w:val="18"/>
              </w:rPr>
            </w:pPr>
            <w:r w:rsidRPr="00354FCA">
              <w:rPr>
                <w:rFonts w:ascii="Gill Sans MT" w:hAnsi="Gill Sans MT"/>
                <w:b w:val="0"/>
                <w:sz w:val="18"/>
                <w:szCs w:val="18"/>
              </w:rPr>
              <w:t>95% CI for µ</w:t>
            </w:r>
          </w:p>
        </w:tc>
      </w:tr>
      <w:tr w:rsidR="00604E31" w:rsidRPr="00BF0955" w14:paraId="12FE4D61" w14:textId="77777777" w:rsidTr="005B5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 w:type="pct"/>
            <w:hideMark/>
          </w:tcPr>
          <w:p w14:paraId="58EB2C32" w14:textId="77777777" w:rsidR="00604E31" w:rsidRPr="00354FCA" w:rsidRDefault="00604E31" w:rsidP="008418A1">
            <w:pPr>
              <w:tabs>
                <w:tab w:val="left" w:pos="2268"/>
              </w:tabs>
              <w:spacing w:before="0" w:after="0" w:line="276" w:lineRule="auto"/>
              <w:jc w:val="center"/>
              <w:rPr>
                <w:rFonts w:ascii="Gill Sans MT" w:hAnsi="Gill Sans MT"/>
                <w:b w:val="0"/>
                <w:sz w:val="18"/>
                <w:szCs w:val="18"/>
              </w:rPr>
            </w:pPr>
            <w:r w:rsidRPr="00354FCA">
              <w:rPr>
                <w:rFonts w:ascii="Gill Sans MT" w:hAnsi="Gill Sans MT"/>
                <w:b w:val="0"/>
                <w:sz w:val="18"/>
                <w:szCs w:val="18"/>
              </w:rPr>
              <w:t>8</w:t>
            </w:r>
          </w:p>
        </w:tc>
        <w:tc>
          <w:tcPr>
            <w:tcW w:w="2390" w:type="pct"/>
            <w:hideMark/>
          </w:tcPr>
          <w:p w14:paraId="510B6D1B" w14:textId="77777777" w:rsidR="00604E31" w:rsidRPr="002609F7" w:rsidRDefault="00604E31" w:rsidP="008418A1">
            <w:pPr>
              <w:tabs>
                <w:tab w:val="left" w:pos="2268"/>
              </w:tabs>
              <w:spacing w:before="0" w:after="0"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students show evidence of having difficulty putting their writing ideas into a sensible order</w:t>
            </w:r>
          </w:p>
        </w:tc>
        <w:tc>
          <w:tcPr>
            <w:tcW w:w="563" w:type="pct"/>
            <w:hideMark/>
          </w:tcPr>
          <w:p w14:paraId="3E6587B7" w14:textId="77777777" w:rsidR="00604E31" w:rsidRPr="002609F7" w:rsidRDefault="00604E31" w:rsidP="008418A1">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bCs/>
                <w:sz w:val="18"/>
                <w:szCs w:val="18"/>
              </w:rPr>
              <w:t>75.7</w:t>
            </w:r>
          </w:p>
        </w:tc>
        <w:tc>
          <w:tcPr>
            <w:tcW w:w="484" w:type="pct"/>
            <w:hideMark/>
          </w:tcPr>
          <w:p w14:paraId="58144854" w14:textId="77777777" w:rsidR="00604E31" w:rsidRPr="002609F7" w:rsidRDefault="00604E31" w:rsidP="008418A1">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14.75</w:t>
            </w:r>
          </w:p>
        </w:tc>
        <w:tc>
          <w:tcPr>
            <w:tcW w:w="1130" w:type="pct"/>
            <w:hideMark/>
          </w:tcPr>
          <w:p w14:paraId="1D2797FC" w14:textId="77777777" w:rsidR="00604E31" w:rsidRPr="002609F7" w:rsidRDefault="00604E31" w:rsidP="008418A1">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70.33 &lt; µ &lt; 81.07</w:t>
            </w:r>
          </w:p>
        </w:tc>
      </w:tr>
      <w:tr w:rsidR="00604E31" w:rsidRPr="00BF0955" w14:paraId="3F684120" w14:textId="77777777" w:rsidTr="005B5DBE">
        <w:tc>
          <w:tcPr>
            <w:cnfStyle w:val="001000000000" w:firstRow="0" w:lastRow="0" w:firstColumn="1" w:lastColumn="0" w:oddVBand="0" w:evenVBand="0" w:oddHBand="0" w:evenHBand="0" w:firstRowFirstColumn="0" w:firstRowLastColumn="0" w:lastRowFirstColumn="0" w:lastRowLastColumn="0"/>
            <w:tcW w:w="433" w:type="pct"/>
            <w:hideMark/>
          </w:tcPr>
          <w:p w14:paraId="40EB49DF" w14:textId="77777777" w:rsidR="00604E31" w:rsidRPr="00354FCA" w:rsidRDefault="00604E31" w:rsidP="008418A1">
            <w:pPr>
              <w:tabs>
                <w:tab w:val="left" w:pos="2268"/>
              </w:tabs>
              <w:spacing w:before="0" w:after="0" w:line="276" w:lineRule="auto"/>
              <w:jc w:val="center"/>
              <w:rPr>
                <w:rFonts w:ascii="Gill Sans MT" w:hAnsi="Gill Sans MT"/>
                <w:b w:val="0"/>
                <w:sz w:val="18"/>
                <w:szCs w:val="18"/>
              </w:rPr>
            </w:pPr>
            <w:r w:rsidRPr="00354FCA">
              <w:rPr>
                <w:rFonts w:ascii="Gill Sans MT" w:hAnsi="Gill Sans MT"/>
                <w:b w:val="0"/>
                <w:sz w:val="18"/>
                <w:szCs w:val="18"/>
              </w:rPr>
              <w:t>7</w:t>
            </w:r>
          </w:p>
        </w:tc>
        <w:tc>
          <w:tcPr>
            <w:tcW w:w="2390" w:type="pct"/>
            <w:hideMark/>
          </w:tcPr>
          <w:p w14:paraId="1D7DBC5E" w14:textId="77777777" w:rsidR="00604E31" w:rsidRPr="002609F7" w:rsidRDefault="00604E31" w:rsidP="008418A1">
            <w:pPr>
              <w:tabs>
                <w:tab w:val="left" w:pos="226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students say that when reading, they sometimes re-read the same line or miss out a line altogether</w:t>
            </w:r>
          </w:p>
        </w:tc>
        <w:tc>
          <w:tcPr>
            <w:tcW w:w="563" w:type="pct"/>
            <w:hideMark/>
          </w:tcPr>
          <w:p w14:paraId="7BB01924" w14:textId="77777777" w:rsidR="00604E31" w:rsidRPr="002609F7" w:rsidRDefault="00604E31" w:rsidP="008418A1">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bCs/>
                <w:sz w:val="18"/>
                <w:szCs w:val="18"/>
              </w:rPr>
              <w:t>74.6</w:t>
            </w:r>
          </w:p>
        </w:tc>
        <w:tc>
          <w:tcPr>
            <w:tcW w:w="484" w:type="pct"/>
            <w:hideMark/>
          </w:tcPr>
          <w:p w14:paraId="2DC186B8" w14:textId="77777777" w:rsidR="00604E31" w:rsidRPr="002609F7" w:rsidRDefault="00604E31" w:rsidP="008418A1">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14.88</w:t>
            </w:r>
          </w:p>
        </w:tc>
        <w:tc>
          <w:tcPr>
            <w:tcW w:w="1130" w:type="pct"/>
            <w:hideMark/>
          </w:tcPr>
          <w:p w14:paraId="745A186F" w14:textId="77777777" w:rsidR="00604E31" w:rsidRPr="002609F7" w:rsidRDefault="00604E31" w:rsidP="008418A1">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69.15 &lt; µ &lt; 79.98</w:t>
            </w:r>
          </w:p>
        </w:tc>
      </w:tr>
      <w:tr w:rsidR="00604E31" w:rsidRPr="00BF0955" w14:paraId="463A1B11" w14:textId="77777777" w:rsidTr="005B5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 w:type="pct"/>
            <w:hideMark/>
          </w:tcPr>
          <w:p w14:paraId="1D974A8F" w14:textId="77777777" w:rsidR="00604E31" w:rsidRPr="00354FCA" w:rsidRDefault="00604E31" w:rsidP="008418A1">
            <w:pPr>
              <w:tabs>
                <w:tab w:val="left" w:pos="2268"/>
              </w:tabs>
              <w:spacing w:before="0" w:after="0" w:line="276" w:lineRule="auto"/>
              <w:jc w:val="center"/>
              <w:rPr>
                <w:rFonts w:ascii="Gill Sans MT" w:hAnsi="Gill Sans MT"/>
                <w:b w:val="0"/>
                <w:sz w:val="18"/>
                <w:szCs w:val="18"/>
              </w:rPr>
            </w:pPr>
            <w:r w:rsidRPr="00354FCA">
              <w:rPr>
                <w:rFonts w:ascii="Gill Sans MT" w:hAnsi="Gill Sans MT"/>
                <w:b w:val="0"/>
                <w:sz w:val="18"/>
                <w:szCs w:val="18"/>
              </w:rPr>
              <w:t>10</w:t>
            </w:r>
          </w:p>
        </w:tc>
        <w:tc>
          <w:tcPr>
            <w:tcW w:w="2390" w:type="pct"/>
            <w:hideMark/>
          </w:tcPr>
          <w:p w14:paraId="501412EF" w14:textId="77777777" w:rsidR="00604E31" w:rsidRPr="002609F7" w:rsidRDefault="00604E31" w:rsidP="008418A1">
            <w:pPr>
              <w:tabs>
                <w:tab w:val="left" w:pos="2268"/>
              </w:tabs>
              <w:spacing w:before="0" w:after="0"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students show evidence of poor short-term (and/or working) memory - for example, remembering telephone numbers</w:t>
            </w:r>
          </w:p>
        </w:tc>
        <w:tc>
          <w:tcPr>
            <w:tcW w:w="563" w:type="pct"/>
            <w:hideMark/>
          </w:tcPr>
          <w:p w14:paraId="2D274380" w14:textId="77777777" w:rsidR="00604E31" w:rsidRPr="002609F7" w:rsidRDefault="00604E31" w:rsidP="008418A1">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bCs/>
                <w:sz w:val="18"/>
                <w:szCs w:val="18"/>
              </w:rPr>
              <w:t>74.5</w:t>
            </w:r>
          </w:p>
        </w:tc>
        <w:tc>
          <w:tcPr>
            <w:tcW w:w="484" w:type="pct"/>
            <w:hideMark/>
          </w:tcPr>
          <w:p w14:paraId="565555D2" w14:textId="77777777" w:rsidR="00604E31" w:rsidRPr="002609F7" w:rsidRDefault="00604E31" w:rsidP="008418A1">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14.77</w:t>
            </w:r>
          </w:p>
        </w:tc>
        <w:tc>
          <w:tcPr>
            <w:tcW w:w="1130" w:type="pct"/>
            <w:hideMark/>
          </w:tcPr>
          <w:p w14:paraId="22CA4EB4" w14:textId="77777777" w:rsidR="00604E31" w:rsidRPr="002609F7" w:rsidRDefault="00604E31" w:rsidP="008418A1">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69.09 &lt; µ &lt; 79.84</w:t>
            </w:r>
          </w:p>
        </w:tc>
      </w:tr>
      <w:tr w:rsidR="00604E31" w:rsidRPr="00BF0955" w14:paraId="5A5BE18E" w14:textId="77777777" w:rsidTr="005B5DBE">
        <w:tc>
          <w:tcPr>
            <w:cnfStyle w:val="001000000000" w:firstRow="0" w:lastRow="0" w:firstColumn="1" w:lastColumn="0" w:oddVBand="0" w:evenVBand="0" w:oddHBand="0" w:evenHBand="0" w:firstRowFirstColumn="0" w:firstRowLastColumn="0" w:lastRowFirstColumn="0" w:lastRowLastColumn="0"/>
            <w:tcW w:w="433" w:type="pct"/>
            <w:hideMark/>
          </w:tcPr>
          <w:p w14:paraId="3E2D468C" w14:textId="77777777" w:rsidR="00604E31" w:rsidRPr="00354FCA" w:rsidRDefault="00604E31" w:rsidP="008418A1">
            <w:pPr>
              <w:tabs>
                <w:tab w:val="left" w:pos="2268"/>
              </w:tabs>
              <w:spacing w:before="0" w:after="0" w:line="276" w:lineRule="auto"/>
              <w:jc w:val="center"/>
              <w:rPr>
                <w:rFonts w:ascii="Gill Sans MT" w:hAnsi="Gill Sans MT"/>
                <w:b w:val="0"/>
                <w:sz w:val="18"/>
                <w:szCs w:val="18"/>
              </w:rPr>
            </w:pPr>
            <w:r w:rsidRPr="00354FCA">
              <w:rPr>
                <w:rFonts w:ascii="Gill Sans MT" w:hAnsi="Gill Sans MT"/>
                <w:b w:val="0"/>
                <w:sz w:val="18"/>
                <w:szCs w:val="18"/>
              </w:rPr>
              <w:t>18</w:t>
            </w:r>
          </w:p>
        </w:tc>
        <w:tc>
          <w:tcPr>
            <w:tcW w:w="2390" w:type="pct"/>
            <w:hideMark/>
          </w:tcPr>
          <w:p w14:paraId="69F84DDC" w14:textId="77777777" w:rsidR="00604E31" w:rsidRPr="002609F7" w:rsidRDefault="00604E31" w:rsidP="008418A1">
            <w:pPr>
              <w:tabs>
                <w:tab w:val="left" w:pos="226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students are very unwilling or show anxiety when asked to read 'out loud'</w:t>
            </w:r>
          </w:p>
        </w:tc>
        <w:tc>
          <w:tcPr>
            <w:tcW w:w="563" w:type="pct"/>
            <w:hideMark/>
          </w:tcPr>
          <w:p w14:paraId="75CFEB6D" w14:textId="77777777" w:rsidR="00604E31" w:rsidRPr="002609F7" w:rsidRDefault="00604E31" w:rsidP="008418A1">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bCs/>
                <w:sz w:val="18"/>
                <w:szCs w:val="18"/>
              </w:rPr>
              <w:t>71.7</w:t>
            </w:r>
          </w:p>
        </w:tc>
        <w:tc>
          <w:tcPr>
            <w:tcW w:w="484" w:type="pct"/>
            <w:hideMark/>
          </w:tcPr>
          <w:p w14:paraId="4487B420" w14:textId="77777777" w:rsidR="00604E31" w:rsidRPr="002609F7" w:rsidRDefault="00604E31" w:rsidP="008418A1">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17.30</w:t>
            </w:r>
          </w:p>
        </w:tc>
        <w:tc>
          <w:tcPr>
            <w:tcW w:w="1130" w:type="pct"/>
            <w:hideMark/>
          </w:tcPr>
          <w:p w14:paraId="25160F76" w14:textId="77777777" w:rsidR="00604E31" w:rsidRPr="002609F7" w:rsidRDefault="00604E31" w:rsidP="008418A1">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65.44 &lt; µ &lt; 78.03</w:t>
            </w:r>
          </w:p>
        </w:tc>
      </w:tr>
      <w:tr w:rsidR="00604E31" w:rsidRPr="00BF0955" w14:paraId="7110B703" w14:textId="77777777" w:rsidTr="005B5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 w:type="pct"/>
            <w:hideMark/>
          </w:tcPr>
          <w:p w14:paraId="11E8ED90" w14:textId="77777777" w:rsidR="00604E31" w:rsidRPr="00354FCA" w:rsidRDefault="00604E31" w:rsidP="008418A1">
            <w:pPr>
              <w:tabs>
                <w:tab w:val="left" w:pos="2268"/>
              </w:tabs>
              <w:spacing w:before="0" w:after="0" w:line="276" w:lineRule="auto"/>
              <w:jc w:val="center"/>
              <w:rPr>
                <w:rFonts w:ascii="Gill Sans MT" w:hAnsi="Gill Sans MT"/>
                <w:b w:val="0"/>
                <w:sz w:val="18"/>
                <w:szCs w:val="18"/>
              </w:rPr>
            </w:pPr>
            <w:r w:rsidRPr="00354FCA">
              <w:rPr>
                <w:rFonts w:ascii="Gill Sans MT" w:hAnsi="Gill Sans MT"/>
                <w:b w:val="0"/>
                <w:sz w:val="18"/>
                <w:szCs w:val="18"/>
              </w:rPr>
              <w:t>3</w:t>
            </w:r>
          </w:p>
        </w:tc>
        <w:tc>
          <w:tcPr>
            <w:tcW w:w="2390" w:type="pct"/>
            <w:hideMark/>
          </w:tcPr>
          <w:p w14:paraId="2FEE7326" w14:textId="77777777" w:rsidR="00604E31" w:rsidRPr="002609F7" w:rsidRDefault="00604E31" w:rsidP="008418A1">
            <w:pPr>
              <w:tabs>
                <w:tab w:val="left" w:pos="2268"/>
              </w:tabs>
              <w:spacing w:before="0" w:after="0"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students say that they can explain things more easily verbally than in their writing</w:t>
            </w:r>
          </w:p>
        </w:tc>
        <w:tc>
          <w:tcPr>
            <w:tcW w:w="563" w:type="pct"/>
            <w:hideMark/>
          </w:tcPr>
          <w:p w14:paraId="69C4375E" w14:textId="77777777" w:rsidR="00604E31" w:rsidRPr="002609F7" w:rsidRDefault="00604E31" w:rsidP="008418A1">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bCs/>
                <w:sz w:val="18"/>
                <w:szCs w:val="18"/>
              </w:rPr>
              <w:t>70.6</w:t>
            </w:r>
          </w:p>
        </w:tc>
        <w:tc>
          <w:tcPr>
            <w:tcW w:w="484" w:type="pct"/>
            <w:hideMark/>
          </w:tcPr>
          <w:p w14:paraId="278D04B1" w14:textId="77777777" w:rsidR="00604E31" w:rsidRPr="002609F7" w:rsidRDefault="00604E31" w:rsidP="008418A1">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15.75</w:t>
            </w:r>
          </w:p>
        </w:tc>
        <w:tc>
          <w:tcPr>
            <w:tcW w:w="1130" w:type="pct"/>
            <w:hideMark/>
          </w:tcPr>
          <w:p w14:paraId="67F9B139" w14:textId="77777777" w:rsidR="00604E31" w:rsidRPr="002609F7" w:rsidRDefault="00604E31" w:rsidP="008418A1">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64.84 &lt; µ &lt; 76.30</w:t>
            </w:r>
          </w:p>
        </w:tc>
      </w:tr>
      <w:tr w:rsidR="00604E31" w:rsidRPr="00BF0955" w14:paraId="3400A16F" w14:textId="77777777" w:rsidTr="005B5DBE">
        <w:tc>
          <w:tcPr>
            <w:cnfStyle w:val="001000000000" w:firstRow="0" w:lastRow="0" w:firstColumn="1" w:lastColumn="0" w:oddVBand="0" w:evenVBand="0" w:oddHBand="0" w:evenHBand="0" w:firstRowFirstColumn="0" w:firstRowLastColumn="0" w:lastRowFirstColumn="0" w:lastRowLastColumn="0"/>
            <w:tcW w:w="433" w:type="pct"/>
            <w:hideMark/>
          </w:tcPr>
          <w:p w14:paraId="2949F018" w14:textId="77777777" w:rsidR="00604E31" w:rsidRPr="00354FCA" w:rsidRDefault="00604E31" w:rsidP="008418A1">
            <w:pPr>
              <w:tabs>
                <w:tab w:val="left" w:pos="2268"/>
              </w:tabs>
              <w:spacing w:before="0" w:after="0" w:line="276" w:lineRule="auto"/>
              <w:jc w:val="center"/>
              <w:rPr>
                <w:rFonts w:ascii="Gill Sans MT" w:hAnsi="Gill Sans MT"/>
                <w:b w:val="0"/>
                <w:sz w:val="18"/>
                <w:szCs w:val="18"/>
              </w:rPr>
            </w:pPr>
            <w:r w:rsidRPr="00354FCA">
              <w:rPr>
                <w:rFonts w:ascii="Gill Sans MT" w:hAnsi="Gill Sans MT"/>
                <w:b w:val="0"/>
                <w:sz w:val="18"/>
                <w:szCs w:val="18"/>
              </w:rPr>
              <w:t>16</w:t>
            </w:r>
          </w:p>
        </w:tc>
        <w:tc>
          <w:tcPr>
            <w:tcW w:w="2390" w:type="pct"/>
            <w:hideMark/>
          </w:tcPr>
          <w:p w14:paraId="148C81E4" w14:textId="77777777" w:rsidR="00604E31" w:rsidRPr="002609F7" w:rsidRDefault="00604E31" w:rsidP="008418A1">
            <w:pPr>
              <w:tabs>
                <w:tab w:val="left" w:pos="226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students report their tutors telling them that their essays or assignments are confusing to read</w:t>
            </w:r>
          </w:p>
        </w:tc>
        <w:tc>
          <w:tcPr>
            <w:tcW w:w="563" w:type="pct"/>
            <w:hideMark/>
          </w:tcPr>
          <w:p w14:paraId="6D5FD201" w14:textId="77777777" w:rsidR="00604E31" w:rsidRPr="002609F7" w:rsidRDefault="00604E31" w:rsidP="008418A1">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bCs/>
                <w:sz w:val="18"/>
                <w:szCs w:val="18"/>
              </w:rPr>
              <w:t>70.4</w:t>
            </w:r>
          </w:p>
        </w:tc>
        <w:tc>
          <w:tcPr>
            <w:tcW w:w="484" w:type="pct"/>
            <w:hideMark/>
          </w:tcPr>
          <w:p w14:paraId="100869D3" w14:textId="77777777" w:rsidR="00604E31" w:rsidRPr="002609F7" w:rsidRDefault="00604E31" w:rsidP="008418A1">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14.60</w:t>
            </w:r>
          </w:p>
        </w:tc>
        <w:tc>
          <w:tcPr>
            <w:tcW w:w="1130" w:type="pct"/>
            <w:hideMark/>
          </w:tcPr>
          <w:p w14:paraId="2DD08810" w14:textId="77777777" w:rsidR="00604E31" w:rsidRPr="002609F7" w:rsidRDefault="00604E31" w:rsidP="008418A1">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65.09 &lt; µ &lt; 75.71</w:t>
            </w:r>
          </w:p>
        </w:tc>
      </w:tr>
      <w:tr w:rsidR="00604E31" w:rsidRPr="00BF0955" w14:paraId="0E23CABD" w14:textId="77777777" w:rsidTr="005B5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 w:type="pct"/>
            <w:hideMark/>
          </w:tcPr>
          <w:p w14:paraId="173DEE14" w14:textId="77777777" w:rsidR="00604E31" w:rsidRPr="00354FCA" w:rsidRDefault="00604E31" w:rsidP="008418A1">
            <w:pPr>
              <w:tabs>
                <w:tab w:val="left" w:pos="2268"/>
              </w:tabs>
              <w:spacing w:before="0" w:after="0" w:line="276" w:lineRule="auto"/>
              <w:jc w:val="center"/>
              <w:rPr>
                <w:rFonts w:ascii="Gill Sans MT" w:hAnsi="Gill Sans MT"/>
                <w:b w:val="0"/>
                <w:sz w:val="18"/>
                <w:szCs w:val="18"/>
              </w:rPr>
            </w:pPr>
            <w:r w:rsidRPr="00354FCA">
              <w:rPr>
                <w:rFonts w:ascii="Gill Sans MT" w:hAnsi="Gill Sans MT"/>
                <w:b w:val="0"/>
                <w:sz w:val="18"/>
                <w:szCs w:val="18"/>
              </w:rPr>
              <w:t>2</w:t>
            </w:r>
          </w:p>
        </w:tc>
        <w:tc>
          <w:tcPr>
            <w:tcW w:w="2390" w:type="pct"/>
            <w:hideMark/>
          </w:tcPr>
          <w:p w14:paraId="3DE32512" w14:textId="77777777" w:rsidR="00604E31" w:rsidRPr="002609F7" w:rsidRDefault="00604E31" w:rsidP="008418A1">
            <w:pPr>
              <w:tabs>
                <w:tab w:val="left" w:pos="2268"/>
              </w:tabs>
              <w:spacing w:before="0" w:after="0"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students say that they find it very challenging to manage their time effectively</w:t>
            </w:r>
          </w:p>
        </w:tc>
        <w:tc>
          <w:tcPr>
            <w:tcW w:w="563" w:type="pct"/>
            <w:hideMark/>
          </w:tcPr>
          <w:p w14:paraId="4E11F908" w14:textId="77777777" w:rsidR="00604E31" w:rsidRPr="002609F7" w:rsidRDefault="00604E31" w:rsidP="008418A1">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bCs/>
                <w:sz w:val="18"/>
                <w:szCs w:val="18"/>
              </w:rPr>
              <w:t>69.9</w:t>
            </w:r>
          </w:p>
        </w:tc>
        <w:tc>
          <w:tcPr>
            <w:tcW w:w="484" w:type="pct"/>
            <w:hideMark/>
          </w:tcPr>
          <w:p w14:paraId="228B8B6A" w14:textId="77777777" w:rsidR="00604E31" w:rsidRPr="002609F7" w:rsidRDefault="00604E31" w:rsidP="008418A1">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17.20</w:t>
            </w:r>
          </w:p>
        </w:tc>
        <w:tc>
          <w:tcPr>
            <w:tcW w:w="1130" w:type="pct"/>
            <w:hideMark/>
          </w:tcPr>
          <w:p w14:paraId="5E701D60" w14:textId="77777777" w:rsidR="00604E31" w:rsidRPr="002609F7" w:rsidRDefault="00604E31" w:rsidP="008418A1">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63.67 &lt; µ &lt; 76.19</w:t>
            </w:r>
          </w:p>
        </w:tc>
      </w:tr>
      <w:tr w:rsidR="00604E31" w:rsidRPr="00BF0955" w14:paraId="607D1134" w14:textId="77777777" w:rsidTr="005B5DBE">
        <w:tc>
          <w:tcPr>
            <w:cnfStyle w:val="001000000000" w:firstRow="0" w:lastRow="0" w:firstColumn="1" w:lastColumn="0" w:oddVBand="0" w:evenVBand="0" w:oddHBand="0" w:evenHBand="0" w:firstRowFirstColumn="0" w:firstRowLastColumn="0" w:lastRowFirstColumn="0" w:lastRowLastColumn="0"/>
            <w:tcW w:w="433" w:type="pct"/>
            <w:hideMark/>
          </w:tcPr>
          <w:p w14:paraId="0E25667E" w14:textId="77777777" w:rsidR="00604E31" w:rsidRPr="00354FCA" w:rsidRDefault="00604E31" w:rsidP="008418A1">
            <w:pPr>
              <w:tabs>
                <w:tab w:val="left" w:pos="2268"/>
              </w:tabs>
              <w:spacing w:before="0" w:after="0" w:line="276" w:lineRule="auto"/>
              <w:jc w:val="center"/>
              <w:rPr>
                <w:rFonts w:ascii="Gill Sans MT" w:hAnsi="Gill Sans MT"/>
                <w:b w:val="0"/>
                <w:sz w:val="18"/>
                <w:szCs w:val="18"/>
              </w:rPr>
            </w:pPr>
            <w:r w:rsidRPr="00354FCA">
              <w:rPr>
                <w:rFonts w:ascii="Gill Sans MT" w:hAnsi="Gill Sans MT"/>
                <w:b w:val="0"/>
                <w:sz w:val="18"/>
                <w:szCs w:val="18"/>
              </w:rPr>
              <w:t>17</w:t>
            </w:r>
          </w:p>
        </w:tc>
        <w:tc>
          <w:tcPr>
            <w:tcW w:w="2390" w:type="pct"/>
            <w:hideMark/>
          </w:tcPr>
          <w:p w14:paraId="4BD99B3B" w14:textId="77777777" w:rsidR="00604E31" w:rsidRPr="002609F7" w:rsidRDefault="00604E31" w:rsidP="008418A1">
            <w:pPr>
              <w:tabs>
                <w:tab w:val="left" w:pos="226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students show evidence of difficulties in being systematic when searching for information or learning resources</w:t>
            </w:r>
          </w:p>
        </w:tc>
        <w:tc>
          <w:tcPr>
            <w:tcW w:w="563" w:type="pct"/>
            <w:hideMark/>
          </w:tcPr>
          <w:p w14:paraId="76250DC2" w14:textId="77777777" w:rsidR="00604E31" w:rsidRPr="002609F7" w:rsidRDefault="00604E31" w:rsidP="008418A1">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bCs/>
                <w:sz w:val="18"/>
                <w:szCs w:val="18"/>
              </w:rPr>
              <w:t>64.3</w:t>
            </w:r>
          </w:p>
        </w:tc>
        <w:tc>
          <w:tcPr>
            <w:tcW w:w="484" w:type="pct"/>
            <w:hideMark/>
          </w:tcPr>
          <w:p w14:paraId="068DB7D4" w14:textId="77777777" w:rsidR="00604E31" w:rsidRPr="002609F7" w:rsidRDefault="00604E31" w:rsidP="008418A1">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19.48</w:t>
            </w:r>
          </w:p>
        </w:tc>
        <w:tc>
          <w:tcPr>
            <w:tcW w:w="1130" w:type="pct"/>
            <w:hideMark/>
          </w:tcPr>
          <w:p w14:paraId="05D1E64F" w14:textId="77777777" w:rsidR="00604E31" w:rsidRPr="002609F7" w:rsidRDefault="00604E31" w:rsidP="008418A1">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57.21 &lt; µ &lt; 71.39</w:t>
            </w:r>
          </w:p>
        </w:tc>
      </w:tr>
      <w:tr w:rsidR="00604E31" w:rsidRPr="00BF0955" w14:paraId="70862646" w14:textId="77777777" w:rsidTr="005B5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 w:type="pct"/>
            <w:hideMark/>
          </w:tcPr>
          <w:p w14:paraId="3909F40C" w14:textId="77777777" w:rsidR="00604E31" w:rsidRPr="00354FCA" w:rsidRDefault="00604E31" w:rsidP="008418A1">
            <w:pPr>
              <w:tabs>
                <w:tab w:val="left" w:pos="2268"/>
              </w:tabs>
              <w:spacing w:before="0" w:after="0" w:line="276" w:lineRule="auto"/>
              <w:jc w:val="center"/>
              <w:rPr>
                <w:rFonts w:ascii="Gill Sans MT" w:hAnsi="Gill Sans MT"/>
                <w:b w:val="0"/>
                <w:sz w:val="18"/>
                <w:szCs w:val="18"/>
              </w:rPr>
            </w:pPr>
            <w:r w:rsidRPr="00354FCA">
              <w:rPr>
                <w:rFonts w:ascii="Gill Sans MT" w:hAnsi="Gill Sans MT"/>
                <w:b w:val="0"/>
                <w:sz w:val="18"/>
                <w:szCs w:val="18"/>
              </w:rPr>
              <w:t>13</w:t>
            </w:r>
          </w:p>
        </w:tc>
        <w:tc>
          <w:tcPr>
            <w:tcW w:w="2390" w:type="pct"/>
            <w:hideMark/>
          </w:tcPr>
          <w:p w14:paraId="4DE44960" w14:textId="77777777" w:rsidR="00604E31" w:rsidRPr="002609F7" w:rsidRDefault="00604E31" w:rsidP="008418A1">
            <w:pPr>
              <w:tabs>
                <w:tab w:val="left" w:pos="2268"/>
              </w:tabs>
              <w:spacing w:before="0" w:after="0"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student</w:t>
            </w:r>
            <w:r>
              <w:rPr>
                <w:rFonts w:ascii="Gill Sans MT" w:hAnsi="Gill Sans MT"/>
                <w:sz w:val="18"/>
                <w:szCs w:val="18"/>
              </w:rPr>
              <w:t>s</w:t>
            </w:r>
            <w:r w:rsidRPr="002609F7">
              <w:rPr>
                <w:rFonts w:ascii="Gill Sans MT" w:hAnsi="Gill Sans MT"/>
                <w:sz w:val="18"/>
                <w:szCs w:val="18"/>
              </w:rPr>
              <w:t xml:space="preserve"> show evidence of creative or innovative problem-solving capabilities</w:t>
            </w:r>
          </w:p>
        </w:tc>
        <w:tc>
          <w:tcPr>
            <w:tcW w:w="563" w:type="pct"/>
            <w:hideMark/>
          </w:tcPr>
          <w:p w14:paraId="49DFB99F" w14:textId="77777777" w:rsidR="00604E31" w:rsidRPr="002609F7" w:rsidRDefault="00604E31" w:rsidP="008418A1">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bCs/>
                <w:sz w:val="18"/>
                <w:szCs w:val="18"/>
              </w:rPr>
              <w:t>63.2</w:t>
            </w:r>
          </w:p>
        </w:tc>
        <w:tc>
          <w:tcPr>
            <w:tcW w:w="484" w:type="pct"/>
            <w:hideMark/>
          </w:tcPr>
          <w:p w14:paraId="26E0E91F" w14:textId="77777777" w:rsidR="00604E31" w:rsidRPr="002609F7" w:rsidRDefault="00604E31" w:rsidP="008418A1">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19.55</w:t>
            </w:r>
          </w:p>
        </w:tc>
        <w:tc>
          <w:tcPr>
            <w:tcW w:w="1130" w:type="pct"/>
            <w:hideMark/>
          </w:tcPr>
          <w:p w14:paraId="1D5C145E" w14:textId="77777777" w:rsidR="00604E31" w:rsidRPr="002609F7" w:rsidRDefault="00604E31" w:rsidP="008418A1">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56.08 &lt; µ &lt; 70.32</w:t>
            </w:r>
          </w:p>
        </w:tc>
      </w:tr>
      <w:tr w:rsidR="00604E31" w:rsidRPr="00BF0955" w14:paraId="5C68270E" w14:textId="77777777" w:rsidTr="005B5DBE">
        <w:tc>
          <w:tcPr>
            <w:cnfStyle w:val="001000000000" w:firstRow="0" w:lastRow="0" w:firstColumn="1" w:lastColumn="0" w:oddVBand="0" w:evenVBand="0" w:oddHBand="0" w:evenHBand="0" w:firstRowFirstColumn="0" w:firstRowLastColumn="0" w:lastRowFirstColumn="0" w:lastRowLastColumn="0"/>
            <w:tcW w:w="433" w:type="pct"/>
            <w:hideMark/>
          </w:tcPr>
          <w:p w14:paraId="65773A3F" w14:textId="77777777" w:rsidR="00604E31" w:rsidRPr="00354FCA" w:rsidRDefault="00604E31" w:rsidP="008418A1">
            <w:pPr>
              <w:tabs>
                <w:tab w:val="left" w:pos="2268"/>
              </w:tabs>
              <w:spacing w:before="0" w:after="0" w:line="276" w:lineRule="auto"/>
              <w:jc w:val="center"/>
              <w:rPr>
                <w:rFonts w:ascii="Gill Sans MT" w:hAnsi="Gill Sans MT"/>
                <w:b w:val="0"/>
                <w:sz w:val="18"/>
                <w:szCs w:val="18"/>
              </w:rPr>
            </w:pPr>
            <w:r w:rsidRPr="00354FCA">
              <w:rPr>
                <w:rFonts w:ascii="Gill Sans MT" w:hAnsi="Gill Sans MT"/>
                <w:b w:val="0"/>
                <w:sz w:val="18"/>
                <w:szCs w:val="18"/>
              </w:rPr>
              <w:t>4</w:t>
            </w:r>
          </w:p>
        </w:tc>
        <w:tc>
          <w:tcPr>
            <w:tcW w:w="2390" w:type="pct"/>
            <w:hideMark/>
          </w:tcPr>
          <w:p w14:paraId="2A02759B" w14:textId="77777777" w:rsidR="00604E31" w:rsidRPr="002609F7" w:rsidRDefault="00604E31" w:rsidP="008418A1">
            <w:pPr>
              <w:tabs>
                <w:tab w:val="left" w:pos="226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students show evidence of being very disorganized most of the time</w:t>
            </w:r>
          </w:p>
        </w:tc>
        <w:tc>
          <w:tcPr>
            <w:tcW w:w="563" w:type="pct"/>
            <w:hideMark/>
          </w:tcPr>
          <w:p w14:paraId="3B66724E" w14:textId="77777777" w:rsidR="00604E31" w:rsidRPr="002609F7" w:rsidRDefault="00604E31" w:rsidP="008418A1">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bCs/>
                <w:sz w:val="18"/>
                <w:szCs w:val="18"/>
              </w:rPr>
              <w:t>57.2</w:t>
            </w:r>
          </w:p>
        </w:tc>
        <w:tc>
          <w:tcPr>
            <w:tcW w:w="484" w:type="pct"/>
            <w:hideMark/>
          </w:tcPr>
          <w:p w14:paraId="643C009C" w14:textId="77777777" w:rsidR="00604E31" w:rsidRPr="002609F7" w:rsidRDefault="00604E31" w:rsidP="008418A1">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20.35</w:t>
            </w:r>
          </w:p>
        </w:tc>
        <w:tc>
          <w:tcPr>
            <w:tcW w:w="1130" w:type="pct"/>
            <w:hideMark/>
          </w:tcPr>
          <w:p w14:paraId="6CF05E8D" w14:textId="77777777" w:rsidR="00604E31" w:rsidRPr="002609F7" w:rsidRDefault="00604E31" w:rsidP="008418A1">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49.79 &lt; µ &lt; 64.61</w:t>
            </w:r>
          </w:p>
        </w:tc>
      </w:tr>
      <w:tr w:rsidR="00604E31" w:rsidRPr="00BF0955" w14:paraId="790D9211" w14:textId="77777777" w:rsidTr="005B5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 w:type="pct"/>
            <w:hideMark/>
          </w:tcPr>
          <w:p w14:paraId="22AF2A37" w14:textId="77777777" w:rsidR="00604E31" w:rsidRPr="00354FCA" w:rsidRDefault="00604E31" w:rsidP="008418A1">
            <w:pPr>
              <w:tabs>
                <w:tab w:val="left" w:pos="2268"/>
              </w:tabs>
              <w:spacing w:before="0" w:after="0" w:line="276" w:lineRule="auto"/>
              <w:jc w:val="center"/>
              <w:rPr>
                <w:rFonts w:ascii="Gill Sans MT" w:hAnsi="Gill Sans MT"/>
                <w:b w:val="0"/>
                <w:sz w:val="18"/>
                <w:szCs w:val="18"/>
              </w:rPr>
            </w:pPr>
            <w:r w:rsidRPr="00354FCA">
              <w:rPr>
                <w:rFonts w:ascii="Gill Sans MT" w:hAnsi="Gill Sans MT"/>
                <w:b w:val="0"/>
                <w:sz w:val="18"/>
                <w:szCs w:val="18"/>
              </w:rPr>
              <w:t>12</w:t>
            </w:r>
          </w:p>
        </w:tc>
        <w:tc>
          <w:tcPr>
            <w:tcW w:w="2390" w:type="pct"/>
            <w:hideMark/>
          </w:tcPr>
          <w:p w14:paraId="34F34990" w14:textId="77777777" w:rsidR="00604E31" w:rsidRPr="002609F7" w:rsidRDefault="00604E31" w:rsidP="008418A1">
            <w:pPr>
              <w:tabs>
                <w:tab w:val="left" w:pos="2268"/>
              </w:tabs>
              <w:spacing w:before="0" w:after="0"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when scoping out projects or planning their work, students express a preference for looking at the 'big picture' rather than focusing on details</w:t>
            </w:r>
          </w:p>
        </w:tc>
        <w:tc>
          <w:tcPr>
            <w:tcW w:w="563" w:type="pct"/>
            <w:hideMark/>
          </w:tcPr>
          <w:p w14:paraId="7459DB06" w14:textId="77777777" w:rsidR="00604E31" w:rsidRPr="002609F7" w:rsidRDefault="00604E31" w:rsidP="008418A1">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bCs/>
                <w:sz w:val="18"/>
                <w:szCs w:val="18"/>
              </w:rPr>
              <w:t>57.1</w:t>
            </w:r>
          </w:p>
        </w:tc>
        <w:tc>
          <w:tcPr>
            <w:tcW w:w="484" w:type="pct"/>
            <w:hideMark/>
          </w:tcPr>
          <w:p w14:paraId="36345A7C" w14:textId="77777777" w:rsidR="00604E31" w:rsidRPr="002609F7" w:rsidRDefault="00604E31" w:rsidP="008418A1">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18.00</w:t>
            </w:r>
          </w:p>
        </w:tc>
        <w:tc>
          <w:tcPr>
            <w:tcW w:w="1130" w:type="pct"/>
            <w:hideMark/>
          </w:tcPr>
          <w:p w14:paraId="118010B4" w14:textId="77777777" w:rsidR="00604E31" w:rsidRPr="002609F7" w:rsidRDefault="00604E31" w:rsidP="008418A1">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50.58 &lt; µ &lt; 63.69</w:t>
            </w:r>
          </w:p>
        </w:tc>
      </w:tr>
      <w:tr w:rsidR="00604E31" w:rsidRPr="00BF0955" w14:paraId="517FDD28" w14:textId="77777777" w:rsidTr="005B5DBE">
        <w:tc>
          <w:tcPr>
            <w:cnfStyle w:val="001000000000" w:firstRow="0" w:lastRow="0" w:firstColumn="1" w:lastColumn="0" w:oddVBand="0" w:evenVBand="0" w:oddHBand="0" w:evenHBand="0" w:firstRowFirstColumn="0" w:firstRowLastColumn="0" w:lastRowFirstColumn="0" w:lastRowLastColumn="0"/>
            <w:tcW w:w="433" w:type="pct"/>
            <w:hideMark/>
          </w:tcPr>
          <w:p w14:paraId="18A99DB9" w14:textId="77777777" w:rsidR="00604E31" w:rsidRPr="00354FCA" w:rsidRDefault="00604E31" w:rsidP="008418A1">
            <w:pPr>
              <w:tabs>
                <w:tab w:val="left" w:pos="2268"/>
              </w:tabs>
              <w:spacing w:before="0" w:after="0" w:line="276" w:lineRule="auto"/>
              <w:jc w:val="center"/>
              <w:rPr>
                <w:rFonts w:ascii="Gill Sans MT" w:hAnsi="Gill Sans MT"/>
                <w:b w:val="0"/>
                <w:sz w:val="18"/>
                <w:szCs w:val="18"/>
              </w:rPr>
            </w:pPr>
            <w:r w:rsidRPr="00354FCA">
              <w:rPr>
                <w:rFonts w:ascii="Gill Sans MT" w:hAnsi="Gill Sans MT"/>
                <w:b w:val="0"/>
                <w:sz w:val="18"/>
                <w:szCs w:val="18"/>
              </w:rPr>
              <w:t>9</w:t>
            </w:r>
          </w:p>
        </w:tc>
        <w:tc>
          <w:tcPr>
            <w:tcW w:w="2390" w:type="pct"/>
            <w:hideMark/>
          </w:tcPr>
          <w:p w14:paraId="3E148C50" w14:textId="77777777" w:rsidR="00604E31" w:rsidRPr="002609F7" w:rsidRDefault="00604E31" w:rsidP="008418A1">
            <w:pPr>
              <w:tabs>
                <w:tab w:val="left" w:pos="226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students show evidence of a preference for mindmaps or diagrams rather than making lists or bullet points when planning their work</w:t>
            </w:r>
          </w:p>
        </w:tc>
        <w:tc>
          <w:tcPr>
            <w:tcW w:w="563" w:type="pct"/>
            <w:hideMark/>
          </w:tcPr>
          <w:p w14:paraId="3557A531" w14:textId="77777777" w:rsidR="00604E31" w:rsidRPr="002609F7" w:rsidRDefault="00604E31" w:rsidP="008418A1">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bCs/>
                <w:sz w:val="18"/>
                <w:szCs w:val="18"/>
              </w:rPr>
              <w:t>56.7</w:t>
            </w:r>
          </w:p>
        </w:tc>
        <w:tc>
          <w:tcPr>
            <w:tcW w:w="484" w:type="pct"/>
            <w:hideMark/>
          </w:tcPr>
          <w:p w14:paraId="7E691141" w14:textId="77777777" w:rsidR="00604E31" w:rsidRPr="002609F7" w:rsidRDefault="00604E31" w:rsidP="008418A1">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17.44</w:t>
            </w:r>
          </w:p>
        </w:tc>
        <w:tc>
          <w:tcPr>
            <w:tcW w:w="1130" w:type="pct"/>
            <w:hideMark/>
          </w:tcPr>
          <w:p w14:paraId="1FC7DD42" w14:textId="77777777" w:rsidR="00604E31" w:rsidRPr="002609F7" w:rsidRDefault="00604E31" w:rsidP="008418A1">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50.32 &lt; µ &lt; 63.01</w:t>
            </w:r>
          </w:p>
        </w:tc>
      </w:tr>
      <w:tr w:rsidR="00604E31" w:rsidRPr="00BF0955" w14:paraId="6FD3A512" w14:textId="77777777" w:rsidTr="005B5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 w:type="pct"/>
            <w:hideMark/>
          </w:tcPr>
          <w:p w14:paraId="31541981" w14:textId="77777777" w:rsidR="00604E31" w:rsidRPr="00354FCA" w:rsidRDefault="00604E31" w:rsidP="008418A1">
            <w:pPr>
              <w:tabs>
                <w:tab w:val="left" w:pos="2268"/>
              </w:tabs>
              <w:spacing w:before="0" w:after="0" w:line="276" w:lineRule="auto"/>
              <w:jc w:val="center"/>
              <w:rPr>
                <w:rFonts w:ascii="Gill Sans MT" w:hAnsi="Gill Sans MT"/>
                <w:b w:val="0"/>
                <w:sz w:val="18"/>
                <w:szCs w:val="18"/>
              </w:rPr>
            </w:pPr>
            <w:r w:rsidRPr="00354FCA">
              <w:rPr>
                <w:rFonts w:ascii="Gill Sans MT" w:hAnsi="Gill Sans MT"/>
                <w:b w:val="0"/>
                <w:sz w:val="18"/>
                <w:szCs w:val="18"/>
              </w:rPr>
              <w:t>1</w:t>
            </w:r>
          </w:p>
        </w:tc>
        <w:tc>
          <w:tcPr>
            <w:tcW w:w="2390" w:type="pct"/>
            <w:hideMark/>
          </w:tcPr>
          <w:p w14:paraId="026338C4" w14:textId="77777777" w:rsidR="00604E31" w:rsidRPr="002609F7" w:rsidRDefault="00604E31" w:rsidP="008418A1">
            <w:pPr>
              <w:tabs>
                <w:tab w:val="left" w:pos="2268"/>
              </w:tabs>
              <w:spacing w:before="0" w:after="0"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students' spelling is generally poor</w:t>
            </w:r>
          </w:p>
        </w:tc>
        <w:tc>
          <w:tcPr>
            <w:tcW w:w="563" w:type="pct"/>
            <w:hideMark/>
          </w:tcPr>
          <w:p w14:paraId="338574F2" w14:textId="77777777" w:rsidR="00604E31" w:rsidRPr="002609F7" w:rsidRDefault="00604E31" w:rsidP="008418A1">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bCs/>
                <w:sz w:val="18"/>
                <w:szCs w:val="18"/>
              </w:rPr>
              <w:t>52.9</w:t>
            </w:r>
          </w:p>
        </w:tc>
        <w:tc>
          <w:tcPr>
            <w:tcW w:w="484" w:type="pct"/>
            <w:hideMark/>
          </w:tcPr>
          <w:p w14:paraId="21E4352B" w14:textId="77777777" w:rsidR="00604E31" w:rsidRPr="002609F7" w:rsidRDefault="00604E31" w:rsidP="008418A1">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21.02</w:t>
            </w:r>
          </w:p>
        </w:tc>
        <w:tc>
          <w:tcPr>
            <w:tcW w:w="1130" w:type="pct"/>
            <w:hideMark/>
          </w:tcPr>
          <w:p w14:paraId="4AD88784" w14:textId="77777777" w:rsidR="00604E31" w:rsidRPr="002609F7" w:rsidRDefault="00604E31" w:rsidP="008418A1">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45.22 &lt; µ &lt; 60.52</w:t>
            </w:r>
          </w:p>
        </w:tc>
      </w:tr>
      <w:tr w:rsidR="00604E31" w:rsidRPr="00BF0955" w14:paraId="7B32132E" w14:textId="77777777" w:rsidTr="005B5DBE">
        <w:tc>
          <w:tcPr>
            <w:cnfStyle w:val="001000000000" w:firstRow="0" w:lastRow="0" w:firstColumn="1" w:lastColumn="0" w:oddVBand="0" w:evenVBand="0" w:oddHBand="0" w:evenHBand="0" w:firstRowFirstColumn="0" w:firstRowLastColumn="0" w:lastRowFirstColumn="0" w:lastRowLastColumn="0"/>
            <w:tcW w:w="433" w:type="pct"/>
            <w:hideMark/>
          </w:tcPr>
          <w:p w14:paraId="2570A6BE" w14:textId="77777777" w:rsidR="00604E31" w:rsidRPr="00354FCA" w:rsidRDefault="00604E31" w:rsidP="008418A1">
            <w:pPr>
              <w:tabs>
                <w:tab w:val="left" w:pos="2268"/>
              </w:tabs>
              <w:spacing w:before="0" w:after="0" w:line="276" w:lineRule="auto"/>
              <w:jc w:val="center"/>
              <w:rPr>
                <w:rFonts w:ascii="Gill Sans MT" w:hAnsi="Gill Sans MT"/>
                <w:b w:val="0"/>
                <w:sz w:val="18"/>
                <w:szCs w:val="18"/>
              </w:rPr>
            </w:pPr>
            <w:r w:rsidRPr="00354FCA">
              <w:rPr>
                <w:rFonts w:ascii="Gill Sans MT" w:hAnsi="Gill Sans MT"/>
                <w:b w:val="0"/>
                <w:sz w:val="18"/>
                <w:szCs w:val="18"/>
              </w:rPr>
              <w:t>11</w:t>
            </w:r>
          </w:p>
        </w:tc>
        <w:tc>
          <w:tcPr>
            <w:tcW w:w="2390" w:type="pct"/>
            <w:hideMark/>
          </w:tcPr>
          <w:p w14:paraId="6DB97C98" w14:textId="77777777" w:rsidR="00604E31" w:rsidRPr="002609F7" w:rsidRDefault="00604E31" w:rsidP="008418A1">
            <w:pPr>
              <w:tabs>
                <w:tab w:val="left" w:pos="226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student</w:t>
            </w:r>
            <w:r>
              <w:rPr>
                <w:rFonts w:ascii="Gill Sans MT" w:hAnsi="Gill Sans MT"/>
                <w:sz w:val="18"/>
                <w:szCs w:val="18"/>
              </w:rPr>
              <w:t>s</w:t>
            </w:r>
            <w:r w:rsidRPr="002609F7">
              <w:rPr>
                <w:rFonts w:ascii="Gill Sans MT" w:hAnsi="Gill Sans MT"/>
                <w:sz w:val="18"/>
                <w:szCs w:val="18"/>
              </w:rPr>
              <w:t xml:space="preserve"> say that they find following directions to get to places challenging or confusing</w:t>
            </w:r>
          </w:p>
        </w:tc>
        <w:tc>
          <w:tcPr>
            <w:tcW w:w="563" w:type="pct"/>
            <w:hideMark/>
          </w:tcPr>
          <w:p w14:paraId="7FEDCE8C" w14:textId="77777777" w:rsidR="00604E31" w:rsidRPr="002609F7" w:rsidRDefault="00604E31" w:rsidP="008418A1">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bCs/>
                <w:sz w:val="18"/>
                <w:szCs w:val="18"/>
              </w:rPr>
              <w:t>52.3</w:t>
            </w:r>
          </w:p>
        </w:tc>
        <w:tc>
          <w:tcPr>
            <w:tcW w:w="484" w:type="pct"/>
            <w:hideMark/>
          </w:tcPr>
          <w:p w14:paraId="6119D076" w14:textId="77777777" w:rsidR="00604E31" w:rsidRPr="002609F7" w:rsidRDefault="00604E31" w:rsidP="008418A1">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20.74</w:t>
            </w:r>
          </w:p>
        </w:tc>
        <w:tc>
          <w:tcPr>
            <w:tcW w:w="1130" w:type="pct"/>
            <w:hideMark/>
          </w:tcPr>
          <w:p w14:paraId="365F2598" w14:textId="77777777" w:rsidR="00604E31" w:rsidRPr="002609F7" w:rsidRDefault="00604E31" w:rsidP="008418A1">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44.78 &lt; µ &lt; 59.88</w:t>
            </w:r>
          </w:p>
        </w:tc>
      </w:tr>
      <w:tr w:rsidR="00604E31" w:rsidRPr="00BF0955" w14:paraId="75061565" w14:textId="77777777" w:rsidTr="005B5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 w:type="pct"/>
            <w:hideMark/>
          </w:tcPr>
          <w:p w14:paraId="4B16B92E" w14:textId="77777777" w:rsidR="00604E31" w:rsidRPr="00354FCA" w:rsidRDefault="00604E31" w:rsidP="008418A1">
            <w:pPr>
              <w:tabs>
                <w:tab w:val="left" w:pos="2268"/>
              </w:tabs>
              <w:spacing w:before="0" w:after="0" w:line="276" w:lineRule="auto"/>
              <w:jc w:val="center"/>
              <w:rPr>
                <w:rFonts w:ascii="Gill Sans MT" w:hAnsi="Gill Sans MT"/>
                <w:b w:val="0"/>
                <w:sz w:val="18"/>
                <w:szCs w:val="18"/>
              </w:rPr>
            </w:pPr>
            <w:r w:rsidRPr="00354FCA">
              <w:rPr>
                <w:rFonts w:ascii="Gill Sans MT" w:hAnsi="Gill Sans MT"/>
                <w:b w:val="0"/>
                <w:sz w:val="18"/>
                <w:szCs w:val="18"/>
              </w:rPr>
              <w:t>14</w:t>
            </w:r>
          </w:p>
        </w:tc>
        <w:tc>
          <w:tcPr>
            <w:tcW w:w="2390" w:type="pct"/>
            <w:hideMark/>
          </w:tcPr>
          <w:p w14:paraId="41CB0216" w14:textId="77777777" w:rsidR="00604E31" w:rsidRPr="002609F7" w:rsidRDefault="00604E31" w:rsidP="008418A1">
            <w:pPr>
              <w:tabs>
                <w:tab w:val="left" w:pos="2268"/>
              </w:tabs>
              <w:spacing w:before="0" w:after="0"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students report difficulties making sense of lists of instructions</w:t>
            </w:r>
          </w:p>
        </w:tc>
        <w:tc>
          <w:tcPr>
            <w:tcW w:w="563" w:type="pct"/>
            <w:hideMark/>
          </w:tcPr>
          <w:p w14:paraId="241BE0CF" w14:textId="77777777" w:rsidR="00604E31" w:rsidRPr="002609F7" w:rsidRDefault="00604E31" w:rsidP="008418A1">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bCs/>
                <w:sz w:val="18"/>
                <w:szCs w:val="18"/>
              </w:rPr>
              <w:t>52.0</w:t>
            </w:r>
          </w:p>
        </w:tc>
        <w:tc>
          <w:tcPr>
            <w:tcW w:w="484" w:type="pct"/>
            <w:hideMark/>
          </w:tcPr>
          <w:p w14:paraId="5C8C1E5E" w14:textId="77777777" w:rsidR="00604E31" w:rsidRPr="002609F7" w:rsidRDefault="00604E31" w:rsidP="008418A1">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22.13</w:t>
            </w:r>
          </w:p>
        </w:tc>
        <w:tc>
          <w:tcPr>
            <w:tcW w:w="1130" w:type="pct"/>
            <w:hideMark/>
          </w:tcPr>
          <w:p w14:paraId="0675ECB2" w14:textId="77777777" w:rsidR="00604E31" w:rsidRPr="002609F7" w:rsidRDefault="00604E31" w:rsidP="008418A1">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43.98 &lt; µ &lt; 60.09</w:t>
            </w:r>
          </w:p>
        </w:tc>
      </w:tr>
      <w:tr w:rsidR="00604E31" w:rsidRPr="00BF0955" w14:paraId="19B179DD" w14:textId="77777777" w:rsidTr="005B5DBE">
        <w:tc>
          <w:tcPr>
            <w:cnfStyle w:val="001000000000" w:firstRow="0" w:lastRow="0" w:firstColumn="1" w:lastColumn="0" w:oddVBand="0" w:evenVBand="0" w:oddHBand="0" w:evenHBand="0" w:firstRowFirstColumn="0" w:firstRowLastColumn="0" w:lastRowFirstColumn="0" w:lastRowLastColumn="0"/>
            <w:tcW w:w="433" w:type="pct"/>
            <w:hideMark/>
          </w:tcPr>
          <w:p w14:paraId="056FAE65" w14:textId="77777777" w:rsidR="00604E31" w:rsidRPr="00354FCA" w:rsidRDefault="00604E31" w:rsidP="008418A1">
            <w:pPr>
              <w:tabs>
                <w:tab w:val="left" w:pos="2268"/>
              </w:tabs>
              <w:spacing w:before="0" w:after="0" w:line="276" w:lineRule="auto"/>
              <w:jc w:val="center"/>
              <w:rPr>
                <w:rFonts w:ascii="Gill Sans MT" w:hAnsi="Gill Sans MT"/>
                <w:b w:val="0"/>
                <w:sz w:val="18"/>
                <w:szCs w:val="18"/>
              </w:rPr>
            </w:pPr>
            <w:r w:rsidRPr="00354FCA">
              <w:rPr>
                <w:rFonts w:ascii="Gill Sans MT" w:hAnsi="Gill Sans MT"/>
                <w:b w:val="0"/>
                <w:sz w:val="18"/>
                <w:szCs w:val="18"/>
              </w:rPr>
              <w:t>15</w:t>
            </w:r>
          </w:p>
        </w:tc>
        <w:tc>
          <w:tcPr>
            <w:tcW w:w="2390" w:type="pct"/>
            <w:hideMark/>
          </w:tcPr>
          <w:p w14:paraId="2881FEFB" w14:textId="77777777" w:rsidR="00604E31" w:rsidRPr="002609F7" w:rsidRDefault="00604E31" w:rsidP="008418A1">
            <w:pPr>
              <w:tabs>
                <w:tab w:val="left" w:pos="226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students report regularly getting their 'lefts' and 'rights' mixed up</w:t>
            </w:r>
          </w:p>
        </w:tc>
        <w:tc>
          <w:tcPr>
            <w:tcW w:w="563" w:type="pct"/>
            <w:hideMark/>
          </w:tcPr>
          <w:p w14:paraId="1E1FB60F" w14:textId="77777777" w:rsidR="00604E31" w:rsidRPr="002609F7" w:rsidRDefault="00604E31" w:rsidP="008418A1">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bCs/>
                <w:sz w:val="18"/>
                <w:szCs w:val="18"/>
              </w:rPr>
              <w:t>51.7</w:t>
            </w:r>
          </w:p>
        </w:tc>
        <w:tc>
          <w:tcPr>
            <w:tcW w:w="484" w:type="pct"/>
            <w:hideMark/>
          </w:tcPr>
          <w:p w14:paraId="41980CE1" w14:textId="77777777" w:rsidR="00604E31" w:rsidRPr="002609F7" w:rsidRDefault="00604E31" w:rsidP="008418A1">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18.89</w:t>
            </w:r>
          </w:p>
        </w:tc>
        <w:tc>
          <w:tcPr>
            <w:tcW w:w="1130" w:type="pct"/>
            <w:hideMark/>
          </w:tcPr>
          <w:p w14:paraId="0132ECC2" w14:textId="77777777" w:rsidR="00604E31" w:rsidRPr="002609F7" w:rsidRDefault="00604E31" w:rsidP="008418A1">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44.83 &lt; µ &lt; 58.57</w:t>
            </w:r>
          </w:p>
        </w:tc>
      </w:tr>
      <w:tr w:rsidR="00604E31" w:rsidRPr="00BF0955" w14:paraId="29D933C9" w14:textId="77777777" w:rsidTr="005B5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 w:type="pct"/>
            <w:hideMark/>
          </w:tcPr>
          <w:p w14:paraId="489CCD48" w14:textId="77777777" w:rsidR="00604E31" w:rsidRPr="00354FCA" w:rsidRDefault="00604E31" w:rsidP="008418A1">
            <w:pPr>
              <w:tabs>
                <w:tab w:val="left" w:pos="2268"/>
              </w:tabs>
              <w:spacing w:before="0" w:after="0" w:line="276" w:lineRule="auto"/>
              <w:jc w:val="center"/>
              <w:rPr>
                <w:rFonts w:ascii="Gill Sans MT" w:hAnsi="Gill Sans MT"/>
                <w:b w:val="0"/>
                <w:sz w:val="18"/>
                <w:szCs w:val="18"/>
              </w:rPr>
            </w:pPr>
            <w:r w:rsidRPr="00354FCA">
              <w:rPr>
                <w:rFonts w:ascii="Gill Sans MT" w:hAnsi="Gill Sans MT"/>
                <w:b w:val="0"/>
                <w:sz w:val="18"/>
                <w:szCs w:val="18"/>
              </w:rPr>
              <w:t>5</w:t>
            </w:r>
          </w:p>
        </w:tc>
        <w:tc>
          <w:tcPr>
            <w:tcW w:w="2390" w:type="pct"/>
            <w:hideMark/>
          </w:tcPr>
          <w:p w14:paraId="427C18C3" w14:textId="77777777" w:rsidR="00604E31" w:rsidRPr="002609F7" w:rsidRDefault="00604E31" w:rsidP="008418A1">
            <w:pPr>
              <w:tabs>
                <w:tab w:val="left" w:pos="2268"/>
              </w:tabs>
              <w:spacing w:before="0" w:after="0"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in their writing, students say that they often use the wrong word for their intended meaning</w:t>
            </w:r>
          </w:p>
        </w:tc>
        <w:tc>
          <w:tcPr>
            <w:tcW w:w="563" w:type="pct"/>
            <w:hideMark/>
          </w:tcPr>
          <w:p w14:paraId="2DCECBA8" w14:textId="77777777" w:rsidR="00604E31" w:rsidRPr="002609F7" w:rsidRDefault="00604E31" w:rsidP="008418A1">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bCs/>
                <w:sz w:val="18"/>
                <w:szCs w:val="18"/>
              </w:rPr>
              <w:t>47.8</w:t>
            </w:r>
          </w:p>
        </w:tc>
        <w:tc>
          <w:tcPr>
            <w:tcW w:w="484" w:type="pct"/>
            <w:hideMark/>
          </w:tcPr>
          <w:p w14:paraId="7167A533" w14:textId="77777777" w:rsidR="00604E31" w:rsidRPr="002609F7" w:rsidRDefault="00604E31" w:rsidP="008418A1">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20.06</w:t>
            </w:r>
          </w:p>
        </w:tc>
        <w:tc>
          <w:tcPr>
            <w:tcW w:w="1130" w:type="pct"/>
            <w:hideMark/>
          </w:tcPr>
          <w:p w14:paraId="30398612" w14:textId="77777777" w:rsidR="00604E31" w:rsidRPr="002609F7" w:rsidRDefault="00604E31" w:rsidP="008418A1">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40.46 &lt; µ &lt; 55.07</w:t>
            </w:r>
          </w:p>
        </w:tc>
      </w:tr>
      <w:tr w:rsidR="00604E31" w:rsidRPr="00BF0955" w14:paraId="12BB7E47" w14:textId="77777777" w:rsidTr="005B5DBE">
        <w:tc>
          <w:tcPr>
            <w:cnfStyle w:val="001000000000" w:firstRow="0" w:lastRow="0" w:firstColumn="1" w:lastColumn="0" w:oddVBand="0" w:evenVBand="0" w:oddHBand="0" w:evenHBand="0" w:firstRowFirstColumn="0" w:firstRowLastColumn="0" w:lastRowFirstColumn="0" w:lastRowLastColumn="0"/>
            <w:tcW w:w="433" w:type="pct"/>
          </w:tcPr>
          <w:p w14:paraId="0CA4784B" w14:textId="77777777" w:rsidR="00604E31" w:rsidRPr="00354FCA" w:rsidRDefault="00604E31" w:rsidP="008418A1">
            <w:pPr>
              <w:tabs>
                <w:tab w:val="left" w:pos="2268"/>
              </w:tabs>
              <w:spacing w:before="0" w:after="0" w:line="276" w:lineRule="auto"/>
              <w:jc w:val="center"/>
              <w:rPr>
                <w:rFonts w:ascii="Gill Sans MT" w:hAnsi="Gill Sans MT"/>
                <w:b w:val="0"/>
                <w:sz w:val="18"/>
                <w:szCs w:val="18"/>
              </w:rPr>
            </w:pPr>
            <w:r w:rsidRPr="00354FCA">
              <w:rPr>
                <w:rFonts w:ascii="Gill Sans MT" w:hAnsi="Gill Sans MT"/>
                <w:b w:val="0"/>
                <w:sz w:val="18"/>
                <w:szCs w:val="18"/>
              </w:rPr>
              <w:t>6</w:t>
            </w:r>
          </w:p>
        </w:tc>
        <w:tc>
          <w:tcPr>
            <w:tcW w:w="2390" w:type="pct"/>
          </w:tcPr>
          <w:p w14:paraId="1CA799A8" w14:textId="77777777" w:rsidR="00604E31" w:rsidRPr="002609F7" w:rsidRDefault="00604E31" w:rsidP="008418A1">
            <w:pPr>
              <w:tabs>
                <w:tab w:val="left" w:pos="226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students seldom remember appointments and/or rarely arrive on time for them</w:t>
            </w:r>
          </w:p>
        </w:tc>
        <w:tc>
          <w:tcPr>
            <w:tcW w:w="563" w:type="pct"/>
          </w:tcPr>
          <w:p w14:paraId="64BE95A6" w14:textId="77777777" w:rsidR="00604E31" w:rsidRPr="002609F7" w:rsidRDefault="00604E31" w:rsidP="008418A1">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bCs/>
                <w:sz w:val="18"/>
                <w:szCs w:val="18"/>
              </w:rPr>
            </w:pPr>
            <w:r>
              <w:rPr>
                <w:rFonts w:ascii="Gill Sans MT" w:hAnsi="Gill Sans MT"/>
                <w:bCs/>
                <w:sz w:val="18"/>
                <w:szCs w:val="18"/>
              </w:rPr>
              <w:t>35.7</w:t>
            </w:r>
          </w:p>
        </w:tc>
        <w:tc>
          <w:tcPr>
            <w:tcW w:w="484" w:type="pct"/>
          </w:tcPr>
          <w:p w14:paraId="7E7FF66A" w14:textId="77777777" w:rsidR="00604E31" w:rsidRPr="002609F7" w:rsidRDefault="00604E31" w:rsidP="008418A1">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19.95</w:t>
            </w:r>
          </w:p>
        </w:tc>
        <w:tc>
          <w:tcPr>
            <w:tcW w:w="1130" w:type="pct"/>
          </w:tcPr>
          <w:p w14:paraId="0E1D3D0B" w14:textId="77777777" w:rsidR="00604E31" w:rsidRPr="002609F7" w:rsidRDefault="00604E31" w:rsidP="008418A1">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28.41 &lt; µ &lt; 42.93</w:t>
            </w:r>
          </w:p>
        </w:tc>
      </w:tr>
    </w:tbl>
    <w:p w14:paraId="3DE834DF" w14:textId="77777777" w:rsidR="00604E31" w:rsidRDefault="00604E31" w:rsidP="00604E31">
      <w:pPr>
        <w:tabs>
          <w:tab w:val="left" w:pos="2268"/>
        </w:tabs>
        <w:spacing w:before="0" w:after="160" w:line="259" w:lineRule="auto"/>
      </w:pPr>
    </w:p>
    <w:p w14:paraId="10412901" w14:textId="72454683" w:rsidR="00604E31" w:rsidRDefault="00604E31" w:rsidP="00720890">
      <w:pPr>
        <w:pStyle w:val="Tables"/>
      </w:pPr>
      <w:bookmarkStart w:id="154" w:name="_Toc57033182"/>
      <w:r>
        <w:t xml:space="preserve">Table </w:t>
      </w:r>
      <w:r w:rsidR="00D33D1F">
        <w:t>3</w:t>
      </w:r>
      <w:r>
        <w:t>:</w:t>
      </w:r>
      <w:r w:rsidR="00720890">
        <w:tab/>
      </w:r>
      <w:r>
        <w:t>Mean prevalence of dyslexia dimensions</w:t>
      </w:r>
      <w:bookmarkEnd w:id="154"/>
    </w:p>
    <w:p w14:paraId="2ECEC49C" w14:textId="77777777" w:rsidR="00604E31" w:rsidRDefault="00604E31" w:rsidP="00604E31">
      <w:pPr>
        <w:tabs>
          <w:tab w:val="left" w:pos="2268"/>
        </w:tabs>
      </w:pPr>
      <w:r>
        <w:t>24 participants reported additional attributes encountered in their work with dyslexic students, and where these were provided, most also included % prevalence:</w:t>
      </w:r>
    </w:p>
    <w:p w14:paraId="4D5965D2" w14:textId="77777777" w:rsidR="00604E31" w:rsidRPr="00863A3A" w:rsidRDefault="00604E31" w:rsidP="00604E31">
      <w:pPr>
        <w:pStyle w:val="ListParagraph"/>
        <w:numPr>
          <w:ilvl w:val="0"/>
          <w:numId w:val="20"/>
        </w:numPr>
        <w:tabs>
          <w:tab w:val="left" w:pos="2268"/>
        </w:tabs>
        <w:spacing w:line="360" w:lineRule="auto"/>
        <w:rPr>
          <w:rFonts w:ascii="Gill Sans MT" w:hAnsi="Gill Sans MT"/>
        </w:rPr>
      </w:pPr>
      <w:r w:rsidRPr="00863A3A">
        <w:rPr>
          <w:rFonts w:ascii="Gill Sans MT" w:hAnsi="Gill Sans MT"/>
        </w:rPr>
        <w:lastRenderedPageBreak/>
        <w:t xml:space="preserve">poor confidence in performing routine tasks [reported by 4 </w:t>
      </w:r>
      <w:r>
        <w:rPr>
          <w:rFonts w:ascii="Gill Sans MT" w:hAnsi="Gill Sans MT"/>
        </w:rPr>
        <w:t>participant</w:t>
      </w:r>
      <w:r w:rsidRPr="00863A3A">
        <w:rPr>
          <w:rFonts w:ascii="Gill Sans MT" w:hAnsi="Gill Sans MT"/>
        </w:rPr>
        <w:t>s with prevalence respectively: 90%; 85%; 80%; % not reported (n/r)]</w:t>
      </w:r>
    </w:p>
    <w:p w14:paraId="79A3F843" w14:textId="77777777" w:rsidR="00604E31" w:rsidRPr="00863A3A" w:rsidRDefault="00604E31" w:rsidP="00604E31">
      <w:pPr>
        <w:pStyle w:val="ListParagraph"/>
        <w:numPr>
          <w:ilvl w:val="0"/>
          <w:numId w:val="20"/>
        </w:numPr>
        <w:tabs>
          <w:tab w:val="left" w:pos="2268"/>
        </w:tabs>
        <w:spacing w:line="360" w:lineRule="auto"/>
        <w:rPr>
          <w:rFonts w:ascii="Gill Sans MT" w:hAnsi="Gill Sans MT"/>
        </w:rPr>
      </w:pPr>
      <w:r w:rsidRPr="00863A3A">
        <w:rPr>
          <w:rFonts w:ascii="Gill Sans MT" w:hAnsi="Gill Sans MT"/>
        </w:rPr>
        <w:t>slow reading [100%; 80%; n/r]</w:t>
      </w:r>
    </w:p>
    <w:p w14:paraId="22780D6A" w14:textId="77777777" w:rsidR="00604E31" w:rsidRPr="00863A3A" w:rsidRDefault="00604E31" w:rsidP="00604E31">
      <w:pPr>
        <w:pStyle w:val="ListParagraph"/>
        <w:numPr>
          <w:ilvl w:val="0"/>
          <w:numId w:val="20"/>
        </w:numPr>
        <w:tabs>
          <w:tab w:val="left" w:pos="2268"/>
        </w:tabs>
        <w:spacing w:line="360" w:lineRule="auto"/>
        <w:rPr>
          <w:rFonts w:ascii="Gill Sans MT" w:hAnsi="Gill Sans MT"/>
        </w:rPr>
      </w:pPr>
      <w:r w:rsidRPr="00863A3A">
        <w:rPr>
          <w:rFonts w:ascii="Gill Sans MT" w:hAnsi="Gill Sans MT"/>
        </w:rPr>
        <w:t>low self-esteem [85%; 45%]</w:t>
      </w:r>
    </w:p>
    <w:p w14:paraId="72A764B6" w14:textId="77777777" w:rsidR="00604E31" w:rsidRPr="00863A3A" w:rsidRDefault="00604E31" w:rsidP="00604E31">
      <w:pPr>
        <w:pStyle w:val="ListParagraph"/>
        <w:numPr>
          <w:ilvl w:val="0"/>
          <w:numId w:val="20"/>
        </w:numPr>
        <w:tabs>
          <w:tab w:val="left" w:pos="2268"/>
        </w:tabs>
        <w:spacing w:line="360" w:lineRule="auto"/>
        <w:rPr>
          <w:rFonts w:ascii="Gill Sans MT" w:hAnsi="Gill Sans MT"/>
        </w:rPr>
      </w:pPr>
      <w:r w:rsidRPr="00863A3A">
        <w:rPr>
          <w:rFonts w:ascii="Gill Sans MT" w:hAnsi="Gill Sans MT"/>
        </w:rPr>
        <w:t>anxiety related to academic achievement [80%; 60%]</w:t>
      </w:r>
    </w:p>
    <w:p w14:paraId="1ACF85B8" w14:textId="77777777" w:rsidR="00604E31" w:rsidRPr="00863A3A" w:rsidRDefault="00604E31" w:rsidP="00604E31">
      <w:pPr>
        <w:pStyle w:val="ListParagraph"/>
        <w:numPr>
          <w:ilvl w:val="0"/>
          <w:numId w:val="20"/>
        </w:numPr>
        <w:tabs>
          <w:tab w:val="left" w:pos="2268"/>
        </w:tabs>
        <w:spacing w:line="360" w:lineRule="auto"/>
        <w:rPr>
          <w:rFonts w:ascii="Gill Sans MT" w:hAnsi="Gill Sans MT"/>
        </w:rPr>
      </w:pPr>
      <w:r w:rsidRPr="00863A3A">
        <w:rPr>
          <w:rFonts w:ascii="Gill Sans MT" w:hAnsi="Gill Sans MT"/>
        </w:rPr>
        <w:t>pronunciation difficulties / pronunciation of unfamiliar vocabulary [75%; 70%]</w:t>
      </w:r>
    </w:p>
    <w:p w14:paraId="26499107" w14:textId="77777777" w:rsidR="00604E31" w:rsidRPr="00863A3A" w:rsidRDefault="00604E31" w:rsidP="00604E31">
      <w:pPr>
        <w:pStyle w:val="ListParagraph"/>
        <w:numPr>
          <w:ilvl w:val="0"/>
          <w:numId w:val="20"/>
        </w:numPr>
        <w:tabs>
          <w:tab w:val="left" w:pos="2268"/>
        </w:tabs>
        <w:spacing w:line="360" w:lineRule="auto"/>
        <w:rPr>
          <w:rFonts w:ascii="Gill Sans MT" w:hAnsi="Gill Sans MT"/>
        </w:rPr>
      </w:pPr>
      <w:r w:rsidRPr="00863A3A">
        <w:rPr>
          <w:rFonts w:ascii="Gill Sans MT" w:hAnsi="Gill Sans MT"/>
        </w:rPr>
        <w:t>finding the correct word when speaking [75%; 50%]</w:t>
      </w:r>
    </w:p>
    <w:p w14:paraId="6F4D8152" w14:textId="77777777" w:rsidR="00604E31" w:rsidRPr="00863A3A" w:rsidRDefault="00604E31" w:rsidP="00604E31">
      <w:pPr>
        <w:pStyle w:val="ListParagraph"/>
        <w:numPr>
          <w:ilvl w:val="0"/>
          <w:numId w:val="20"/>
        </w:numPr>
        <w:tabs>
          <w:tab w:val="left" w:pos="2268"/>
        </w:tabs>
        <w:spacing w:line="360" w:lineRule="auto"/>
        <w:rPr>
          <w:rFonts w:ascii="Gill Sans MT" w:hAnsi="Gill Sans MT"/>
        </w:rPr>
      </w:pPr>
      <w:r w:rsidRPr="00863A3A">
        <w:rPr>
          <w:rFonts w:ascii="Gill Sans MT" w:hAnsi="Gill Sans MT"/>
        </w:rPr>
        <w:t>difficulties taking notes and absorbing information simultaneously [75%; n/r]</w:t>
      </w:r>
    </w:p>
    <w:p w14:paraId="0B672772" w14:textId="77777777" w:rsidR="00604E31" w:rsidRPr="00863A3A" w:rsidRDefault="00604E31" w:rsidP="00604E31">
      <w:pPr>
        <w:pStyle w:val="ListParagraph"/>
        <w:numPr>
          <w:ilvl w:val="0"/>
          <w:numId w:val="20"/>
        </w:numPr>
        <w:tabs>
          <w:tab w:val="left" w:pos="2268"/>
        </w:tabs>
        <w:spacing w:line="360" w:lineRule="auto"/>
        <w:rPr>
          <w:rFonts w:ascii="Gill Sans MT" w:hAnsi="Gill Sans MT"/>
        </w:rPr>
      </w:pPr>
      <w:r w:rsidRPr="00863A3A">
        <w:rPr>
          <w:rFonts w:ascii="Gill Sans MT" w:hAnsi="Gill Sans MT"/>
        </w:rPr>
        <w:t>getting ideas from 'in my hear' to 'on the paper' [60%; n/r]</w:t>
      </w:r>
    </w:p>
    <w:p w14:paraId="0F60EF3F" w14:textId="77777777" w:rsidR="00604E31" w:rsidRPr="00863A3A" w:rsidRDefault="00604E31" w:rsidP="00604E31">
      <w:pPr>
        <w:pStyle w:val="ListParagraph"/>
        <w:numPr>
          <w:ilvl w:val="0"/>
          <w:numId w:val="20"/>
        </w:numPr>
        <w:tabs>
          <w:tab w:val="left" w:pos="2268"/>
        </w:tabs>
        <w:spacing w:line="360" w:lineRule="auto"/>
        <w:rPr>
          <w:rFonts w:ascii="Gill Sans MT" w:hAnsi="Gill Sans MT"/>
        </w:rPr>
      </w:pPr>
      <w:r w:rsidRPr="00863A3A">
        <w:rPr>
          <w:rFonts w:ascii="Gill Sans MT" w:hAnsi="Gill Sans MT"/>
        </w:rPr>
        <w:t>trouble concentrating when listening [80%]</w:t>
      </w:r>
    </w:p>
    <w:p w14:paraId="14C70B85" w14:textId="77777777" w:rsidR="00604E31" w:rsidRPr="00863A3A" w:rsidRDefault="00604E31" w:rsidP="00604E31">
      <w:pPr>
        <w:pStyle w:val="ListParagraph"/>
        <w:numPr>
          <w:ilvl w:val="0"/>
          <w:numId w:val="20"/>
        </w:numPr>
        <w:tabs>
          <w:tab w:val="left" w:pos="2268"/>
        </w:tabs>
        <w:spacing w:line="360" w:lineRule="auto"/>
        <w:rPr>
          <w:rFonts w:ascii="Gill Sans MT" w:hAnsi="Gill Sans MT"/>
        </w:rPr>
      </w:pPr>
      <w:r w:rsidRPr="00863A3A">
        <w:rPr>
          <w:rFonts w:ascii="Gill Sans MT" w:hAnsi="Gill Sans MT"/>
        </w:rPr>
        <w:t>difficulties proof-reading [80%]</w:t>
      </w:r>
    </w:p>
    <w:p w14:paraId="3311B9AB" w14:textId="77777777" w:rsidR="00604E31" w:rsidRPr="00863A3A" w:rsidRDefault="00604E31" w:rsidP="00604E31">
      <w:pPr>
        <w:pStyle w:val="ListParagraph"/>
        <w:numPr>
          <w:ilvl w:val="0"/>
          <w:numId w:val="20"/>
        </w:numPr>
        <w:tabs>
          <w:tab w:val="left" w:pos="2268"/>
        </w:tabs>
        <w:spacing w:line="360" w:lineRule="auto"/>
        <w:rPr>
          <w:rFonts w:ascii="Gill Sans MT" w:hAnsi="Gill Sans MT"/>
        </w:rPr>
      </w:pPr>
      <w:r w:rsidRPr="00863A3A">
        <w:rPr>
          <w:rFonts w:ascii="Gill Sans MT" w:hAnsi="Gill Sans MT"/>
        </w:rPr>
        <w:t>difficulties ordering thoughts [75%]</w:t>
      </w:r>
    </w:p>
    <w:p w14:paraId="4A0CB27B" w14:textId="77777777" w:rsidR="00604E31" w:rsidRPr="00863A3A" w:rsidRDefault="00604E31" w:rsidP="00604E31">
      <w:pPr>
        <w:pStyle w:val="ListParagraph"/>
        <w:numPr>
          <w:ilvl w:val="0"/>
          <w:numId w:val="20"/>
        </w:numPr>
        <w:tabs>
          <w:tab w:val="left" w:pos="2268"/>
        </w:tabs>
        <w:spacing w:line="360" w:lineRule="auto"/>
        <w:rPr>
          <w:rFonts w:ascii="Gill Sans MT" w:hAnsi="Gill Sans MT"/>
        </w:rPr>
      </w:pPr>
      <w:r w:rsidRPr="00863A3A">
        <w:rPr>
          <w:rFonts w:ascii="Gill Sans MT" w:hAnsi="Gill Sans MT"/>
        </w:rPr>
        <w:t>difficulties remembering what they wanted to say [75%]</w:t>
      </w:r>
    </w:p>
    <w:p w14:paraId="6427FEF5" w14:textId="77777777" w:rsidR="00604E31" w:rsidRPr="00863A3A" w:rsidRDefault="00604E31" w:rsidP="00604E31">
      <w:pPr>
        <w:pStyle w:val="ListParagraph"/>
        <w:numPr>
          <w:ilvl w:val="0"/>
          <w:numId w:val="20"/>
        </w:numPr>
        <w:tabs>
          <w:tab w:val="left" w:pos="2268"/>
        </w:tabs>
        <w:spacing w:line="360" w:lineRule="auto"/>
        <w:rPr>
          <w:rFonts w:ascii="Gill Sans MT" w:hAnsi="Gill Sans MT"/>
        </w:rPr>
      </w:pPr>
      <w:r w:rsidRPr="00863A3A">
        <w:rPr>
          <w:rFonts w:ascii="Gill Sans MT" w:hAnsi="Gill Sans MT"/>
        </w:rPr>
        <w:t>poor grasp of a range of academic skills [75%]</w:t>
      </w:r>
    </w:p>
    <w:p w14:paraId="6D6CFAE2" w14:textId="77777777" w:rsidR="00604E31" w:rsidRPr="00863A3A" w:rsidRDefault="00604E31" w:rsidP="00604E31">
      <w:pPr>
        <w:pStyle w:val="ListParagraph"/>
        <w:numPr>
          <w:ilvl w:val="0"/>
          <w:numId w:val="20"/>
        </w:numPr>
        <w:tabs>
          <w:tab w:val="left" w:pos="2268"/>
        </w:tabs>
        <w:spacing w:line="360" w:lineRule="auto"/>
        <w:rPr>
          <w:rFonts w:ascii="Gill Sans MT" w:hAnsi="Gill Sans MT"/>
        </w:rPr>
      </w:pPr>
      <w:r w:rsidRPr="00863A3A">
        <w:rPr>
          <w:rFonts w:ascii="Gill Sans MT" w:hAnsi="Gill Sans MT"/>
        </w:rPr>
        <w:t>not being able to keep up with note-taking [75%]</w:t>
      </w:r>
    </w:p>
    <w:p w14:paraId="08E18FF0" w14:textId="77777777" w:rsidR="00604E31" w:rsidRPr="00863A3A" w:rsidRDefault="00604E31" w:rsidP="00604E31">
      <w:pPr>
        <w:pStyle w:val="ListParagraph"/>
        <w:numPr>
          <w:ilvl w:val="0"/>
          <w:numId w:val="20"/>
        </w:numPr>
        <w:tabs>
          <w:tab w:val="left" w:pos="2268"/>
        </w:tabs>
        <w:spacing w:line="360" w:lineRule="auto"/>
        <w:rPr>
          <w:rFonts w:ascii="Gill Sans MT" w:hAnsi="Gill Sans MT"/>
        </w:rPr>
      </w:pPr>
      <w:r w:rsidRPr="00863A3A">
        <w:rPr>
          <w:rFonts w:ascii="Gill Sans MT" w:hAnsi="Gill Sans MT"/>
        </w:rPr>
        <w:t>getting lost in lectures [75%]</w:t>
      </w:r>
    </w:p>
    <w:p w14:paraId="505BA9F3" w14:textId="77777777" w:rsidR="00604E31" w:rsidRPr="00863A3A" w:rsidRDefault="00604E31" w:rsidP="00604E31">
      <w:pPr>
        <w:pStyle w:val="ListParagraph"/>
        <w:numPr>
          <w:ilvl w:val="0"/>
          <w:numId w:val="20"/>
        </w:numPr>
        <w:tabs>
          <w:tab w:val="left" w:pos="2268"/>
        </w:tabs>
        <w:spacing w:line="360" w:lineRule="auto"/>
        <w:rPr>
          <w:rFonts w:ascii="Gill Sans MT" w:hAnsi="Gill Sans MT"/>
        </w:rPr>
      </w:pPr>
      <w:r w:rsidRPr="00863A3A">
        <w:rPr>
          <w:rFonts w:ascii="Gill Sans MT" w:hAnsi="Gill Sans MT"/>
        </w:rPr>
        <w:t>remembering what's been read [70%]</w:t>
      </w:r>
    </w:p>
    <w:p w14:paraId="6793BF38" w14:textId="77777777" w:rsidR="00604E31" w:rsidRPr="00863A3A" w:rsidRDefault="00604E31" w:rsidP="00604E31">
      <w:pPr>
        <w:pStyle w:val="ListParagraph"/>
        <w:numPr>
          <w:ilvl w:val="0"/>
          <w:numId w:val="20"/>
        </w:numPr>
        <w:tabs>
          <w:tab w:val="left" w:pos="2268"/>
        </w:tabs>
        <w:spacing w:line="360" w:lineRule="auto"/>
        <w:rPr>
          <w:rFonts w:ascii="Gill Sans MT" w:hAnsi="Gill Sans MT"/>
        </w:rPr>
      </w:pPr>
      <w:r w:rsidRPr="00863A3A">
        <w:rPr>
          <w:rFonts w:ascii="Gill Sans MT" w:hAnsi="Gill Sans MT"/>
        </w:rPr>
        <w:t>difficulties choosing the correct word from a spellchecker [60%]</w:t>
      </w:r>
    </w:p>
    <w:p w14:paraId="2A1BAF6C" w14:textId="77777777" w:rsidR="00604E31" w:rsidRPr="00863A3A" w:rsidRDefault="00604E31" w:rsidP="00604E31">
      <w:pPr>
        <w:pStyle w:val="ListParagraph"/>
        <w:numPr>
          <w:ilvl w:val="0"/>
          <w:numId w:val="20"/>
        </w:numPr>
        <w:tabs>
          <w:tab w:val="left" w:pos="2268"/>
        </w:tabs>
        <w:spacing w:line="360" w:lineRule="auto"/>
        <w:rPr>
          <w:rFonts w:ascii="Gill Sans MT" w:hAnsi="Gill Sans MT"/>
        </w:rPr>
      </w:pPr>
      <w:r w:rsidRPr="00863A3A">
        <w:rPr>
          <w:rFonts w:ascii="Gill Sans MT" w:hAnsi="Gill Sans MT"/>
        </w:rPr>
        <w:t>meeting deadlines [60%]</w:t>
      </w:r>
    </w:p>
    <w:p w14:paraId="0325812E" w14:textId="77777777" w:rsidR="00604E31" w:rsidRPr="00863A3A" w:rsidRDefault="00604E31" w:rsidP="00604E31">
      <w:pPr>
        <w:pStyle w:val="ListParagraph"/>
        <w:numPr>
          <w:ilvl w:val="0"/>
          <w:numId w:val="20"/>
        </w:numPr>
        <w:tabs>
          <w:tab w:val="left" w:pos="2268"/>
        </w:tabs>
        <w:spacing w:line="360" w:lineRule="auto"/>
        <w:rPr>
          <w:rFonts w:ascii="Gill Sans MT" w:hAnsi="Gill Sans MT"/>
        </w:rPr>
      </w:pPr>
      <w:r w:rsidRPr="00863A3A">
        <w:rPr>
          <w:rFonts w:ascii="Gill Sans MT" w:hAnsi="Gill Sans MT"/>
        </w:rPr>
        <w:t>focusing on detail before looking at the 'big picture' [60%]</w:t>
      </w:r>
    </w:p>
    <w:p w14:paraId="50D96500" w14:textId="77777777" w:rsidR="00604E31" w:rsidRPr="00863A3A" w:rsidRDefault="00604E31" w:rsidP="00604E31">
      <w:pPr>
        <w:pStyle w:val="ListParagraph"/>
        <w:numPr>
          <w:ilvl w:val="0"/>
          <w:numId w:val="20"/>
        </w:numPr>
        <w:tabs>
          <w:tab w:val="left" w:pos="2268"/>
        </w:tabs>
        <w:spacing w:line="360" w:lineRule="auto"/>
        <w:rPr>
          <w:rFonts w:ascii="Gill Sans MT" w:hAnsi="Gill Sans MT"/>
        </w:rPr>
      </w:pPr>
      <w:r w:rsidRPr="00863A3A">
        <w:rPr>
          <w:rFonts w:ascii="Gill Sans MT" w:hAnsi="Gill Sans MT"/>
        </w:rPr>
        <w:t>difficulties writing a sentence that makes sense [50%]</w:t>
      </w:r>
    </w:p>
    <w:p w14:paraId="3F04A00C" w14:textId="77777777" w:rsidR="00604E31" w:rsidRPr="00863A3A" w:rsidRDefault="00604E31" w:rsidP="00604E31">
      <w:pPr>
        <w:pStyle w:val="ListParagraph"/>
        <w:numPr>
          <w:ilvl w:val="0"/>
          <w:numId w:val="20"/>
        </w:numPr>
        <w:tabs>
          <w:tab w:val="left" w:pos="2268"/>
        </w:tabs>
        <w:spacing w:line="360" w:lineRule="auto"/>
        <w:rPr>
          <w:rFonts w:ascii="Gill Sans MT" w:hAnsi="Gill Sans MT"/>
        </w:rPr>
      </w:pPr>
      <w:r w:rsidRPr="00863A3A">
        <w:rPr>
          <w:rFonts w:ascii="Gill Sans MT" w:hAnsi="Gill Sans MT"/>
        </w:rPr>
        <w:t>handwriting legibility [50%]</w:t>
      </w:r>
    </w:p>
    <w:p w14:paraId="2F7CBE2F" w14:textId="77777777" w:rsidR="00604E31" w:rsidRPr="00863A3A" w:rsidRDefault="00604E31" w:rsidP="00604E31">
      <w:pPr>
        <w:pStyle w:val="ListParagraph"/>
        <w:numPr>
          <w:ilvl w:val="0"/>
          <w:numId w:val="20"/>
        </w:numPr>
        <w:tabs>
          <w:tab w:val="left" w:pos="2268"/>
        </w:tabs>
        <w:spacing w:line="360" w:lineRule="auto"/>
        <w:rPr>
          <w:rFonts w:ascii="Gill Sans MT" w:hAnsi="Gill Sans MT"/>
        </w:rPr>
      </w:pPr>
      <w:r w:rsidRPr="00863A3A">
        <w:rPr>
          <w:rFonts w:ascii="Gill Sans MT" w:hAnsi="Gill Sans MT"/>
        </w:rPr>
        <w:t>being highly organized in deference to 'getting things done' [25%]</w:t>
      </w:r>
    </w:p>
    <w:p w14:paraId="5F98D209" w14:textId="77777777" w:rsidR="00604E31" w:rsidRPr="00863A3A" w:rsidRDefault="00604E31" w:rsidP="00604E31">
      <w:pPr>
        <w:pStyle w:val="ListParagraph"/>
        <w:numPr>
          <w:ilvl w:val="0"/>
          <w:numId w:val="20"/>
        </w:numPr>
        <w:tabs>
          <w:tab w:val="left" w:pos="2268"/>
        </w:tabs>
        <w:spacing w:line="360" w:lineRule="auto"/>
        <w:rPr>
          <w:rFonts w:ascii="Gill Sans MT" w:hAnsi="Gill Sans MT"/>
        </w:rPr>
      </w:pPr>
      <w:r w:rsidRPr="00863A3A">
        <w:rPr>
          <w:rFonts w:ascii="Gill Sans MT" w:hAnsi="Gill Sans MT"/>
        </w:rPr>
        <w:t>having to re-read several times to understand meaning [n/r]</w:t>
      </w:r>
    </w:p>
    <w:p w14:paraId="04BE8F9F" w14:textId="77777777" w:rsidR="00604E31" w:rsidRPr="00863A3A" w:rsidRDefault="00604E31" w:rsidP="00604E31">
      <w:pPr>
        <w:pStyle w:val="ListParagraph"/>
        <w:numPr>
          <w:ilvl w:val="0"/>
          <w:numId w:val="20"/>
        </w:numPr>
        <w:tabs>
          <w:tab w:val="left" w:pos="2268"/>
        </w:tabs>
        <w:spacing w:line="360" w:lineRule="auto"/>
        <w:rPr>
          <w:rFonts w:ascii="Gill Sans MT" w:hAnsi="Gill Sans MT"/>
        </w:rPr>
      </w:pPr>
      <w:r w:rsidRPr="00863A3A">
        <w:rPr>
          <w:rFonts w:ascii="Gill Sans MT" w:hAnsi="Gill Sans MT"/>
        </w:rPr>
        <w:t>profound lack of awareness of their own academic difficulties [n/r]</w:t>
      </w:r>
    </w:p>
    <w:p w14:paraId="1D986CE7" w14:textId="77777777" w:rsidR="00604E31" w:rsidRDefault="00604E31" w:rsidP="00604E31">
      <w:pPr>
        <w:tabs>
          <w:tab w:val="left" w:pos="2268"/>
        </w:tabs>
      </w:pPr>
      <w:r>
        <w:t>The additional attribute reported by the most participants (four) related to confidence, with slow reading being reported by three participants. Most other additional attributes were reported by only one participant.</w:t>
      </w:r>
    </w:p>
    <w:p w14:paraId="7B969ED9" w14:textId="0164AE36" w:rsidR="00604E31" w:rsidRDefault="009503C9" w:rsidP="00604E31">
      <w:pPr>
        <w:pStyle w:val="Heading5"/>
        <w:tabs>
          <w:tab w:val="left" w:pos="2268"/>
        </w:tabs>
      </w:pPr>
      <w:bookmarkStart w:id="155" w:name="Discussion5"/>
      <w:bookmarkEnd w:id="155"/>
      <w:r>
        <w:t xml:space="preserve">5. </w:t>
      </w:r>
      <w:r w:rsidR="00604E31">
        <w:t>Discussion</w:t>
      </w:r>
    </w:p>
    <w:p w14:paraId="5C58EF3B" w14:textId="70E01F78" w:rsidR="00604E31" w:rsidRPr="00862DA9" w:rsidRDefault="00604E31" w:rsidP="00604E31">
      <w:pPr>
        <w:tabs>
          <w:tab w:val="left" w:pos="2268"/>
        </w:tabs>
      </w:pPr>
      <w:r>
        <w:t xml:space="preserve">Although the response rate for this small-scale poll was disappointing, (30 participants out of 116 invitations to participate), it was considered that the data collected was sufficient to </w:t>
      </w:r>
      <w:r w:rsidR="00EB6B09">
        <w:t>af</w:t>
      </w:r>
      <w:r>
        <w:t xml:space="preserve">firm that appropriate attributes of dyslexia had been selected which resonated with the typical field experience of dyslexia support professionals, and hence were reasonably representative of the profiles of dyslexic students at UK universities. Although an additional 24 attributes to the 18 provided in the poll were reported, most with a corresponding level of prevalence, the majority of these were reported by only one participant each, and hence were not considered indicative of a significant omission in the poll design. The additional attribute related to confidence was considered to be </w:t>
      </w:r>
      <w:r>
        <w:lastRenderedPageBreak/>
        <w:t>accounted for in the Academic Behavioural Confidence Scale, itself forming a major section of the main research questionnaire.</w:t>
      </w:r>
    </w:p>
    <w:p w14:paraId="5ADE82C6" w14:textId="77777777" w:rsidR="00604E31" w:rsidRPr="00FA1EA3" w:rsidRDefault="00604E31" w:rsidP="00604E31">
      <w:pPr>
        <w:tabs>
          <w:tab w:val="left" w:pos="2268"/>
        </w:tabs>
        <w:rPr>
          <w:rFonts w:ascii="Times New Roman" w:eastAsia="Times New Roman" w:hAnsi="Times New Roman" w:cs="Times New Roman"/>
          <w:sz w:val="24"/>
          <w:szCs w:val="24"/>
          <w:lang w:eastAsia="en-GB"/>
        </w:rPr>
      </w:pPr>
      <w:r>
        <w:t xml:space="preserve">Hence, the 18 dyslexia dimensions were considered to have been validated to a sufficient degree by the outcomes of the poll to form the basis of the Dyslexia Index Profiler. In the first instance, these dimensions </w:t>
      </w:r>
      <w:r w:rsidRPr="00584025">
        <w:t xml:space="preserve">were </w:t>
      </w:r>
      <w:r>
        <w:t xml:space="preserve">formatted to be more concise; converted </w:t>
      </w:r>
      <w:r w:rsidRPr="00584025">
        <w:t>into the first person</w:t>
      </w:r>
      <w:r>
        <w:t xml:space="preserve"> so that participants would feel engaged with the research; </w:t>
      </w:r>
      <w:r w:rsidRPr="00584025">
        <w:t xml:space="preserve">and </w:t>
      </w:r>
      <w:r>
        <w:t xml:space="preserve">re-phrased where necessary so that </w:t>
      </w:r>
      <w:r w:rsidRPr="00584025">
        <w:t xml:space="preserve">the Profiler </w:t>
      </w:r>
      <w:r>
        <w:t>w</w:t>
      </w:r>
      <w:r w:rsidRPr="00584025">
        <w:t xml:space="preserve">ould </w:t>
      </w:r>
      <w:r>
        <w:t xml:space="preserve">be relevant </w:t>
      </w:r>
      <w:r w:rsidRPr="00584025">
        <w:t>to all studen</w:t>
      </w:r>
      <w:r>
        <w:t>ts</w:t>
      </w:r>
      <w:r w:rsidRPr="00584025">
        <w:t>.</w:t>
      </w:r>
      <w:r>
        <w:t xml:space="preserve"> Secondly, the two additional dimensions relating to learning biography were now included (concerning letter reversal and slow uptake in learning to read). </w:t>
      </w:r>
      <w:r w:rsidRPr="00FA1EA3">
        <w:t>These did not form part of the validation poll as it was assumed that their context would be outside the frame of experience of the dyslexia tutors consulted.</w:t>
      </w:r>
    </w:p>
    <w:p w14:paraId="2FAEB8C8" w14:textId="77777777" w:rsidR="00AF1EC0" w:rsidRPr="00BD1F27" w:rsidRDefault="00BD1F27" w:rsidP="00BD1F27">
      <w:pPr>
        <w:rPr>
          <w:rFonts w:eastAsia="Times New Roman"/>
          <w:lang w:eastAsia="en-GB"/>
        </w:rPr>
      </w:pPr>
      <w:r w:rsidRPr="00BD1F27">
        <w:rPr>
          <w:rFonts w:eastAsia="Times New Roman"/>
          <w:lang w:eastAsia="en-GB"/>
        </w:rPr>
        <w:t>The final iteration of the complete set of 20 dimensions that formed the Dx Profiler (Table 4), with weightings assigned as derived directly from the prevalence of</w:t>
      </w:r>
      <w:r w:rsidR="00AF1EC0">
        <w:rPr>
          <w:rFonts w:eastAsia="Times New Roman"/>
          <w:lang w:eastAsia="en-GB"/>
        </w:rPr>
        <w:t xml:space="preserve"> </w:t>
      </w:r>
    </w:p>
    <w:tbl>
      <w:tblPr>
        <w:tblStyle w:val="GridTable5Dark-Accent1"/>
        <w:tblW w:w="4987" w:type="pct"/>
        <w:tblLayout w:type="fixed"/>
        <w:tblLook w:val="04A0" w:firstRow="1" w:lastRow="0" w:firstColumn="1" w:lastColumn="0" w:noHBand="0" w:noVBand="1"/>
      </w:tblPr>
      <w:tblGrid>
        <w:gridCol w:w="1415"/>
        <w:gridCol w:w="5808"/>
        <w:gridCol w:w="1418"/>
      </w:tblGrid>
      <w:tr w:rsidR="00AF1EC0" w:rsidRPr="004C52EF" w14:paraId="5626CE7E" w14:textId="77777777" w:rsidTr="005B5DB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32" w:type="dxa"/>
            <w:hideMark/>
          </w:tcPr>
          <w:p w14:paraId="5CF39537" w14:textId="77777777" w:rsidR="00AF1EC0" w:rsidRPr="00027091" w:rsidRDefault="00AF1EC0" w:rsidP="00265FF5">
            <w:pPr>
              <w:tabs>
                <w:tab w:val="left" w:pos="2268"/>
              </w:tabs>
              <w:spacing w:before="0" w:after="0" w:line="240" w:lineRule="auto"/>
              <w:rPr>
                <w:sz w:val="18"/>
                <w:szCs w:val="18"/>
              </w:rPr>
            </w:pPr>
            <w:r>
              <w:rPr>
                <w:i/>
                <w:iCs/>
                <w:sz w:val="18"/>
                <w:szCs w:val="18"/>
              </w:rPr>
              <w:t xml:space="preserve">dimension </w:t>
            </w:r>
            <w:r w:rsidRPr="00027091">
              <w:rPr>
                <w:i/>
                <w:iCs/>
                <w:sz w:val="18"/>
                <w:szCs w:val="18"/>
              </w:rPr>
              <w:t>#</w:t>
            </w:r>
          </w:p>
        </w:tc>
        <w:tc>
          <w:tcPr>
            <w:tcW w:w="5889" w:type="dxa"/>
            <w:hideMark/>
          </w:tcPr>
          <w:p w14:paraId="07B0408A" w14:textId="77777777" w:rsidR="00AF1EC0" w:rsidRPr="00027091" w:rsidRDefault="00AF1EC0" w:rsidP="00265FF5">
            <w:pPr>
              <w:tabs>
                <w:tab w:val="left" w:pos="2268"/>
              </w:tabs>
              <w:spacing w:before="0" w:after="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027091">
              <w:rPr>
                <w:i/>
                <w:iCs/>
                <w:sz w:val="18"/>
                <w:szCs w:val="18"/>
              </w:rPr>
              <w:t> statement</w:t>
            </w:r>
          </w:p>
        </w:tc>
        <w:tc>
          <w:tcPr>
            <w:tcW w:w="1435" w:type="dxa"/>
            <w:hideMark/>
          </w:tcPr>
          <w:p w14:paraId="0FA8B4A5" w14:textId="77777777" w:rsidR="00AF1EC0" w:rsidRPr="00027091" w:rsidRDefault="00AF1EC0" w:rsidP="00265FF5">
            <w:pPr>
              <w:tabs>
                <w:tab w:val="left" w:pos="2268"/>
              </w:tabs>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027091">
              <w:rPr>
                <w:i/>
                <w:iCs/>
                <w:sz w:val="18"/>
                <w:szCs w:val="18"/>
              </w:rPr>
              <w:t>weighting</w:t>
            </w:r>
          </w:p>
        </w:tc>
      </w:tr>
      <w:tr w:rsidR="00AF1EC0" w:rsidRPr="004C52EF" w14:paraId="7CA684A9" w14:textId="77777777" w:rsidTr="005B5DB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32" w:type="dxa"/>
            <w:hideMark/>
          </w:tcPr>
          <w:p w14:paraId="29CCAC97" w14:textId="77777777" w:rsidR="00AF1EC0" w:rsidRPr="00027091" w:rsidRDefault="00AF1EC0" w:rsidP="00265FF5">
            <w:pPr>
              <w:tabs>
                <w:tab w:val="left" w:pos="2268"/>
              </w:tabs>
              <w:spacing w:before="0" w:after="0" w:line="240" w:lineRule="auto"/>
              <w:rPr>
                <w:rFonts w:ascii="Gill Sans MT" w:hAnsi="Gill Sans MT"/>
                <w:sz w:val="18"/>
                <w:szCs w:val="18"/>
              </w:rPr>
            </w:pPr>
            <w:r w:rsidRPr="00027091">
              <w:rPr>
                <w:rFonts w:ascii="Gill Sans MT" w:hAnsi="Gill Sans MT"/>
                <w:sz w:val="18"/>
                <w:szCs w:val="18"/>
              </w:rPr>
              <w:t>3.01</w:t>
            </w:r>
          </w:p>
        </w:tc>
        <w:tc>
          <w:tcPr>
            <w:tcW w:w="5889" w:type="dxa"/>
            <w:hideMark/>
          </w:tcPr>
          <w:p w14:paraId="2C05D727" w14:textId="77777777" w:rsidR="00AF1EC0" w:rsidRPr="00027091" w:rsidRDefault="00AF1EC0" w:rsidP="00265FF5">
            <w:pPr>
              <w:tabs>
                <w:tab w:val="left" w:pos="2268"/>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027091">
              <w:rPr>
                <w:rFonts w:ascii="Gill Sans MT" w:hAnsi="Gill Sans MT"/>
                <w:sz w:val="18"/>
                <w:szCs w:val="18"/>
              </w:rPr>
              <w:t> When I was learning to read at school, I often felt I was slower than others in my class</w:t>
            </w:r>
          </w:p>
        </w:tc>
        <w:tc>
          <w:tcPr>
            <w:tcW w:w="1435" w:type="dxa"/>
            <w:hideMark/>
          </w:tcPr>
          <w:p w14:paraId="771BB2C7" w14:textId="77777777" w:rsidR="00AF1EC0" w:rsidRPr="00027091" w:rsidRDefault="00AF1EC0" w:rsidP="00265FF5">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0.80</w:t>
            </w:r>
            <w:r>
              <w:rPr>
                <w:rFonts w:ascii="Gill Sans MT" w:hAnsi="Gill Sans MT"/>
                <w:sz w:val="18"/>
                <w:szCs w:val="18"/>
              </w:rPr>
              <w:t>0</w:t>
            </w:r>
          </w:p>
        </w:tc>
      </w:tr>
      <w:tr w:rsidR="00AF1EC0" w:rsidRPr="004C52EF" w14:paraId="587928A4" w14:textId="77777777" w:rsidTr="005B5DBE">
        <w:trPr>
          <w:trHeight w:val="340"/>
        </w:trPr>
        <w:tc>
          <w:tcPr>
            <w:cnfStyle w:val="001000000000" w:firstRow="0" w:lastRow="0" w:firstColumn="1" w:lastColumn="0" w:oddVBand="0" w:evenVBand="0" w:oddHBand="0" w:evenHBand="0" w:firstRowFirstColumn="0" w:firstRowLastColumn="0" w:lastRowFirstColumn="0" w:lastRowLastColumn="0"/>
            <w:tcW w:w="1432" w:type="dxa"/>
            <w:hideMark/>
          </w:tcPr>
          <w:p w14:paraId="1B3C37B7" w14:textId="77777777" w:rsidR="00AF1EC0" w:rsidRPr="00027091" w:rsidRDefault="00AF1EC0" w:rsidP="00265FF5">
            <w:pPr>
              <w:tabs>
                <w:tab w:val="left" w:pos="2268"/>
              </w:tabs>
              <w:spacing w:before="0" w:after="0" w:line="240" w:lineRule="auto"/>
              <w:rPr>
                <w:rFonts w:ascii="Gill Sans MT" w:hAnsi="Gill Sans MT"/>
                <w:sz w:val="18"/>
                <w:szCs w:val="18"/>
              </w:rPr>
            </w:pPr>
            <w:r w:rsidRPr="00027091">
              <w:rPr>
                <w:rFonts w:ascii="Gill Sans MT" w:hAnsi="Gill Sans MT"/>
                <w:sz w:val="18"/>
                <w:szCs w:val="18"/>
              </w:rPr>
              <w:t>3.02</w:t>
            </w:r>
          </w:p>
        </w:tc>
        <w:tc>
          <w:tcPr>
            <w:tcW w:w="5889" w:type="dxa"/>
            <w:hideMark/>
          </w:tcPr>
          <w:p w14:paraId="703225BE" w14:textId="77777777" w:rsidR="00AF1EC0" w:rsidRPr="00027091" w:rsidRDefault="00AF1EC0" w:rsidP="00265FF5">
            <w:pPr>
              <w:tabs>
                <w:tab w:val="left" w:pos="2268"/>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027091">
              <w:rPr>
                <w:rFonts w:ascii="Gill Sans MT" w:hAnsi="Gill Sans MT"/>
                <w:sz w:val="18"/>
                <w:szCs w:val="18"/>
              </w:rPr>
              <w:t> My spelling is generally very good</w:t>
            </w:r>
          </w:p>
        </w:tc>
        <w:tc>
          <w:tcPr>
            <w:tcW w:w="1435" w:type="dxa"/>
            <w:hideMark/>
          </w:tcPr>
          <w:p w14:paraId="4EDEE80D" w14:textId="77777777" w:rsidR="00AF1EC0" w:rsidRPr="00027091" w:rsidRDefault="00AF1EC0" w:rsidP="00265FF5">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0.5</w:t>
            </w:r>
            <w:r>
              <w:rPr>
                <w:rFonts w:ascii="Gill Sans MT" w:hAnsi="Gill Sans MT"/>
                <w:sz w:val="18"/>
                <w:szCs w:val="18"/>
              </w:rPr>
              <w:t>29</w:t>
            </w:r>
          </w:p>
        </w:tc>
      </w:tr>
      <w:tr w:rsidR="00AF1EC0" w:rsidRPr="004C52EF" w14:paraId="5CD57F26" w14:textId="77777777" w:rsidTr="005B5DB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32" w:type="dxa"/>
            <w:hideMark/>
          </w:tcPr>
          <w:p w14:paraId="3B190753" w14:textId="77777777" w:rsidR="00AF1EC0" w:rsidRPr="00027091" w:rsidRDefault="00AF1EC0" w:rsidP="00265FF5">
            <w:pPr>
              <w:tabs>
                <w:tab w:val="left" w:pos="2268"/>
              </w:tabs>
              <w:spacing w:before="0" w:after="0" w:line="240" w:lineRule="auto"/>
              <w:rPr>
                <w:rFonts w:ascii="Gill Sans MT" w:hAnsi="Gill Sans MT"/>
                <w:sz w:val="18"/>
                <w:szCs w:val="18"/>
              </w:rPr>
            </w:pPr>
            <w:r w:rsidRPr="00027091">
              <w:rPr>
                <w:rFonts w:ascii="Gill Sans MT" w:hAnsi="Gill Sans MT"/>
                <w:sz w:val="18"/>
                <w:szCs w:val="18"/>
              </w:rPr>
              <w:t>3.03</w:t>
            </w:r>
          </w:p>
        </w:tc>
        <w:tc>
          <w:tcPr>
            <w:tcW w:w="5889" w:type="dxa"/>
            <w:hideMark/>
          </w:tcPr>
          <w:p w14:paraId="4A3ADCA2" w14:textId="77777777" w:rsidR="00AF1EC0" w:rsidRPr="00027091" w:rsidRDefault="00AF1EC0" w:rsidP="00265FF5">
            <w:pPr>
              <w:tabs>
                <w:tab w:val="left" w:pos="2268"/>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027091">
              <w:rPr>
                <w:rFonts w:ascii="Gill Sans MT" w:hAnsi="Gill Sans MT"/>
                <w:sz w:val="18"/>
                <w:szCs w:val="18"/>
              </w:rPr>
              <w:t> I find it very challenging to manage my time efficiently</w:t>
            </w:r>
          </w:p>
        </w:tc>
        <w:tc>
          <w:tcPr>
            <w:tcW w:w="1435" w:type="dxa"/>
            <w:hideMark/>
          </w:tcPr>
          <w:p w14:paraId="4F2F18C1" w14:textId="77777777" w:rsidR="00AF1EC0" w:rsidRPr="00027091" w:rsidRDefault="00AF1EC0" w:rsidP="00265FF5">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w:t>
            </w:r>
            <w:r>
              <w:rPr>
                <w:rFonts w:ascii="Gill Sans MT" w:hAnsi="Gill Sans MT"/>
                <w:sz w:val="18"/>
                <w:szCs w:val="18"/>
              </w:rPr>
              <w:t>699</w:t>
            </w:r>
          </w:p>
        </w:tc>
      </w:tr>
      <w:tr w:rsidR="00AF1EC0" w:rsidRPr="004C52EF" w14:paraId="52DAC4CE" w14:textId="77777777" w:rsidTr="005B5DBE">
        <w:trPr>
          <w:trHeight w:val="340"/>
        </w:trPr>
        <w:tc>
          <w:tcPr>
            <w:cnfStyle w:val="001000000000" w:firstRow="0" w:lastRow="0" w:firstColumn="1" w:lastColumn="0" w:oddVBand="0" w:evenVBand="0" w:oddHBand="0" w:evenHBand="0" w:firstRowFirstColumn="0" w:firstRowLastColumn="0" w:lastRowFirstColumn="0" w:lastRowLastColumn="0"/>
            <w:tcW w:w="1432" w:type="dxa"/>
            <w:hideMark/>
          </w:tcPr>
          <w:p w14:paraId="057BC93F" w14:textId="77777777" w:rsidR="00AF1EC0" w:rsidRPr="00027091" w:rsidRDefault="00AF1EC0" w:rsidP="00265FF5">
            <w:pPr>
              <w:tabs>
                <w:tab w:val="left" w:pos="2268"/>
              </w:tabs>
              <w:spacing w:before="0" w:after="0" w:line="240" w:lineRule="auto"/>
              <w:rPr>
                <w:rFonts w:ascii="Gill Sans MT" w:hAnsi="Gill Sans MT"/>
                <w:sz w:val="18"/>
                <w:szCs w:val="18"/>
              </w:rPr>
            </w:pPr>
            <w:r w:rsidRPr="00027091">
              <w:rPr>
                <w:rFonts w:ascii="Gill Sans MT" w:hAnsi="Gill Sans MT"/>
                <w:sz w:val="18"/>
                <w:szCs w:val="18"/>
              </w:rPr>
              <w:t>3.04</w:t>
            </w:r>
          </w:p>
        </w:tc>
        <w:tc>
          <w:tcPr>
            <w:tcW w:w="5889" w:type="dxa"/>
            <w:hideMark/>
          </w:tcPr>
          <w:p w14:paraId="78E433B3" w14:textId="77777777" w:rsidR="00AF1EC0" w:rsidRPr="00027091" w:rsidRDefault="00AF1EC0" w:rsidP="00265FF5">
            <w:pPr>
              <w:tabs>
                <w:tab w:val="left" w:pos="2268"/>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027091">
              <w:rPr>
                <w:rFonts w:ascii="Gill Sans MT" w:hAnsi="Gill Sans MT"/>
                <w:sz w:val="18"/>
                <w:szCs w:val="18"/>
              </w:rPr>
              <w:t> I can explain things to people much more easily verbally than in my writing</w:t>
            </w:r>
          </w:p>
        </w:tc>
        <w:tc>
          <w:tcPr>
            <w:tcW w:w="1435" w:type="dxa"/>
            <w:hideMark/>
          </w:tcPr>
          <w:p w14:paraId="65A0549C" w14:textId="77777777" w:rsidR="00AF1EC0" w:rsidRPr="00027091" w:rsidRDefault="00AF1EC0" w:rsidP="00265FF5">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0.7</w:t>
            </w:r>
            <w:r>
              <w:rPr>
                <w:rFonts w:ascii="Gill Sans MT" w:hAnsi="Gill Sans MT"/>
                <w:sz w:val="18"/>
                <w:szCs w:val="18"/>
              </w:rPr>
              <w:t>06</w:t>
            </w:r>
          </w:p>
        </w:tc>
      </w:tr>
      <w:tr w:rsidR="00AF1EC0" w:rsidRPr="004C52EF" w14:paraId="4E3737A4" w14:textId="77777777" w:rsidTr="005B5DB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32" w:type="dxa"/>
            <w:hideMark/>
          </w:tcPr>
          <w:p w14:paraId="2DBCEE66" w14:textId="77777777" w:rsidR="00AF1EC0" w:rsidRPr="00027091" w:rsidRDefault="00AF1EC0" w:rsidP="00265FF5">
            <w:pPr>
              <w:tabs>
                <w:tab w:val="left" w:pos="2268"/>
              </w:tabs>
              <w:spacing w:before="0" w:after="0" w:line="240" w:lineRule="auto"/>
              <w:rPr>
                <w:rFonts w:ascii="Gill Sans MT" w:hAnsi="Gill Sans MT"/>
                <w:sz w:val="18"/>
                <w:szCs w:val="18"/>
              </w:rPr>
            </w:pPr>
            <w:r w:rsidRPr="00027091">
              <w:rPr>
                <w:rFonts w:ascii="Gill Sans MT" w:hAnsi="Gill Sans MT"/>
                <w:sz w:val="18"/>
                <w:szCs w:val="18"/>
              </w:rPr>
              <w:t>3.05</w:t>
            </w:r>
          </w:p>
        </w:tc>
        <w:tc>
          <w:tcPr>
            <w:tcW w:w="5889" w:type="dxa"/>
            <w:hideMark/>
          </w:tcPr>
          <w:p w14:paraId="4412978C" w14:textId="77777777" w:rsidR="00AF1EC0" w:rsidRPr="00027091" w:rsidRDefault="00AF1EC0" w:rsidP="00265FF5">
            <w:pPr>
              <w:tabs>
                <w:tab w:val="left" w:pos="2268"/>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027091">
              <w:rPr>
                <w:rFonts w:ascii="Gill Sans MT" w:hAnsi="Gill Sans MT"/>
                <w:sz w:val="18"/>
                <w:szCs w:val="18"/>
              </w:rPr>
              <w:t> I think I am a highly organized learner</w:t>
            </w:r>
          </w:p>
        </w:tc>
        <w:tc>
          <w:tcPr>
            <w:tcW w:w="1435" w:type="dxa"/>
            <w:hideMark/>
          </w:tcPr>
          <w:p w14:paraId="184C9D32" w14:textId="77777777" w:rsidR="00AF1EC0" w:rsidRPr="00027091" w:rsidRDefault="00AF1EC0" w:rsidP="00265FF5">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w:t>
            </w:r>
            <w:r>
              <w:rPr>
                <w:rFonts w:ascii="Gill Sans MT" w:hAnsi="Gill Sans MT"/>
                <w:sz w:val="18"/>
                <w:szCs w:val="18"/>
              </w:rPr>
              <w:t>572</w:t>
            </w:r>
          </w:p>
        </w:tc>
      </w:tr>
      <w:tr w:rsidR="00AF1EC0" w:rsidRPr="004C52EF" w14:paraId="316183D4" w14:textId="77777777" w:rsidTr="005B5DBE">
        <w:trPr>
          <w:trHeight w:val="340"/>
        </w:trPr>
        <w:tc>
          <w:tcPr>
            <w:cnfStyle w:val="001000000000" w:firstRow="0" w:lastRow="0" w:firstColumn="1" w:lastColumn="0" w:oddVBand="0" w:evenVBand="0" w:oddHBand="0" w:evenHBand="0" w:firstRowFirstColumn="0" w:firstRowLastColumn="0" w:lastRowFirstColumn="0" w:lastRowLastColumn="0"/>
            <w:tcW w:w="1432" w:type="dxa"/>
            <w:hideMark/>
          </w:tcPr>
          <w:p w14:paraId="375E7C6D" w14:textId="77777777" w:rsidR="00AF1EC0" w:rsidRPr="00027091" w:rsidRDefault="00AF1EC0" w:rsidP="00265FF5">
            <w:pPr>
              <w:tabs>
                <w:tab w:val="left" w:pos="2268"/>
              </w:tabs>
              <w:spacing w:before="0" w:after="0" w:line="240" w:lineRule="auto"/>
              <w:rPr>
                <w:rFonts w:ascii="Gill Sans MT" w:hAnsi="Gill Sans MT"/>
                <w:sz w:val="18"/>
                <w:szCs w:val="18"/>
              </w:rPr>
            </w:pPr>
            <w:r w:rsidRPr="00027091">
              <w:rPr>
                <w:rFonts w:ascii="Gill Sans MT" w:hAnsi="Gill Sans MT"/>
                <w:sz w:val="18"/>
                <w:szCs w:val="18"/>
              </w:rPr>
              <w:t>3.06</w:t>
            </w:r>
          </w:p>
        </w:tc>
        <w:tc>
          <w:tcPr>
            <w:tcW w:w="5889" w:type="dxa"/>
            <w:hideMark/>
          </w:tcPr>
          <w:p w14:paraId="3ED82003" w14:textId="77777777" w:rsidR="00AF1EC0" w:rsidRPr="00027091" w:rsidRDefault="00AF1EC0" w:rsidP="00265FF5">
            <w:pPr>
              <w:tabs>
                <w:tab w:val="left" w:pos="2268"/>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027091">
              <w:rPr>
                <w:rFonts w:ascii="Gill Sans MT" w:hAnsi="Gill Sans MT"/>
                <w:sz w:val="18"/>
                <w:szCs w:val="18"/>
              </w:rPr>
              <w:t> In my writing I frequently use the wrong word for my intended meaning</w:t>
            </w:r>
          </w:p>
        </w:tc>
        <w:tc>
          <w:tcPr>
            <w:tcW w:w="1435" w:type="dxa"/>
            <w:hideMark/>
          </w:tcPr>
          <w:p w14:paraId="0450F8B2" w14:textId="77777777" w:rsidR="00AF1EC0" w:rsidRPr="00027091" w:rsidRDefault="00AF1EC0" w:rsidP="00265FF5">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0.4</w:t>
            </w:r>
            <w:r>
              <w:rPr>
                <w:rFonts w:ascii="Gill Sans MT" w:hAnsi="Gill Sans MT"/>
                <w:sz w:val="18"/>
                <w:szCs w:val="18"/>
              </w:rPr>
              <w:t>78</w:t>
            </w:r>
          </w:p>
        </w:tc>
      </w:tr>
      <w:tr w:rsidR="00AF1EC0" w:rsidRPr="004C52EF" w14:paraId="28C11DA7" w14:textId="77777777" w:rsidTr="005B5DB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32" w:type="dxa"/>
            <w:hideMark/>
          </w:tcPr>
          <w:p w14:paraId="050B3A94" w14:textId="77777777" w:rsidR="00AF1EC0" w:rsidRPr="00027091" w:rsidRDefault="00AF1EC0" w:rsidP="00265FF5">
            <w:pPr>
              <w:tabs>
                <w:tab w:val="left" w:pos="2268"/>
              </w:tabs>
              <w:spacing w:before="0" w:after="0" w:line="240" w:lineRule="auto"/>
              <w:rPr>
                <w:rFonts w:ascii="Gill Sans MT" w:hAnsi="Gill Sans MT"/>
                <w:sz w:val="18"/>
                <w:szCs w:val="18"/>
              </w:rPr>
            </w:pPr>
            <w:r w:rsidRPr="00027091">
              <w:rPr>
                <w:rFonts w:ascii="Gill Sans MT" w:hAnsi="Gill Sans MT"/>
                <w:sz w:val="18"/>
                <w:szCs w:val="18"/>
              </w:rPr>
              <w:t>3.07</w:t>
            </w:r>
          </w:p>
        </w:tc>
        <w:tc>
          <w:tcPr>
            <w:tcW w:w="5889" w:type="dxa"/>
            <w:hideMark/>
          </w:tcPr>
          <w:p w14:paraId="1AD2FC16" w14:textId="77777777" w:rsidR="00AF1EC0" w:rsidRPr="00027091" w:rsidRDefault="00AF1EC0" w:rsidP="00265FF5">
            <w:pPr>
              <w:tabs>
                <w:tab w:val="left" w:pos="2268"/>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027091">
              <w:rPr>
                <w:rFonts w:ascii="Gill Sans MT" w:hAnsi="Gill Sans MT"/>
                <w:sz w:val="18"/>
                <w:szCs w:val="18"/>
              </w:rPr>
              <w:t> I generally remember appointments and arrive on time</w:t>
            </w:r>
          </w:p>
        </w:tc>
        <w:tc>
          <w:tcPr>
            <w:tcW w:w="1435" w:type="dxa"/>
            <w:hideMark/>
          </w:tcPr>
          <w:p w14:paraId="2B1D93F0" w14:textId="77777777" w:rsidR="00AF1EC0" w:rsidRPr="00027091" w:rsidRDefault="00AF1EC0" w:rsidP="00265FF5">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w:t>
            </w:r>
            <w:r>
              <w:rPr>
                <w:rFonts w:ascii="Gill Sans MT" w:hAnsi="Gill Sans MT"/>
                <w:sz w:val="18"/>
                <w:szCs w:val="18"/>
              </w:rPr>
              <w:t>357</w:t>
            </w:r>
          </w:p>
        </w:tc>
      </w:tr>
      <w:tr w:rsidR="00AF1EC0" w:rsidRPr="004C52EF" w14:paraId="32D5BB87" w14:textId="77777777" w:rsidTr="005B5DBE">
        <w:trPr>
          <w:trHeight w:val="340"/>
        </w:trPr>
        <w:tc>
          <w:tcPr>
            <w:cnfStyle w:val="001000000000" w:firstRow="0" w:lastRow="0" w:firstColumn="1" w:lastColumn="0" w:oddVBand="0" w:evenVBand="0" w:oddHBand="0" w:evenHBand="0" w:firstRowFirstColumn="0" w:firstRowLastColumn="0" w:lastRowFirstColumn="0" w:lastRowLastColumn="0"/>
            <w:tcW w:w="1432" w:type="dxa"/>
            <w:hideMark/>
          </w:tcPr>
          <w:p w14:paraId="139B63BE" w14:textId="77777777" w:rsidR="00AF1EC0" w:rsidRPr="00027091" w:rsidRDefault="00AF1EC0" w:rsidP="00265FF5">
            <w:pPr>
              <w:tabs>
                <w:tab w:val="left" w:pos="2268"/>
              </w:tabs>
              <w:spacing w:before="0" w:after="0" w:line="240" w:lineRule="auto"/>
              <w:rPr>
                <w:rFonts w:ascii="Gill Sans MT" w:hAnsi="Gill Sans MT"/>
                <w:sz w:val="18"/>
                <w:szCs w:val="18"/>
              </w:rPr>
            </w:pPr>
            <w:r w:rsidRPr="00027091">
              <w:rPr>
                <w:rFonts w:ascii="Gill Sans MT" w:hAnsi="Gill Sans MT"/>
                <w:sz w:val="18"/>
                <w:szCs w:val="18"/>
              </w:rPr>
              <w:t>3.08</w:t>
            </w:r>
          </w:p>
        </w:tc>
        <w:tc>
          <w:tcPr>
            <w:tcW w:w="5889" w:type="dxa"/>
            <w:hideMark/>
          </w:tcPr>
          <w:p w14:paraId="4B4E1BDB" w14:textId="77777777" w:rsidR="00AF1EC0" w:rsidRPr="00027091" w:rsidRDefault="00AF1EC0" w:rsidP="00265FF5">
            <w:pPr>
              <w:tabs>
                <w:tab w:val="left" w:pos="2268"/>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027091">
              <w:rPr>
                <w:rFonts w:ascii="Gill Sans MT" w:hAnsi="Gill Sans MT"/>
                <w:sz w:val="18"/>
                <w:szCs w:val="18"/>
              </w:rPr>
              <w:t> When I'm reading, I sometimes read the same line again or miss out a line altogether</w:t>
            </w:r>
          </w:p>
        </w:tc>
        <w:tc>
          <w:tcPr>
            <w:tcW w:w="1435" w:type="dxa"/>
            <w:hideMark/>
          </w:tcPr>
          <w:p w14:paraId="0E8F845E" w14:textId="77777777" w:rsidR="00AF1EC0" w:rsidRPr="00027091" w:rsidRDefault="00AF1EC0" w:rsidP="00265FF5">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0.7</w:t>
            </w:r>
            <w:r>
              <w:rPr>
                <w:rFonts w:ascii="Gill Sans MT" w:hAnsi="Gill Sans MT"/>
                <w:sz w:val="18"/>
                <w:szCs w:val="18"/>
              </w:rPr>
              <w:t>46</w:t>
            </w:r>
          </w:p>
        </w:tc>
      </w:tr>
      <w:tr w:rsidR="00AF1EC0" w:rsidRPr="004C52EF" w14:paraId="6A87EFFD" w14:textId="77777777" w:rsidTr="005B5DB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32" w:type="dxa"/>
            <w:hideMark/>
          </w:tcPr>
          <w:p w14:paraId="4C87F86B" w14:textId="77777777" w:rsidR="00AF1EC0" w:rsidRPr="00027091" w:rsidRDefault="00AF1EC0" w:rsidP="00265FF5">
            <w:pPr>
              <w:tabs>
                <w:tab w:val="left" w:pos="2268"/>
              </w:tabs>
              <w:spacing w:before="0" w:after="0" w:line="240" w:lineRule="auto"/>
              <w:rPr>
                <w:rFonts w:ascii="Gill Sans MT" w:hAnsi="Gill Sans MT"/>
                <w:sz w:val="18"/>
                <w:szCs w:val="18"/>
              </w:rPr>
            </w:pPr>
            <w:r w:rsidRPr="00027091">
              <w:rPr>
                <w:rFonts w:ascii="Gill Sans MT" w:hAnsi="Gill Sans MT"/>
                <w:sz w:val="18"/>
                <w:szCs w:val="18"/>
              </w:rPr>
              <w:t>3.09</w:t>
            </w:r>
          </w:p>
        </w:tc>
        <w:tc>
          <w:tcPr>
            <w:tcW w:w="5889" w:type="dxa"/>
            <w:hideMark/>
          </w:tcPr>
          <w:p w14:paraId="1751FA90" w14:textId="77777777" w:rsidR="00AF1EC0" w:rsidRPr="00027091" w:rsidRDefault="00AF1EC0" w:rsidP="00265FF5">
            <w:pPr>
              <w:tabs>
                <w:tab w:val="left" w:pos="2268"/>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027091">
              <w:rPr>
                <w:rFonts w:ascii="Gill Sans MT" w:hAnsi="Gill Sans MT"/>
                <w:sz w:val="18"/>
                <w:szCs w:val="18"/>
              </w:rPr>
              <w:t> I have difficulty putting my writing ideas into a sensible order</w:t>
            </w:r>
          </w:p>
        </w:tc>
        <w:tc>
          <w:tcPr>
            <w:tcW w:w="1435" w:type="dxa"/>
            <w:hideMark/>
          </w:tcPr>
          <w:p w14:paraId="3F062A0C" w14:textId="77777777" w:rsidR="00AF1EC0" w:rsidRPr="00027091" w:rsidRDefault="00AF1EC0" w:rsidP="00265FF5">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0.7</w:t>
            </w:r>
            <w:r>
              <w:rPr>
                <w:rFonts w:ascii="Gill Sans MT" w:hAnsi="Gill Sans MT"/>
                <w:sz w:val="18"/>
                <w:szCs w:val="18"/>
              </w:rPr>
              <w:t>57</w:t>
            </w:r>
          </w:p>
        </w:tc>
      </w:tr>
      <w:tr w:rsidR="00AF1EC0" w:rsidRPr="004C52EF" w14:paraId="60EFC394" w14:textId="77777777" w:rsidTr="005B5DBE">
        <w:trPr>
          <w:trHeight w:val="340"/>
        </w:trPr>
        <w:tc>
          <w:tcPr>
            <w:cnfStyle w:val="001000000000" w:firstRow="0" w:lastRow="0" w:firstColumn="1" w:lastColumn="0" w:oddVBand="0" w:evenVBand="0" w:oddHBand="0" w:evenHBand="0" w:firstRowFirstColumn="0" w:firstRowLastColumn="0" w:lastRowFirstColumn="0" w:lastRowLastColumn="0"/>
            <w:tcW w:w="1432" w:type="dxa"/>
            <w:hideMark/>
          </w:tcPr>
          <w:p w14:paraId="7C0EB0BF" w14:textId="77777777" w:rsidR="00AF1EC0" w:rsidRPr="00027091" w:rsidRDefault="00AF1EC0" w:rsidP="00265FF5">
            <w:pPr>
              <w:tabs>
                <w:tab w:val="left" w:pos="2268"/>
              </w:tabs>
              <w:spacing w:before="0" w:after="0" w:line="240" w:lineRule="auto"/>
              <w:rPr>
                <w:rFonts w:ascii="Gill Sans MT" w:hAnsi="Gill Sans MT"/>
                <w:sz w:val="18"/>
                <w:szCs w:val="18"/>
              </w:rPr>
            </w:pPr>
            <w:r w:rsidRPr="00027091">
              <w:rPr>
                <w:rFonts w:ascii="Gill Sans MT" w:hAnsi="Gill Sans MT"/>
                <w:sz w:val="18"/>
                <w:szCs w:val="18"/>
              </w:rPr>
              <w:t>3.10</w:t>
            </w:r>
          </w:p>
        </w:tc>
        <w:tc>
          <w:tcPr>
            <w:tcW w:w="5889" w:type="dxa"/>
            <w:hideMark/>
          </w:tcPr>
          <w:p w14:paraId="5A9F888B" w14:textId="77777777" w:rsidR="00AF1EC0" w:rsidRPr="00027091" w:rsidRDefault="00AF1EC0" w:rsidP="00265FF5">
            <w:pPr>
              <w:tabs>
                <w:tab w:val="left" w:pos="2268"/>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027091">
              <w:rPr>
                <w:rFonts w:ascii="Gill Sans MT" w:hAnsi="Gill Sans MT"/>
                <w:sz w:val="18"/>
                <w:szCs w:val="18"/>
              </w:rPr>
              <w:t> In my writing at school, I often mixed up similar letters like 'b' and 'd' or 'p' and 'q'</w:t>
            </w:r>
          </w:p>
        </w:tc>
        <w:tc>
          <w:tcPr>
            <w:tcW w:w="1435" w:type="dxa"/>
            <w:hideMark/>
          </w:tcPr>
          <w:p w14:paraId="354631C3" w14:textId="77777777" w:rsidR="00AF1EC0" w:rsidRPr="00027091" w:rsidRDefault="00AF1EC0" w:rsidP="00265FF5">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0.80</w:t>
            </w:r>
            <w:r>
              <w:rPr>
                <w:rFonts w:ascii="Gill Sans MT" w:hAnsi="Gill Sans MT"/>
                <w:sz w:val="18"/>
                <w:szCs w:val="18"/>
              </w:rPr>
              <w:t>0</w:t>
            </w:r>
          </w:p>
        </w:tc>
      </w:tr>
      <w:tr w:rsidR="00AF1EC0" w:rsidRPr="004C52EF" w14:paraId="2E4D7261" w14:textId="77777777" w:rsidTr="005B5DB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32" w:type="dxa"/>
            <w:hideMark/>
          </w:tcPr>
          <w:p w14:paraId="692EF861" w14:textId="77777777" w:rsidR="00AF1EC0" w:rsidRPr="00027091" w:rsidRDefault="00AF1EC0" w:rsidP="00265FF5">
            <w:pPr>
              <w:tabs>
                <w:tab w:val="left" w:pos="2268"/>
              </w:tabs>
              <w:spacing w:before="0" w:after="0" w:line="240" w:lineRule="auto"/>
              <w:rPr>
                <w:rFonts w:ascii="Gill Sans MT" w:hAnsi="Gill Sans MT"/>
                <w:sz w:val="18"/>
                <w:szCs w:val="18"/>
              </w:rPr>
            </w:pPr>
            <w:r w:rsidRPr="00027091">
              <w:rPr>
                <w:rFonts w:ascii="Gill Sans MT" w:hAnsi="Gill Sans MT"/>
                <w:sz w:val="18"/>
                <w:szCs w:val="18"/>
              </w:rPr>
              <w:t>3.11</w:t>
            </w:r>
          </w:p>
        </w:tc>
        <w:tc>
          <w:tcPr>
            <w:tcW w:w="5889" w:type="dxa"/>
            <w:hideMark/>
          </w:tcPr>
          <w:p w14:paraId="49FB857E" w14:textId="77777777" w:rsidR="00AF1EC0" w:rsidRPr="00027091" w:rsidRDefault="00AF1EC0" w:rsidP="00265FF5">
            <w:pPr>
              <w:tabs>
                <w:tab w:val="left" w:pos="2268"/>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027091">
              <w:rPr>
                <w:rFonts w:ascii="Gill Sans MT" w:hAnsi="Gill Sans MT"/>
                <w:sz w:val="18"/>
                <w:szCs w:val="18"/>
              </w:rPr>
              <w:t> When I'm planning my work I use diagrams or mindmaps rather than lists or bullet points</w:t>
            </w:r>
          </w:p>
        </w:tc>
        <w:tc>
          <w:tcPr>
            <w:tcW w:w="1435" w:type="dxa"/>
            <w:hideMark/>
          </w:tcPr>
          <w:p w14:paraId="513D0DF6" w14:textId="77777777" w:rsidR="00AF1EC0" w:rsidRPr="00027091" w:rsidRDefault="00AF1EC0" w:rsidP="00265FF5">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0.5</w:t>
            </w:r>
            <w:r>
              <w:rPr>
                <w:rFonts w:ascii="Gill Sans MT" w:hAnsi="Gill Sans MT"/>
                <w:sz w:val="18"/>
                <w:szCs w:val="18"/>
              </w:rPr>
              <w:t>67</w:t>
            </w:r>
          </w:p>
        </w:tc>
      </w:tr>
      <w:tr w:rsidR="00AF1EC0" w:rsidRPr="004C52EF" w14:paraId="6F106268" w14:textId="77777777" w:rsidTr="005B5DBE">
        <w:trPr>
          <w:trHeight w:val="340"/>
        </w:trPr>
        <w:tc>
          <w:tcPr>
            <w:cnfStyle w:val="001000000000" w:firstRow="0" w:lastRow="0" w:firstColumn="1" w:lastColumn="0" w:oddVBand="0" w:evenVBand="0" w:oddHBand="0" w:evenHBand="0" w:firstRowFirstColumn="0" w:firstRowLastColumn="0" w:lastRowFirstColumn="0" w:lastRowLastColumn="0"/>
            <w:tcW w:w="1432" w:type="dxa"/>
            <w:hideMark/>
          </w:tcPr>
          <w:p w14:paraId="6C29CF2C" w14:textId="77777777" w:rsidR="00AF1EC0" w:rsidRPr="00027091" w:rsidRDefault="00AF1EC0" w:rsidP="00265FF5">
            <w:pPr>
              <w:tabs>
                <w:tab w:val="left" w:pos="2268"/>
              </w:tabs>
              <w:spacing w:before="0" w:after="0" w:line="240" w:lineRule="auto"/>
              <w:rPr>
                <w:rFonts w:ascii="Gill Sans MT" w:hAnsi="Gill Sans MT"/>
                <w:sz w:val="18"/>
                <w:szCs w:val="18"/>
              </w:rPr>
            </w:pPr>
            <w:r w:rsidRPr="00027091">
              <w:rPr>
                <w:rFonts w:ascii="Gill Sans MT" w:hAnsi="Gill Sans MT"/>
                <w:sz w:val="18"/>
                <w:szCs w:val="18"/>
              </w:rPr>
              <w:t>3.12</w:t>
            </w:r>
          </w:p>
        </w:tc>
        <w:tc>
          <w:tcPr>
            <w:tcW w:w="5889" w:type="dxa"/>
            <w:hideMark/>
          </w:tcPr>
          <w:p w14:paraId="1AFDC652" w14:textId="77777777" w:rsidR="00AF1EC0" w:rsidRPr="00027091" w:rsidRDefault="00AF1EC0" w:rsidP="00265FF5">
            <w:pPr>
              <w:tabs>
                <w:tab w:val="left" w:pos="2268"/>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027091">
              <w:rPr>
                <w:rFonts w:ascii="Gill Sans MT" w:hAnsi="Gill Sans MT"/>
                <w:sz w:val="18"/>
                <w:szCs w:val="18"/>
              </w:rPr>
              <w:t> I'm hopeless at remembering things like telephone numbers</w:t>
            </w:r>
          </w:p>
        </w:tc>
        <w:tc>
          <w:tcPr>
            <w:tcW w:w="1435" w:type="dxa"/>
            <w:hideMark/>
          </w:tcPr>
          <w:p w14:paraId="14ADEAAB" w14:textId="77777777" w:rsidR="00AF1EC0" w:rsidRPr="00027091" w:rsidRDefault="00AF1EC0" w:rsidP="00265FF5">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0.75</w:t>
            </w:r>
            <w:r>
              <w:rPr>
                <w:rFonts w:ascii="Gill Sans MT" w:hAnsi="Gill Sans MT"/>
                <w:sz w:val="18"/>
                <w:szCs w:val="18"/>
              </w:rPr>
              <w:t>4</w:t>
            </w:r>
          </w:p>
        </w:tc>
      </w:tr>
      <w:tr w:rsidR="00AF1EC0" w:rsidRPr="004C52EF" w14:paraId="1271059A" w14:textId="77777777" w:rsidTr="005B5DB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32" w:type="dxa"/>
            <w:hideMark/>
          </w:tcPr>
          <w:p w14:paraId="629C2A23" w14:textId="77777777" w:rsidR="00AF1EC0" w:rsidRPr="00027091" w:rsidRDefault="00AF1EC0" w:rsidP="00265FF5">
            <w:pPr>
              <w:tabs>
                <w:tab w:val="left" w:pos="2268"/>
              </w:tabs>
              <w:spacing w:before="0" w:after="0" w:line="240" w:lineRule="auto"/>
              <w:rPr>
                <w:rFonts w:ascii="Gill Sans MT" w:hAnsi="Gill Sans MT"/>
                <w:sz w:val="18"/>
                <w:szCs w:val="18"/>
              </w:rPr>
            </w:pPr>
            <w:r w:rsidRPr="00027091">
              <w:rPr>
                <w:rFonts w:ascii="Gill Sans MT" w:hAnsi="Gill Sans MT"/>
                <w:sz w:val="18"/>
                <w:szCs w:val="18"/>
              </w:rPr>
              <w:t>3.13</w:t>
            </w:r>
          </w:p>
        </w:tc>
        <w:tc>
          <w:tcPr>
            <w:tcW w:w="5889" w:type="dxa"/>
            <w:hideMark/>
          </w:tcPr>
          <w:p w14:paraId="1C097262" w14:textId="77777777" w:rsidR="00AF1EC0" w:rsidRPr="00027091" w:rsidRDefault="00AF1EC0" w:rsidP="00265FF5">
            <w:pPr>
              <w:tabs>
                <w:tab w:val="left" w:pos="2268"/>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027091">
              <w:rPr>
                <w:rFonts w:ascii="Gill Sans MT" w:hAnsi="Gill Sans MT"/>
                <w:sz w:val="18"/>
                <w:szCs w:val="18"/>
              </w:rPr>
              <w:t> I find following directions to get to places quite straightforward</w:t>
            </w:r>
          </w:p>
        </w:tc>
        <w:tc>
          <w:tcPr>
            <w:tcW w:w="1435" w:type="dxa"/>
            <w:hideMark/>
          </w:tcPr>
          <w:p w14:paraId="3175E222" w14:textId="77777777" w:rsidR="00AF1EC0" w:rsidRPr="00027091" w:rsidRDefault="00AF1EC0" w:rsidP="00265FF5">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0.52</w:t>
            </w:r>
            <w:r>
              <w:rPr>
                <w:rFonts w:ascii="Gill Sans MT" w:hAnsi="Gill Sans MT"/>
                <w:sz w:val="18"/>
                <w:szCs w:val="18"/>
              </w:rPr>
              <w:t>3</w:t>
            </w:r>
          </w:p>
        </w:tc>
      </w:tr>
      <w:tr w:rsidR="00AF1EC0" w:rsidRPr="004C52EF" w14:paraId="19DCF13C" w14:textId="77777777" w:rsidTr="005B5DBE">
        <w:trPr>
          <w:trHeight w:val="340"/>
        </w:trPr>
        <w:tc>
          <w:tcPr>
            <w:cnfStyle w:val="001000000000" w:firstRow="0" w:lastRow="0" w:firstColumn="1" w:lastColumn="0" w:oddVBand="0" w:evenVBand="0" w:oddHBand="0" w:evenHBand="0" w:firstRowFirstColumn="0" w:firstRowLastColumn="0" w:lastRowFirstColumn="0" w:lastRowLastColumn="0"/>
            <w:tcW w:w="1432" w:type="dxa"/>
            <w:hideMark/>
          </w:tcPr>
          <w:p w14:paraId="14F090DB" w14:textId="77777777" w:rsidR="00AF1EC0" w:rsidRPr="00027091" w:rsidRDefault="00AF1EC0" w:rsidP="00265FF5">
            <w:pPr>
              <w:tabs>
                <w:tab w:val="left" w:pos="2268"/>
              </w:tabs>
              <w:spacing w:before="0" w:after="0" w:line="240" w:lineRule="auto"/>
              <w:rPr>
                <w:rFonts w:ascii="Gill Sans MT" w:hAnsi="Gill Sans MT"/>
                <w:sz w:val="18"/>
                <w:szCs w:val="18"/>
              </w:rPr>
            </w:pPr>
            <w:r w:rsidRPr="00027091">
              <w:rPr>
                <w:rFonts w:ascii="Gill Sans MT" w:hAnsi="Gill Sans MT"/>
                <w:sz w:val="18"/>
                <w:szCs w:val="18"/>
              </w:rPr>
              <w:t>3.14</w:t>
            </w:r>
          </w:p>
        </w:tc>
        <w:tc>
          <w:tcPr>
            <w:tcW w:w="5889" w:type="dxa"/>
            <w:hideMark/>
          </w:tcPr>
          <w:p w14:paraId="6BF1E5F7" w14:textId="77777777" w:rsidR="00AF1EC0" w:rsidRPr="00027091" w:rsidRDefault="00AF1EC0" w:rsidP="00265FF5">
            <w:pPr>
              <w:tabs>
                <w:tab w:val="left" w:pos="2268"/>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027091">
              <w:rPr>
                <w:rFonts w:ascii="Gill Sans MT" w:hAnsi="Gill Sans MT"/>
                <w:sz w:val="18"/>
                <w:szCs w:val="18"/>
              </w:rPr>
              <w:t> I prefer looking at the 'big picture' rather than focusing on the details</w:t>
            </w:r>
          </w:p>
        </w:tc>
        <w:tc>
          <w:tcPr>
            <w:tcW w:w="1435" w:type="dxa"/>
            <w:hideMark/>
          </w:tcPr>
          <w:p w14:paraId="3A102EB7" w14:textId="77777777" w:rsidR="00AF1EC0" w:rsidRPr="00027091" w:rsidRDefault="00AF1EC0" w:rsidP="00265FF5">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0.57</w:t>
            </w:r>
            <w:r>
              <w:rPr>
                <w:rFonts w:ascii="Gill Sans MT" w:hAnsi="Gill Sans MT"/>
                <w:sz w:val="18"/>
                <w:szCs w:val="18"/>
              </w:rPr>
              <w:t>1</w:t>
            </w:r>
          </w:p>
        </w:tc>
      </w:tr>
      <w:tr w:rsidR="00AF1EC0" w:rsidRPr="004C52EF" w14:paraId="3586C908" w14:textId="77777777" w:rsidTr="005B5DB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32" w:type="dxa"/>
            <w:hideMark/>
          </w:tcPr>
          <w:p w14:paraId="4C1F3A9A" w14:textId="77777777" w:rsidR="00AF1EC0" w:rsidRPr="00027091" w:rsidRDefault="00AF1EC0" w:rsidP="00265FF5">
            <w:pPr>
              <w:tabs>
                <w:tab w:val="left" w:pos="2268"/>
              </w:tabs>
              <w:spacing w:before="0" w:after="0" w:line="240" w:lineRule="auto"/>
              <w:rPr>
                <w:rFonts w:ascii="Gill Sans MT" w:hAnsi="Gill Sans MT"/>
                <w:sz w:val="18"/>
                <w:szCs w:val="18"/>
              </w:rPr>
            </w:pPr>
            <w:r w:rsidRPr="00027091">
              <w:rPr>
                <w:rFonts w:ascii="Gill Sans MT" w:hAnsi="Gill Sans MT"/>
                <w:sz w:val="18"/>
                <w:szCs w:val="18"/>
              </w:rPr>
              <w:t>3.15</w:t>
            </w:r>
          </w:p>
        </w:tc>
        <w:tc>
          <w:tcPr>
            <w:tcW w:w="5889" w:type="dxa"/>
            <w:hideMark/>
          </w:tcPr>
          <w:p w14:paraId="6517FB70" w14:textId="77777777" w:rsidR="00AF1EC0" w:rsidRPr="00027091" w:rsidRDefault="00AF1EC0" w:rsidP="00265FF5">
            <w:pPr>
              <w:tabs>
                <w:tab w:val="left" w:pos="2268"/>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027091">
              <w:rPr>
                <w:rFonts w:ascii="Gill Sans MT" w:hAnsi="Gill Sans MT"/>
                <w:sz w:val="18"/>
                <w:szCs w:val="18"/>
              </w:rPr>
              <w:t> My friends say I often think in unusual or creative ways to solve problems</w:t>
            </w:r>
          </w:p>
        </w:tc>
        <w:tc>
          <w:tcPr>
            <w:tcW w:w="1435" w:type="dxa"/>
            <w:hideMark/>
          </w:tcPr>
          <w:p w14:paraId="6415DB31" w14:textId="77777777" w:rsidR="00AF1EC0" w:rsidRPr="00027091" w:rsidRDefault="00AF1EC0" w:rsidP="00265FF5">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0.63</w:t>
            </w:r>
            <w:r>
              <w:rPr>
                <w:rFonts w:ascii="Gill Sans MT" w:hAnsi="Gill Sans MT"/>
                <w:sz w:val="18"/>
                <w:szCs w:val="18"/>
              </w:rPr>
              <w:t>2</w:t>
            </w:r>
          </w:p>
        </w:tc>
      </w:tr>
      <w:tr w:rsidR="00AF1EC0" w:rsidRPr="004C52EF" w14:paraId="37B7C9EB" w14:textId="77777777" w:rsidTr="005B5DBE">
        <w:trPr>
          <w:trHeight w:val="340"/>
        </w:trPr>
        <w:tc>
          <w:tcPr>
            <w:cnfStyle w:val="001000000000" w:firstRow="0" w:lastRow="0" w:firstColumn="1" w:lastColumn="0" w:oddVBand="0" w:evenVBand="0" w:oddHBand="0" w:evenHBand="0" w:firstRowFirstColumn="0" w:firstRowLastColumn="0" w:lastRowFirstColumn="0" w:lastRowLastColumn="0"/>
            <w:tcW w:w="1432" w:type="dxa"/>
            <w:hideMark/>
          </w:tcPr>
          <w:p w14:paraId="0EDB16C5" w14:textId="77777777" w:rsidR="00AF1EC0" w:rsidRPr="00027091" w:rsidRDefault="00AF1EC0" w:rsidP="00265FF5">
            <w:pPr>
              <w:tabs>
                <w:tab w:val="left" w:pos="2268"/>
              </w:tabs>
              <w:spacing w:before="0" w:after="0" w:line="240" w:lineRule="auto"/>
              <w:rPr>
                <w:rFonts w:ascii="Gill Sans MT" w:hAnsi="Gill Sans MT"/>
                <w:sz w:val="18"/>
                <w:szCs w:val="18"/>
              </w:rPr>
            </w:pPr>
            <w:r w:rsidRPr="00027091">
              <w:rPr>
                <w:rFonts w:ascii="Gill Sans MT" w:hAnsi="Gill Sans MT"/>
                <w:sz w:val="18"/>
                <w:szCs w:val="18"/>
              </w:rPr>
              <w:t>3.16</w:t>
            </w:r>
          </w:p>
        </w:tc>
        <w:tc>
          <w:tcPr>
            <w:tcW w:w="5889" w:type="dxa"/>
            <w:hideMark/>
          </w:tcPr>
          <w:p w14:paraId="06053566" w14:textId="77777777" w:rsidR="00AF1EC0" w:rsidRPr="00027091" w:rsidRDefault="00AF1EC0" w:rsidP="00265FF5">
            <w:pPr>
              <w:tabs>
                <w:tab w:val="left" w:pos="2268"/>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027091">
              <w:rPr>
                <w:rFonts w:ascii="Gill Sans MT" w:hAnsi="Gill Sans MT"/>
                <w:sz w:val="18"/>
                <w:szCs w:val="18"/>
              </w:rPr>
              <w:t> I find it really challenging to make sense of a list of instructions</w:t>
            </w:r>
          </w:p>
        </w:tc>
        <w:tc>
          <w:tcPr>
            <w:tcW w:w="1435" w:type="dxa"/>
            <w:hideMark/>
          </w:tcPr>
          <w:p w14:paraId="10DE3584" w14:textId="77777777" w:rsidR="00AF1EC0" w:rsidRPr="00027091" w:rsidRDefault="00AF1EC0" w:rsidP="00265FF5">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0.52</w:t>
            </w:r>
            <w:r>
              <w:rPr>
                <w:rFonts w:ascii="Gill Sans MT" w:hAnsi="Gill Sans MT"/>
                <w:sz w:val="18"/>
                <w:szCs w:val="18"/>
              </w:rPr>
              <w:t>0</w:t>
            </w:r>
          </w:p>
        </w:tc>
      </w:tr>
      <w:tr w:rsidR="00AF1EC0" w:rsidRPr="004C52EF" w14:paraId="47FCD4EC" w14:textId="77777777" w:rsidTr="005B5DB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32" w:type="dxa"/>
            <w:hideMark/>
          </w:tcPr>
          <w:p w14:paraId="20CA025B" w14:textId="77777777" w:rsidR="00AF1EC0" w:rsidRPr="00027091" w:rsidRDefault="00AF1EC0" w:rsidP="00265FF5">
            <w:pPr>
              <w:tabs>
                <w:tab w:val="left" w:pos="2268"/>
              </w:tabs>
              <w:spacing w:before="0" w:after="0" w:line="240" w:lineRule="auto"/>
              <w:rPr>
                <w:rFonts w:ascii="Gill Sans MT" w:hAnsi="Gill Sans MT"/>
                <w:sz w:val="18"/>
                <w:szCs w:val="18"/>
              </w:rPr>
            </w:pPr>
            <w:r w:rsidRPr="00027091">
              <w:rPr>
                <w:rFonts w:ascii="Gill Sans MT" w:hAnsi="Gill Sans MT"/>
                <w:sz w:val="18"/>
                <w:szCs w:val="18"/>
              </w:rPr>
              <w:t>3.17</w:t>
            </w:r>
          </w:p>
        </w:tc>
        <w:tc>
          <w:tcPr>
            <w:tcW w:w="5889" w:type="dxa"/>
            <w:hideMark/>
          </w:tcPr>
          <w:p w14:paraId="00C92991" w14:textId="77777777" w:rsidR="00AF1EC0" w:rsidRPr="00027091" w:rsidRDefault="00AF1EC0" w:rsidP="00265FF5">
            <w:pPr>
              <w:tabs>
                <w:tab w:val="left" w:pos="2268"/>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027091">
              <w:rPr>
                <w:rFonts w:ascii="Gill Sans MT" w:hAnsi="Gill Sans MT"/>
                <w:sz w:val="18"/>
                <w:szCs w:val="18"/>
              </w:rPr>
              <w:t> I get my 'lefts' and 'rights' easily mixed up</w:t>
            </w:r>
          </w:p>
        </w:tc>
        <w:tc>
          <w:tcPr>
            <w:tcW w:w="1435" w:type="dxa"/>
            <w:hideMark/>
          </w:tcPr>
          <w:p w14:paraId="404C3E3F" w14:textId="77777777" w:rsidR="00AF1EC0" w:rsidRPr="00027091" w:rsidRDefault="00AF1EC0" w:rsidP="00265FF5">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0.5</w:t>
            </w:r>
            <w:r>
              <w:rPr>
                <w:rFonts w:ascii="Gill Sans MT" w:hAnsi="Gill Sans MT"/>
                <w:sz w:val="18"/>
                <w:szCs w:val="18"/>
              </w:rPr>
              <w:t>17</w:t>
            </w:r>
          </w:p>
        </w:tc>
      </w:tr>
      <w:tr w:rsidR="00AF1EC0" w:rsidRPr="004C52EF" w14:paraId="6DC0984F" w14:textId="77777777" w:rsidTr="005B5DBE">
        <w:trPr>
          <w:trHeight w:val="340"/>
        </w:trPr>
        <w:tc>
          <w:tcPr>
            <w:cnfStyle w:val="001000000000" w:firstRow="0" w:lastRow="0" w:firstColumn="1" w:lastColumn="0" w:oddVBand="0" w:evenVBand="0" w:oddHBand="0" w:evenHBand="0" w:firstRowFirstColumn="0" w:firstRowLastColumn="0" w:lastRowFirstColumn="0" w:lastRowLastColumn="0"/>
            <w:tcW w:w="1432" w:type="dxa"/>
            <w:hideMark/>
          </w:tcPr>
          <w:p w14:paraId="49814577" w14:textId="77777777" w:rsidR="00AF1EC0" w:rsidRPr="00027091" w:rsidRDefault="00AF1EC0" w:rsidP="00265FF5">
            <w:pPr>
              <w:tabs>
                <w:tab w:val="left" w:pos="2268"/>
              </w:tabs>
              <w:spacing w:before="0" w:after="0" w:line="240" w:lineRule="auto"/>
              <w:rPr>
                <w:rFonts w:ascii="Gill Sans MT" w:hAnsi="Gill Sans MT"/>
                <w:sz w:val="18"/>
                <w:szCs w:val="18"/>
              </w:rPr>
            </w:pPr>
            <w:r w:rsidRPr="00027091">
              <w:rPr>
                <w:rFonts w:ascii="Gill Sans MT" w:hAnsi="Gill Sans MT"/>
                <w:sz w:val="18"/>
                <w:szCs w:val="18"/>
              </w:rPr>
              <w:t>3.18</w:t>
            </w:r>
          </w:p>
        </w:tc>
        <w:tc>
          <w:tcPr>
            <w:tcW w:w="5889" w:type="dxa"/>
            <w:hideMark/>
          </w:tcPr>
          <w:p w14:paraId="7F52B700" w14:textId="77777777" w:rsidR="00AF1EC0" w:rsidRPr="00027091" w:rsidRDefault="00AF1EC0" w:rsidP="00265FF5">
            <w:pPr>
              <w:tabs>
                <w:tab w:val="left" w:pos="2268"/>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027091">
              <w:rPr>
                <w:rFonts w:ascii="Gill Sans MT" w:hAnsi="Gill Sans MT"/>
                <w:sz w:val="18"/>
                <w:szCs w:val="18"/>
              </w:rPr>
              <w:t> My tutors often tell me that my essays or assignments are confusing to read</w:t>
            </w:r>
          </w:p>
        </w:tc>
        <w:tc>
          <w:tcPr>
            <w:tcW w:w="1435" w:type="dxa"/>
            <w:hideMark/>
          </w:tcPr>
          <w:p w14:paraId="234373DD" w14:textId="77777777" w:rsidR="00AF1EC0" w:rsidRPr="00027091" w:rsidRDefault="00AF1EC0" w:rsidP="00265FF5">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0.70</w:t>
            </w:r>
            <w:r>
              <w:rPr>
                <w:rFonts w:ascii="Gill Sans MT" w:hAnsi="Gill Sans MT"/>
                <w:sz w:val="18"/>
                <w:szCs w:val="18"/>
              </w:rPr>
              <w:t>4</w:t>
            </w:r>
          </w:p>
        </w:tc>
      </w:tr>
      <w:tr w:rsidR="00AF1EC0" w:rsidRPr="004C52EF" w14:paraId="52226EAF" w14:textId="77777777" w:rsidTr="005B5DB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32" w:type="dxa"/>
            <w:hideMark/>
          </w:tcPr>
          <w:p w14:paraId="10A0034A" w14:textId="77777777" w:rsidR="00AF1EC0" w:rsidRPr="00027091" w:rsidRDefault="00AF1EC0" w:rsidP="00265FF5">
            <w:pPr>
              <w:tabs>
                <w:tab w:val="left" w:pos="2268"/>
              </w:tabs>
              <w:spacing w:before="0" w:after="0" w:line="240" w:lineRule="auto"/>
              <w:rPr>
                <w:rFonts w:ascii="Gill Sans MT" w:hAnsi="Gill Sans MT"/>
                <w:sz w:val="18"/>
                <w:szCs w:val="18"/>
              </w:rPr>
            </w:pPr>
            <w:r w:rsidRPr="00027091">
              <w:rPr>
                <w:rFonts w:ascii="Gill Sans MT" w:hAnsi="Gill Sans MT"/>
                <w:sz w:val="18"/>
                <w:szCs w:val="18"/>
              </w:rPr>
              <w:t>3.19</w:t>
            </w:r>
          </w:p>
        </w:tc>
        <w:tc>
          <w:tcPr>
            <w:tcW w:w="5889" w:type="dxa"/>
            <w:hideMark/>
          </w:tcPr>
          <w:p w14:paraId="65AAF9A2" w14:textId="77777777" w:rsidR="00AF1EC0" w:rsidRPr="00027091" w:rsidRDefault="00AF1EC0" w:rsidP="00265FF5">
            <w:pPr>
              <w:tabs>
                <w:tab w:val="left" w:pos="2268"/>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027091">
              <w:rPr>
                <w:rFonts w:ascii="Gill Sans MT" w:hAnsi="Gill Sans MT"/>
                <w:sz w:val="18"/>
                <w:szCs w:val="18"/>
              </w:rPr>
              <w:t> I get in a muddle when I'm searching for learning resources or information</w:t>
            </w:r>
          </w:p>
        </w:tc>
        <w:tc>
          <w:tcPr>
            <w:tcW w:w="1435" w:type="dxa"/>
            <w:hideMark/>
          </w:tcPr>
          <w:p w14:paraId="6B37AE31" w14:textId="77777777" w:rsidR="00AF1EC0" w:rsidRPr="00027091" w:rsidRDefault="00AF1EC0" w:rsidP="00265FF5">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0.64</w:t>
            </w:r>
            <w:r>
              <w:rPr>
                <w:rFonts w:ascii="Gill Sans MT" w:hAnsi="Gill Sans MT"/>
                <w:sz w:val="18"/>
                <w:szCs w:val="18"/>
              </w:rPr>
              <w:t>3</w:t>
            </w:r>
          </w:p>
        </w:tc>
      </w:tr>
      <w:tr w:rsidR="00AF1EC0" w:rsidRPr="004C52EF" w14:paraId="1EF94C7B" w14:textId="77777777" w:rsidTr="005B5DBE">
        <w:trPr>
          <w:trHeight w:val="340"/>
        </w:trPr>
        <w:tc>
          <w:tcPr>
            <w:cnfStyle w:val="001000000000" w:firstRow="0" w:lastRow="0" w:firstColumn="1" w:lastColumn="0" w:oddVBand="0" w:evenVBand="0" w:oddHBand="0" w:evenHBand="0" w:firstRowFirstColumn="0" w:firstRowLastColumn="0" w:lastRowFirstColumn="0" w:lastRowLastColumn="0"/>
            <w:tcW w:w="1432" w:type="dxa"/>
            <w:hideMark/>
          </w:tcPr>
          <w:p w14:paraId="0DFD042C" w14:textId="77777777" w:rsidR="00AF1EC0" w:rsidRPr="00027091" w:rsidRDefault="00AF1EC0" w:rsidP="00265FF5">
            <w:pPr>
              <w:tabs>
                <w:tab w:val="left" w:pos="2268"/>
              </w:tabs>
              <w:spacing w:before="0" w:after="0" w:line="240" w:lineRule="auto"/>
              <w:rPr>
                <w:rFonts w:ascii="Gill Sans MT" w:hAnsi="Gill Sans MT"/>
                <w:sz w:val="18"/>
                <w:szCs w:val="18"/>
              </w:rPr>
            </w:pPr>
            <w:r w:rsidRPr="00027091">
              <w:rPr>
                <w:rFonts w:ascii="Gill Sans MT" w:hAnsi="Gill Sans MT"/>
                <w:sz w:val="18"/>
                <w:szCs w:val="18"/>
              </w:rPr>
              <w:t>3.20</w:t>
            </w:r>
          </w:p>
        </w:tc>
        <w:tc>
          <w:tcPr>
            <w:tcW w:w="5889" w:type="dxa"/>
            <w:hideMark/>
          </w:tcPr>
          <w:p w14:paraId="3E95C23C" w14:textId="77777777" w:rsidR="00AF1EC0" w:rsidRPr="00027091" w:rsidRDefault="00AF1EC0" w:rsidP="00265FF5">
            <w:pPr>
              <w:tabs>
                <w:tab w:val="left" w:pos="2268"/>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027091">
              <w:rPr>
                <w:rFonts w:ascii="Gill Sans MT" w:hAnsi="Gill Sans MT"/>
                <w:sz w:val="18"/>
                <w:szCs w:val="18"/>
              </w:rPr>
              <w:t> I get really anxious if I'm asked to read 'out loud'</w:t>
            </w:r>
          </w:p>
        </w:tc>
        <w:tc>
          <w:tcPr>
            <w:tcW w:w="1435" w:type="dxa"/>
            <w:hideMark/>
          </w:tcPr>
          <w:p w14:paraId="12493EC2" w14:textId="77777777" w:rsidR="00AF1EC0" w:rsidRPr="00027091" w:rsidRDefault="00AF1EC0" w:rsidP="00265FF5">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0.7</w:t>
            </w:r>
            <w:r>
              <w:rPr>
                <w:rFonts w:ascii="Gill Sans MT" w:hAnsi="Gill Sans MT"/>
                <w:sz w:val="18"/>
                <w:szCs w:val="18"/>
              </w:rPr>
              <w:t>17</w:t>
            </w:r>
          </w:p>
        </w:tc>
      </w:tr>
    </w:tbl>
    <w:p w14:paraId="5CF7C068" w14:textId="77777777" w:rsidR="00AF1EC0" w:rsidRDefault="00AF1EC0" w:rsidP="00AF1EC0">
      <w:pPr>
        <w:pStyle w:val="Tables"/>
      </w:pPr>
      <w:bookmarkStart w:id="156" w:name="_Toc57033183"/>
      <w:r>
        <w:t>Table 4:</w:t>
      </w:r>
      <w:r>
        <w:tab/>
        <w:t>Weighting assigned to dyslexia dimension statements</w:t>
      </w:r>
      <w:bookmarkEnd w:id="156"/>
    </w:p>
    <w:p w14:paraId="254BC5B1" w14:textId="0785B649" w:rsidR="00604E31" w:rsidRDefault="00BD1F27" w:rsidP="00BD1F27">
      <w:pPr>
        <w:rPr>
          <w:rFonts w:eastAsia="Times New Roman"/>
          <w:lang w:eastAsia="en-GB"/>
        </w:rPr>
      </w:pPr>
      <w:r w:rsidRPr="00BD1F27">
        <w:rPr>
          <w:rFonts w:eastAsia="Times New Roman"/>
          <w:lang w:eastAsia="en-GB"/>
        </w:rPr>
        <w:lastRenderedPageBreak/>
        <w:t>dimensions established from the poll, were supplemented two additional dimensions were both assigned weightings of 0.61, this being the mean average weighting of the other 18 dimensions. This was considered reasonable given that no studies were found that were able to offer evidence of the prevalence of these dimensions in adults with dyslexia. The statements were ordered randomly to reduce the likelihood of order-effect bias. This is an error attributable to the sequence of questions or statements in a survey inducing a question-priming effect, such that a response provided for one statement or question subsequently influences the response for the following question, when these appear to be gauging the same or a similar aspect of the construct under scrutiny (McFarland, 1981).</w:t>
      </w:r>
    </w:p>
    <w:p w14:paraId="1F943C86" w14:textId="77777777" w:rsidR="00B976DB" w:rsidRDefault="00B976DB" w:rsidP="00B976DB">
      <w:pPr>
        <w:pStyle w:val="Heading5"/>
        <w:tabs>
          <w:tab w:val="left" w:pos="2268"/>
        </w:tabs>
      </w:pPr>
      <w:bookmarkStart w:id="157" w:name="GeneratingDx6"/>
      <w:bookmarkEnd w:id="157"/>
      <w:r>
        <w:t>6. Generating the Dyslexia Index (Dx)</w:t>
      </w:r>
    </w:p>
    <w:p w14:paraId="14E2A923" w14:textId="77777777" w:rsidR="00B976DB" w:rsidRDefault="00B976DB" w:rsidP="00B976DB">
      <w:pPr>
        <w:pStyle w:val="Heading5"/>
        <w:tabs>
          <w:tab w:val="left" w:pos="2268"/>
        </w:tabs>
      </w:pPr>
      <w:r>
        <w:t>Reverse coding</w:t>
      </w:r>
    </w:p>
    <w:p w14:paraId="496AC1A9" w14:textId="27813388" w:rsidR="00B976DB" w:rsidRPr="00BD1F27" w:rsidRDefault="00B976DB" w:rsidP="00B976DB">
      <w:pPr>
        <w:rPr>
          <w:rFonts w:eastAsia="Times New Roman"/>
          <w:lang w:eastAsia="en-GB"/>
        </w:rPr>
      </w:pPr>
      <w:r w:rsidRPr="00DA1A1E">
        <w:rPr>
          <w:lang w:eastAsia="en-GB"/>
        </w:rPr>
        <w:t xml:space="preserve">The objective of the Profiler was to generate a numerical output for every student participant - their Dyslexia Index (Dx) - and it was considered appropriate to aggregate the input-values of the Profiler in such a way that a high final Dx value </w:t>
      </w:r>
      <w:r>
        <w:rPr>
          <w:lang w:eastAsia="en-GB"/>
        </w:rPr>
        <w:t>indicates</w:t>
      </w:r>
      <w:r w:rsidRPr="00DA1A1E">
        <w:rPr>
          <w:lang w:eastAsia="en-GB"/>
        </w:rPr>
        <w:t xml:space="preserve"> a high level of dyslexia-ness. However, as the Dx Profiler was designed to include a balance of positively and negatively phrased statements (see sub-section 3.</w:t>
      </w:r>
      <w:r w:rsidR="00EB6B09">
        <w:rPr>
          <w:lang w:eastAsia="en-GB"/>
        </w:rPr>
        <w:t>3/</w:t>
      </w:r>
      <w:r w:rsidRPr="00DA1A1E">
        <w:rPr>
          <w:lang w:eastAsia="en-GB"/>
        </w:rPr>
        <w:t xml:space="preserve">II), if dimension-statement values were aggregated without taking account of whether a high or a low value </w:t>
      </w:r>
      <w:r>
        <w:rPr>
          <w:lang w:eastAsia="en-GB"/>
        </w:rPr>
        <w:t xml:space="preserve">for any particular statement </w:t>
      </w:r>
      <w:r w:rsidRPr="00DA1A1E">
        <w:rPr>
          <w:lang w:eastAsia="en-GB"/>
        </w:rPr>
        <w:t xml:space="preserve">was a marker of </w:t>
      </w:r>
      <w:r>
        <w:rPr>
          <w:lang w:eastAsia="en-GB"/>
        </w:rPr>
        <w:t xml:space="preserve">a high </w:t>
      </w:r>
      <w:r w:rsidRPr="00DA1A1E">
        <w:rPr>
          <w:lang w:eastAsia="en-GB"/>
        </w:rPr>
        <w:t xml:space="preserve">level of dyslexia-ness, the Dyslexia Index value would be </w:t>
      </w:r>
      <w:r>
        <w:rPr>
          <w:lang w:eastAsia="en-GB"/>
        </w:rPr>
        <w:t>compromised</w:t>
      </w:r>
      <w:r w:rsidRPr="00DA1A1E">
        <w:rPr>
          <w:lang w:eastAsia="en-GB"/>
        </w:rPr>
        <w:t xml:space="preserve">. For example, for Dimension #2: 'My spelling is generally very good', it is reasonable to expect that a strongly dyslexic participant would be likely to disagree with this statement, and hence record a low value for this dimension. Whereas for Dimension #1, relating to slow uptake of early years basic reading skills, the same </w:t>
      </w:r>
      <w:r>
        <w:rPr>
          <w:lang w:eastAsia="en-GB"/>
        </w:rPr>
        <w:t>participant</w:t>
      </w:r>
      <w:r w:rsidRPr="00DA1A1E">
        <w:rPr>
          <w:lang w:eastAsia="en-GB"/>
        </w:rPr>
        <w:t xml:space="preserve"> may be likely to record a high value, indicating strong agreement with the statement. Hence the value outputs for some statements needed to be reverse-coded to ensure that high values on all statements indicated high levels of dyslexia-ness.</w:t>
      </w:r>
    </w:p>
    <w:p w14:paraId="7AA95E85" w14:textId="0336F429" w:rsidR="00744804" w:rsidRPr="00744804" w:rsidRDefault="00744804" w:rsidP="00744804">
      <w:pPr>
        <w:rPr>
          <w:rFonts w:eastAsia="Times New Roman"/>
          <w:lang w:eastAsia="en-GB"/>
        </w:rPr>
      </w:pPr>
      <w:r w:rsidRPr="00744804">
        <w:rPr>
          <w:rFonts w:eastAsia="Times New Roman"/>
          <w:lang w:eastAsia="en-GB"/>
        </w:rPr>
        <w:t>As for identifying other dimensions that should be reverse-coded, this was a process that could only be achieved after data had been collected from participants in the research later. Several methods were trialled although after several iterations, the most likely outcomes were established by running a reliability analysis of the complete scale to generate Cronbach's ɑ reliability coefficients. When these outputs were integrated into the dimension reduction techniques later in the data analysis, it was possible to verify that Dimensions #5, and #7 also required data reverse coding. The reliability analysis also identified some dimensions that may be redundant, leading to a reduced scale of 16 dimensions, which is reported below (sub-section 4.</w:t>
      </w:r>
      <w:r>
        <w:rPr>
          <w:rFonts w:eastAsia="Times New Roman"/>
          <w:lang w:eastAsia="en-GB"/>
        </w:rPr>
        <w:t>3/III</w:t>
      </w:r>
      <w:r w:rsidR="00AF1EC0">
        <w:rPr>
          <w:rFonts w:eastAsia="Times New Roman"/>
          <w:lang w:eastAsia="en-GB"/>
        </w:rPr>
        <w:t>/1</w:t>
      </w:r>
      <w:r>
        <w:rPr>
          <w:rFonts w:eastAsia="Times New Roman"/>
          <w:lang w:eastAsia="en-GB"/>
        </w:rPr>
        <w:t>)</w:t>
      </w:r>
      <w:r w:rsidRPr="00744804">
        <w:rPr>
          <w:rFonts w:eastAsia="Times New Roman"/>
          <w:lang w:eastAsia="en-GB"/>
        </w:rPr>
        <w:t xml:space="preserve">. This aspect of the Dx Profiler requires developmental work and this may form the topic for a later project. </w:t>
      </w:r>
      <w:r w:rsidRPr="00744804">
        <w:rPr>
          <w:rFonts w:eastAsia="Times New Roman"/>
          <w:lang w:eastAsia="en-GB"/>
        </w:rPr>
        <w:lastRenderedPageBreak/>
        <w:t>However, in this current study, given the caveats mentioned, the process was considered robust enough to enable the outputs from the Profiler to be used.</w:t>
      </w:r>
    </w:p>
    <w:p w14:paraId="23140ECE" w14:textId="77777777" w:rsidR="00604E31" w:rsidRDefault="00604E31" w:rsidP="00604E31">
      <w:pPr>
        <w:pStyle w:val="Heading5"/>
        <w:tabs>
          <w:tab w:val="left" w:pos="2268"/>
        </w:tabs>
      </w:pPr>
      <w:r>
        <w:t>Calculating Dyslexia Index (Dx)</w:t>
      </w:r>
    </w:p>
    <w:p w14:paraId="5388B14D" w14:textId="0B70B1BB" w:rsidR="00604E31" w:rsidRPr="00120A49" w:rsidRDefault="00604E31" w:rsidP="00604E31">
      <w:pPr>
        <w:tabs>
          <w:tab w:val="left" w:pos="2268"/>
        </w:tabs>
      </w:pPr>
      <w:r>
        <w:t xml:space="preserve">The weighted mean calculation of the Dyslexia Index (Dx) using the raw scores </w:t>
      </w:r>
      <w:r w:rsidR="00744804">
        <w:t xml:space="preserve">(observed values) </w:t>
      </w:r>
      <w:r>
        <w:t xml:space="preserve">from a randomly chosen participant </w:t>
      </w:r>
      <w:r w:rsidR="00744804">
        <w:t>- a female, home, undergraduate who had declared dyslexia - has been used an example of the process (Table 5</w:t>
      </w:r>
      <w:r w:rsidR="00B976DB">
        <w:t>).</w:t>
      </w:r>
    </w:p>
    <w:tbl>
      <w:tblPr>
        <w:tblStyle w:val="GridTable5Dark-Accent1"/>
        <w:tblW w:w="5000" w:type="pct"/>
        <w:tblLayout w:type="fixed"/>
        <w:tblLook w:val="04A0" w:firstRow="1" w:lastRow="0" w:firstColumn="1" w:lastColumn="0" w:noHBand="0" w:noVBand="1"/>
      </w:tblPr>
      <w:tblGrid>
        <w:gridCol w:w="1153"/>
        <w:gridCol w:w="4290"/>
        <w:gridCol w:w="981"/>
        <w:gridCol w:w="981"/>
        <w:gridCol w:w="1259"/>
      </w:tblGrid>
      <w:tr w:rsidR="00604E31" w:rsidRPr="00DA1FA2" w14:paraId="25156691" w14:textId="77777777" w:rsidTr="005B5DB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779" w:type="dxa"/>
            <w:gridSpan w:val="5"/>
          </w:tcPr>
          <w:p w14:paraId="3E06C737" w14:textId="77777777" w:rsidR="00604E31" w:rsidRPr="005423FB" w:rsidRDefault="00604E31" w:rsidP="008418A1">
            <w:pPr>
              <w:tabs>
                <w:tab w:val="left" w:pos="2268"/>
              </w:tabs>
              <w:spacing w:before="0" w:after="0" w:line="240" w:lineRule="auto"/>
              <w:jc w:val="center"/>
              <w:rPr>
                <w:rFonts w:ascii="Gill Sans MT" w:hAnsi="Gill Sans MT"/>
                <w:i/>
                <w:iCs/>
                <w:sz w:val="18"/>
                <w:szCs w:val="18"/>
              </w:rPr>
            </w:pPr>
            <w:r>
              <w:rPr>
                <w:rFonts w:ascii="Gill Sans MT" w:hAnsi="Gill Sans MT"/>
                <w:i/>
                <w:iCs/>
                <w:sz w:val="18"/>
                <w:szCs w:val="18"/>
              </w:rPr>
              <w:t>Research Participant #87564798</w:t>
            </w:r>
          </w:p>
        </w:tc>
      </w:tr>
      <w:tr w:rsidR="00604E31" w:rsidRPr="00DA1FA2" w14:paraId="645BD679" w14:textId="77777777" w:rsidTr="005B5DB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68" w:type="dxa"/>
            <w:hideMark/>
          </w:tcPr>
          <w:p w14:paraId="410C9D7F" w14:textId="77777777" w:rsidR="00604E31" w:rsidRPr="00DA1FA2" w:rsidRDefault="00604E31" w:rsidP="008418A1">
            <w:pPr>
              <w:tabs>
                <w:tab w:val="left" w:pos="2268"/>
              </w:tabs>
              <w:spacing w:before="0" w:after="0" w:line="240" w:lineRule="auto"/>
              <w:rPr>
                <w:rFonts w:ascii="Gill Sans MT" w:hAnsi="Gill Sans MT"/>
                <w:sz w:val="18"/>
                <w:szCs w:val="18"/>
              </w:rPr>
            </w:pPr>
            <w:r>
              <w:rPr>
                <w:rFonts w:ascii="Gill Sans MT" w:hAnsi="Gill Sans MT"/>
                <w:i/>
                <w:iCs/>
                <w:sz w:val="18"/>
                <w:szCs w:val="18"/>
              </w:rPr>
              <w:t>Dim #</w:t>
            </w:r>
          </w:p>
        </w:tc>
        <w:tc>
          <w:tcPr>
            <w:tcW w:w="4352" w:type="dxa"/>
            <w:hideMark/>
          </w:tcPr>
          <w:p w14:paraId="1C02DC4B" w14:textId="77777777" w:rsidR="00604E31" w:rsidRPr="005423FB" w:rsidRDefault="00604E31" w:rsidP="008418A1">
            <w:pPr>
              <w:tabs>
                <w:tab w:val="left" w:pos="2268"/>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i/>
                <w:iCs/>
                <w:sz w:val="18"/>
                <w:szCs w:val="18"/>
              </w:rPr>
            </w:pPr>
            <w:r w:rsidRPr="005423FB">
              <w:rPr>
                <w:rFonts w:ascii="Gill Sans MT" w:hAnsi="Gill Sans MT"/>
                <w:i/>
                <w:iCs/>
                <w:sz w:val="18"/>
                <w:szCs w:val="18"/>
              </w:rPr>
              <w:t>Statement</w:t>
            </w:r>
          </w:p>
        </w:tc>
        <w:tc>
          <w:tcPr>
            <w:tcW w:w="992" w:type="dxa"/>
            <w:hideMark/>
          </w:tcPr>
          <w:p w14:paraId="34C9E3D7" w14:textId="77777777" w:rsidR="00604E31" w:rsidRPr="005423FB" w:rsidRDefault="00604E31" w:rsidP="008418A1">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i/>
                <w:iCs/>
                <w:sz w:val="18"/>
                <w:szCs w:val="18"/>
              </w:rPr>
            </w:pPr>
            <w:r w:rsidRPr="005423FB">
              <w:rPr>
                <w:rFonts w:ascii="Gill Sans MT" w:hAnsi="Gill Sans MT"/>
                <w:i/>
                <w:iCs/>
                <w:sz w:val="18"/>
                <w:szCs w:val="18"/>
              </w:rPr>
              <w:t>observed value</w:t>
            </w:r>
          </w:p>
        </w:tc>
        <w:tc>
          <w:tcPr>
            <w:tcW w:w="992" w:type="dxa"/>
            <w:hideMark/>
          </w:tcPr>
          <w:p w14:paraId="40368A98" w14:textId="77777777" w:rsidR="00604E31" w:rsidRPr="005423FB" w:rsidRDefault="00604E31" w:rsidP="008418A1">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i/>
                <w:iCs/>
                <w:sz w:val="18"/>
                <w:szCs w:val="18"/>
              </w:rPr>
            </w:pPr>
            <w:r w:rsidRPr="005423FB">
              <w:rPr>
                <w:rFonts w:ascii="Gill Sans MT" w:hAnsi="Gill Sans MT"/>
                <w:i/>
                <w:iCs/>
                <w:sz w:val="18"/>
                <w:szCs w:val="18"/>
              </w:rPr>
              <w:t>weighting</w:t>
            </w:r>
          </w:p>
        </w:tc>
        <w:tc>
          <w:tcPr>
            <w:tcW w:w="1275" w:type="dxa"/>
            <w:hideMark/>
          </w:tcPr>
          <w:p w14:paraId="076FBABF" w14:textId="77777777" w:rsidR="00604E31" w:rsidRPr="005423FB" w:rsidRDefault="00604E31" w:rsidP="008418A1">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i/>
                <w:iCs/>
                <w:sz w:val="18"/>
                <w:szCs w:val="18"/>
              </w:rPr>
            </w:pPr>
            <w:r w:rsidRPr="005423FB">
              <w:rPr>
                <w:rFonts w:ascii="Gill Sans MT" w:hAnsi="Gill Sans MT"/>
                <w:i/>
                <w:iCs/>
                <w:sz w:val="18"/>
                <w:szCs w:val="18"/>
              </w:rPr>
              <w:t>weighted value</w:t>
            </w:r>
          </w:p>
        </w:tc>
      </w:tr>
      <w:tr w:rsidR="00604E31" w:rsidRPr="00DA1FA2" w14:paraId="5600D42C" w14:textId="77777777" w:rsidTr="005B5DBE">
        <w:trPr>
          <w:trHeight w:val="454"/>
        </w:trPr>
        <w:tc>
          <w:tcPr>
            <w:cnfStyle w:val="001000000000" w:firstRow="0" w:lastRow="0" w:firstColumn="1" w:lastColumn="0" w:oddVBand="0" w:evenVBand="0" w:oddHBand="0" w:evenHBand="0" w:firstRowFirstColumn="0" w:firstRowLastColumn="0" w:lastRowFirstColumn="0" w:lastRowLastColumn="0"/>
            <w:tcW w:w="1168" w:type="dxa"/>
          </w:tcPr>
          <w:p w14:paraId="323FDCCA" w14:textId="77777777" w:rsidR="00604E31" w:rsidRPr="00DA1FA2" w:rsidRDefault="00604E31" w:rsidP="008418A1">
            <w:pPr>
              <w:tabs>
                <w:tab w:val="left" w:pos="2268"/>
              </w:tabs>
              <w:spacing w:before="0" w:after="0" w:line="240" w:lineRule="auto"/>
              <w:jc w:val="center"/>
              <w:rPr>
                <w:rFonts w:ascii="Gill Sans MT" w:hAnsi="Gill Sans MT"/>
                <w:sz w:val="18"/>
                <w:szCs w:val="18"/>
              </w:rPr>
            </w:pPr>
            <w:r>
              <w:rPr>
                <w:rFonts w:ascii="Gill Sans MT" w:hAnsi="Gill Sans MT"/>
                <w:sz w:val="18"/>
                <w:szCs w:val="18"/>
              </w:rPr>
              <w:t>1</w:t>
            </w:r>
          </w:p>
        </w:tc>
        <w:tc>
          <w:tcPr>
            <w:tcW w:w="4352" w:type="dxa"/>
            <w:hideMark/>
          </w:tcPr>
          <w:p w14:paraId="5705FC63" w14:textId="77777777" w:rsidR="00604E31" w:rsidRPr="00DA1FA2" w:rsidRDefault="00604E31" w:rsidP="008418A1">
            <w:pPr>
              <w:tabs>
                <w:tab w:val="left" w:pos="2268"/>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DA1FA2">
              <w:rPr>
                <w:rFonts w:ascii="Gill Sans MT" w:hAnsi="Gill Sans MT"/>
                <w:sz w:val="18"/>
                <w:szCs w:val="18"/>
              </w:rPr>
              <w:t> When I was learning to read at school, I often felt I was slower than others in my class</w:t>
            </w:r>
          </w:p>
        </w:tc>
        <w:tc>
          <w:tcPr>
            <w:tcW w:w="992" w:type="dxa"/>
            <w:hideMark/>
          </w:tcPr>
          <w:p w14:paraId="1BB034FD" w14:textId="77777777" w:rsidR="00604E31" w:rsidRPr="00ED0252" w:rsidRDefault="00604E31" w:rsidP="008418A1">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77</w:t>
            </w:r>
          </w:p>
        </w:tc>
        <w:tc>
          <w:tcPr>
            <w:tcW w:w="992" w:type="dxa"/>
            <w:hideMark/>
          </w:tcPr>
          <w:p w14:paraId="51ED8B47" w14:textId="77777777" w:rsidR="00604E31" w:rsidRPr="00ED0252" w:rsidRDefault="00604E31" w:rsidP="008418A1">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0.80</w:t>
            </w:r>
            <w:r>
              <w:rPr>
                <w:rFonts w:ascii="Gill Sans MT" w:hAnsi="Gill Sans MT"/>
                <w:sz w:val="18"/>
                <w:szCs w:val="18"/>
              </w:rPr>
              <w:t>0</w:t>
            </w:r>
          </w:p>
        </w:tc>
        <w:tc>
          <w:tcPr>
            <w:tcW w:w="1275" w:type="dxa"/>
            <w:hideMark/>
          </w:tcPr>
          <w:p w14:paraId="2104F391" w14:textId="77777777" w:rsidR="00604E31" w:rsidRPr="00ED0252" w:rsidRDefault="00604E31" w:rsidP="008418A1">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61.6</w:t>
            </w:r>
            <w:r>
              <w:rPr>
                <w:rFonts w:ascii="Gill Sans MT" w:hAnsi="Gill Sans MT" w:cs="Calibri"/>
                <w:color w:val="000000"/>
                <w:sz w:val="18"/>
                <w:szCs w:val="18"/>
              </w:rPr>
              <w:t>00</w:t>
            </w:r>
          </w:p>
        </w:tc>
      </w:tr>
      <w:tr w:rsidR="00604E31" w:rsidRPr="00DA1FA2" w14:paraId="65327933" w14:textId="77777777" w:rsidTr="005B5DB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68" w:type="dxa"/>
          </w:tcPr>
          <w:p w14:paraId="78D8754C" w14:textId="77777777" w:rsidR="00604E31" w:rsidRPr="00DA1FA2" w:rsidRDefault="00604E31" w:rsidP="008418A1">
            <w:pPr>
              <w:tabs>
                <w:tab w:val="left" w:pos="2268"/>
              </w:tabs>
              <w:spacing w:before="0" w:after="0" w:line="240" w:lineRule="auto"/>
              <w:jc w:val="center"/>
              <w:rPr>
                <w:rFonts w:ascii="Gill Sans MT" w:hAnsi="Gill Sans MT"/>
                <w:sz w:val="18"/>
                <w:szCs w:val="18"/>
              </w:rPr>
            </w:pPr>
            <w:r>
              <w:rPr>
                <w:rFonts w:ascii="Gill Sans MT" w:hAnsi="Gill Sans MT"/>
                <w:sz w:val="18"/>
                <w:szCs w:val="18"/>
              </w:rPr>
              <w:t>2</w:t>
            </w:r>
          </w:p>
        </w:tc>
        <w:tc>
          <w:tcPr>
            <w:tcW w:w="4352" w:type="dxa"/>
            <w:hideMark/>
          </w:tcPr>
          <w:p w14:paraId="2318D23B" w14:textId="77777777" w:rsidR="00604E31" w:rsidRPr="00DA1FA2" w:rsidRDefault="00604E31" w:rsidP="008418A1">
            <w:pPr>
              <w:tabs>
                <w:tab w:val="left" w:pos="2268"/>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DA1FA2">
              <w:rPr>
                <w:rFonts w:ascii="Gill Sans MT" w:hAnsi="Gill Sans MT"/>
                <w:sz w:val="18"/>
                <w:szCs w:val="18"/>
              </w:rPr>
              <w:t> My spelling is generally very good</w:t>
            </w:r>
          </w:p>
        </w:tc>
        <w:tc>
          <w:tcPr>
            <w:tcW w:w="992" w:type="dxa"/>
            <w:hideMark/>
          </w:tcPr>
          <w:p w14:paraId="0A45F163" w14:textId="77777777" w:rsidR="00604E31" w:rsidRPr="00ED0252" w:rsidRDefault="00604E31" w:rsidP="008418A1">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70</w:t>
            </w:r>
            <w:r>
              <w:rPr>
                <w:rFonts w:ascii="Gill Sans MT" w:hAnsi="Gill Sans MT" w:cs="Calibri"/>
                <w:color w:val="000000"/>
                <w:sz w:val="18"/>
                <w:szCs w:val="18"/>
              </w:rPr>
              <w:t>*</w:t>
            </w:r>
          </w:p>
        </w:tc>
        <w:tc>
          <w:tcPr>
            <w:tcW w:w="992" w:type="dxa"/>
            <w:hideMark/>
          </w:tcPr>
          <w:p w14:paraId="384A0F2C" w14:textId="77777777" w:rsidR="00604E31" w:rsidRPr="00ED0252" w:rsidRDefault="00604E31" w:rsidP="008418A1">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0.5</w:t>
            </w:r>
            <w:r>
              <w:rPr>
                <w:rFonts w:ascii="Gill Sans MT" w:hAnsi="Gill Sans MT"/>
                <w:sz w:val="18"/>
                <w:szCs w:val="18"/>
              </w:rPr>
              <w:t>29</w:t>
            </w:r>
          </w:p>
        </w:tc>
        <w:tc>
          <w:tcPr>
            <w:tcW w:w="1275" w:type="dxa"/>
            <w:hideMark/>
          </w:tcPr>
          <w:p w14:paraId="0C34EB45" w14:textId="77777777" w:rsidR="00604E31" w:rsidRPr="00ED0252" w:rsidRDefault="00604E31" w:rsidP="008418A1">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37.03</w:t>
            </w:r>
            <w:r>
              <w:rPr>
                <w:rFonts w:ascii="Gill Sans MT" w:hAnsi="Gill Sans MT" w:cs="Calibri"/>
                <w:color w:val="000000"/>
                <w:sz w:val="18"/>
                <w:szCs w:val="18"/>
              </w:rPr>
              <w:t>0</w:t>
            </w:r>
          </w:p>
        </w:tc>
      </w:tr>
      <w:tr w:rsidR="00604E31" w:rsidRPr="00DA1FA2" w14:paraId="06EE90FF" w14:textId="77777777" w:rsidTr="005B5DBE">
        <w:trPr>
          <w:trHeight w:val="454"/>
        </w:trPr>
        <w:tc>
          <w:tcPr>
            <w:cnfStyle w:val="001000000000" w:firstRow="0" w:lastRow="0" w:firstColumn="1" w:lastColumn="0" w:oddVBand="0" w:evenVBand="0" w:oddHBand="0" w:evenHBand="0" w:firstRowFirstColumn="0" w:firstRowLastColumn="0" w:lastRowFirstColumn="0" w:lastRowLastColumn="0"/>
            <w:tcW w:w="1168" w:type="dxa"/>
          </w:tcPr>
          <w:p w14:paraId="5C609023" w14:textId="77777777" w:rsidR="00604E31" w:rsidRPr="00DA1FA2" w:rsidRDefault="00604E31" w:rsidP="008418A1">
            <w:pPr>
              <w:tabs>
                <w:tab w:val="left" w:pos="2268"/>
              </w:tabs>
              <w:spacing w:before="0" w:after="0" w:line="240" w:lineRule="auto"/>
              <w:jc w:val="center"/>
              <w:rPr>
                <w:rFonts w:ascii="Gill Sans MT" w:hAnsi="Gill Sans MT"/>
                <w:sz w:val="18"/>
                <w:szCs w:val="18"/>
              </w:rPr>
            </w:pPr>
            <w:r>
              <w:rPr>
                <w:rFonts w:ascii="Gill Sans MT" w:hAnsi="Gill Sans MT"/>
                <w:sz w:val="18"/>
                <w:szCs w:val="18"/>
              </w:rPr>
              <w:t>3</w:t>
            </w:r>
          </w:p>
        </w:tc>
        <w:tc>
          <w:tcPr>
            <w:tcW w:w="4352" w:type="dxa"/>
            <w:hideMark/>
          </w:tcPr>
          <w:p w14:paraId="7F867D28" w14:textId="77777777" w:rsidR="00604E31" w:rsidRPr="00DA1FA2" w:rsidRDefault="00604E31" w:rsidP="008418A1">
            <w:pPr>
              <w:tabs>
                <w:tab w:val="left" w:pos="2268"/>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DA1FA2">
              <w:rPr>
                <w:rFonts w:ascii="Gill Sans MT" w:hAnsi="Gill Sans MT"/>
                <w:sz w:val="18"/>
                <w:szCs w:val="18"/>
              </w:rPr>
              <w:t> I find it very challenging to manage my time efficiently</w:t>
            </w:r>
          </w:p>
        </w:tc>
        <w:tc>
          <w:tcPr>
            <w:tcW w:w="992" w:type="dxa"/>
            <w:hideMark/>
          </w:tcPr>
          <w:p w14:paraId="657C5DB1" w14:textId="77777777" w:rsidR="00604E31" w:rsidRPr="00ED0252" w:rsidRDefault="00604E31" w:rsidP="008418A1">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66</w:t>
            </w:r>
          </w:p>
        </w:tc>
        <w:tc>
          <w:tcPr>
            <w:tcW w:w="992" w:type="dxa"/>
            <w:hideMark/>
          </w:tcPr>
          <w:p w14:paraId="6F233A5F" w14:textId="77777777" w:rsidR="00604E31" w:rsidRPr="00ED0252" w:rsidRDefault="00604E31" w:rsidP="008418A1">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w:t>
            </w:r>
            <w:r>
              <w:rPr>
                <w:rFonts w:ascii="Gill Sans MT" w:hAnsi="Gill Sans MT"/>
                <w:sz w:val="18"/>
                <w:szCs w:val="18"/>
              </w:rPr>
              <w:t>699</w:t>
            </w:r>
          </w:p>
        </w:tc>
        <w:tc>
          <w:tcPr>
            <w:tcW w:w="1275" w:type="dxa"/>
            <w:hideMark/>
          </w:tcPr>
          <w:p w14:paraId="35833E02" w14:textId="77777777" w:rsidR="00604E31" w:rsidRPr="00ED0252" w:rsidRDefault="00604E31" w:rsidP="008418A1">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46.134</w:t>
            </w:r>
          </w:p>
        </w:tc>
      </w:tr>
      <w:tr w:rsidR="00604E31" w:rsidRPr="00DA1FA2" w14:paraId="0AD87992" w14:textId="77777777" w:rsidTr="005B5DB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68" w:type="dxa"/>
          </w:tcPr>
          <w:p w14:paraId="093D37F1" w14:textId="77777777" w:rsidR="00604E31" w:rsidRPr="00DA1FA2" w:rsidRDefault="00604E31" w:rsidP="008418A1">
            <w:pPr>
              <w:tabs>
                <w:tab w:val="left" w:pos="2268"/>
              </w:tabs>
              <w:spacing w:before="0" w:after="0" w:line="240" w:lineRule="auto"/>
              <w:jc w:val="center"/>
              <w:rPr>
                <w:rFonts w:ascii="Gill Sans MT" w:hAnsi="Gill Sans MT"/>
                <w:sz w:val="18"/>
                <w:szCs w:val="18"/>
              </w:rPr>
            </w:pPr>
            <w:r>
              <w:rPr>
                <w:rFonts w:ascii="Gill Sans MT" w:hAnsi="Gill Sans MT"/>
                <w:sz w:val="18"/>
                <w:szCs w:val="18"/>
              </w:rPr>
              <w:t>4</w:t>
            </w:r>
          </w:p>
        </w:tc>
        <w:tc>
          <w:tcPr>
            <w:tcW w:w="4352" w:type="dxa"/>
            <w:hideMark/>
          </w:tcPr>
          <w:p w14:paraId="0C97DFF6" w14:textId="77777777" w:rsidR="00604E31" w:rsidRPr="00DA1FA2" w:rsidRDefault="00604E31" w:rsidP="008418A1">
            <w:pPr>
              <w:tabs>
                <w:tab w:val="left" w:pos="2268"/>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DA1FA2">
              <w:rPr>
                <w:rFonts w:ascii="Gill Sans MT" w:hAnsi="Gill Sans MT"/>
                <w:sz w:val="18"/>
                <w:szCs w:val="18"/>
              </w:rPr>
              <w:t> I can explain things to people much more easily verbally than in my writing</w:t>
            </w:r>
          </w:p>
        </w:tc>
        <w:tc>
          <w:tcPr>
            <w:tcW w:w="992" w:type="dxa"/>
            <w:hideMark/>
          </w:tcPr>
          <w:p w14:paraId="397797D1" w14:textId="77777777" w:rsidR="00604E31" w:rsidRPr="00ED0252" w:rsidRDefault="00604E31" w:rsidP="008418A1">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83</w:t>
            </w:r>
          </w:p>
        </w:tc>
        <w:tc>
          <w:tcPr>
            <w:tcW w:w="992" w:type="dxa"/>
            <w:hideMark/>
          </w:tcPr>
          <w:p w14:paraId="3C07F049" w14:textId="77777777" w:rsidR="00604E31" w:rsidRPr="00ED0252" w:rsidRDefault="00604E31" w:rsidP="008418A1">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0.7</w:t>
            </w:r>
            <w:r>
              <w:rPr>
                <w:rFonts w:ascii="Gill Sans MT" w:hAnsi="Gill Sans MT"/>
                <w:sz w:val="18"/>
                <w:szCs w:val="18"/>
              </w:rPr>
              <w:t>06</w:t>
            </w:r>
          </w:p>
        </w:tc>
        <w:tc>
          <w:tcPr>
            <w:tcW w:w="1275" w:type="dxa"/>
            <w:hideMark/>
          </w:tcPr>
          <w:p w14:paraId="179A05AD" w14:textId="77777777" w:rsidR="00604E31" w:rsidRPr="00ED0252" w:rsidRDefault="00604E31" w:rsidP="008418A1">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58.598</w:t>
            </w:r>
          </w:p>
        </w:tc>
      </w:tr>
      <w:tr w:rsidR="00604E31" w:rsidRPr="00DA1FA2" w14:paraId="7E131A56" w14:textId="77777777" w:rsidTr="005B5DBE">
        <w:trPr>
          <w:trHeight w:val="454"/>
        </w:trPr>
        <w:tc>
          <w:tcPr>
            <w:cnfStyle w:val="001000000000" w:firstRow="0" w:lastRow="0" w:firstColumn="1" w:lastColumn="0" w:oddVBand="0" w:evenVBand="0" w:oddHBand="0" w:evenHBand="0" w:firstRowFirstColumn="0" w:firstRowLastColumn="0" w:lastRowFirstColumn="0" w:lastRowLastColumn="0"/>
            <w:tcW w:w="1168" w:type="dxa"/>
          </w:tcPr>
          <w:p w14:paraId="2DBC809A" w14:textId="77777777" w:rsidR="00604E31" w:rsidRPr="00DA1FA2" w:rsidRDefault="00604E31" w:rsidP="008418A1">
            <w:pPr>
              <w:tabs>
                <w:tab w:val="left" w:pos="2268"/>
              </w:tabs>
              <w:spacing w:before="0" w:after="0" w:line="240" w:lineRule="auto"/>
              <w:jc w:val="center"/>
              <w:rPr>
                <w:rFonts w:ascii="Gill Sans MT" w:hAnsi="Gill Sans MT"/>
                <w:sz w:val="18"/>
                <w:szCs w:val="18"/>
              </w:rPr>
            </w:pPr>
            <w:r>
              <w:rPr>
                <w:rFonts w:ascii="Gill Sans MT" w:hAnsi="Gill Sans MT"/>
                <w:sz w:val="18"/>
                <w:szCs w:val="18"/>
              </w:rPr>
              <w:t>5</w:t>
            </w:r>
          </w:p>
        </w:tc>
        <w:tc>
          <w:tcPr>
            <w:tcW w:w="4352" w:type="dxa"/>
            <w:hideMark/>
          </w:tcPr>
          <w:p w14:paraId="339E4E04" w14:textId="77777777" w:rsidR="00604E31" w:rsidRPr="00DA1FA2" w:rsidRDefault="00604E31" w:rsidP="008418A1">
            <w:pPr>
              <w:tabs>
                <w:tab w:val="left" w:pos="2268"/>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DA1FA2">
              <w:rPr>
                <w:rFonts w:ascii="Gill Sans MT" w:hAnsi="Gill Sans MT"/>
                <w:sz w:val="18"/>
                <w:szCs w:val="18"/>
              </w:rPr>
              <w:t> I think I am a highly organized learner</w:t>
            </w:r>
          </w:p>
        </w:tc>
        <w:tc>
          <w:tcPr>
            <w:tcW w:w="992" w:type="dxa"/>
            <w:hideMark/>
          </w:tcPr>
          <w:p w14:paraId="5B23C086" w14:textId="77777777" w:rsidR="00604E31" w:rsidRPr="00ED0252" w:rsidRDefault="00604E31" w:rsidP="008418A1">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17</w:t>
            </w:r>
          </w:p>
        </w:tc>
        <w:tc>
          <w:tcPr>
            <w:tcW w:w="992" w:type="dxa"/>
            <w:hideMark/>
          </w:tcPr>
          <w:p w14:paraId="059DC30E" w14:textId="77777777" w:rsidR="00604E31" w:rsidRPr="00ED0252" w:rsidRDefault="00604E31" w:rsidP="008418A1">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w:t>
            </w:r>
            <w:r>
              <w:rPr>
                <w:rFonts w:ascii="Gill Sans MT" w:hAnsi="Gill Sans MT"/>
                <w:sz w:val="18"/>
                <w:szCs w:val="18"/>
              </w:rPr>
              <w:t>572</w:t>
            </w:r>
          </w:p>
        </w:tc>
        <w:tc>
          <w:tcPr>
            <w:tcW w:w="1275" w:type="dxa"/>
            <w:hideMark/>
          </w:tcPr>
          <w:p w14:paraId="1050928E" w14:textId="77777777" w:rsidR="00604E31" w:rsidRPr="00ED0252" w:rsidRDefault="00604E31" w:rsidP="008418A1">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9.724</w:t>
            </w:r>
          </w:p>
        </w:tc>
      </w:tr>
      <w:tr w:rsidR="00604E31" w:rsidRPr="00DA1FA2" w14:paraId="69626169" w14:textId="77777777" w:rsidTr="005B5DB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68" w:type="dxa"/>
          </w:tcPr>
          <w:p w14:paraId="3DE663C2" w14:textId="77777777" w:rsidR="00604E31" w:rsidRPr="00DA1FA2" w:rsidRDefault="00604E31" w:rsidP="008418A1">
            <w:pPr>
              <w:tabs>
                <w:tab w:val="left" w:pos="2268"/>
              </w:tabs>
              <w:spacing w:before="0" w:after="0" w:line="240" w:lineRule="auto"/>
              <w:jc w:val="center"/>
              <w:rPr>
                <w:rFonts w:ascii="Gill Sans MT" w:hAnsi="Gill Sans MT"/>
                <w:sz w:val="18"/>
                <w:szCs w:val="18"/>
              </w:rPr>
            </w:pPr>
            <w:r>
              <w:rPr>
                <w:rFonts w:ascii="Gill Sans MT" w:hAnsi="Gill Sans MT"/>
                <w:sz w:val="18"/>
                <w:szCs w:val="18"/>
              </w:rPr>
              <w:t>6</w:t>
            </w:r>
          </w:p>
        </w:tc>
        <w:tc>
          <w:tcPr>
            <w:tcW w:w="4352" w:type="dxa"/>
            <w:hideMark/>
          </w:tcPr>
          <w:p w14:paraId="4A8DCF89" w14:textId="77777777" w:rsidR="00604E31" w:rsidRPr="00DA1FA2" w:rsidRDefault="00604E31" w:rsidP="008418A1">
            <w:pPr>
              <w:tabs>
                <w:tab w:val="left" w:pos="2268"/>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DA1FA2">
              <w:rPr>
                <w:rFonts w:ascii="Gill Sans MT" w:hAnsi="Gill Sans MT"/>
                <w:sz w:val="18"/>
                <w:szCs w:val="18"/>
              </w:rPr>
              <w:t> In my writing I frequently use the wrong word for my intended meaning</w:t>
            </w:r>
          </w:p>
        </w:tc>
        <w:tc>
          <w:tcPr>
            <w:tcW w:w="992" w:type="dxa"/>
            <w:hideMark/>
          </w:tcPr>
          <w:p w14:paraId="3D5F8E3D" w14:textId="77777777" w:rsidR="00604E31" w:rsidRPr="00ED0252" w:rsidRDefault="00604E31" w:rsidP="008418A1">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66</w:t>
            </w:r>
          </w:p>
        </w:tc>
        <w:tc>
          <w:tcPr>
            <w:tcW w:w="992" w:type="dxa"/>
            <w:hideMark/>
          </w:tcPr>
          <w:p w14:paraId="15E0A157" w14:textId="77777777" w:rsidR="00604E31" w:rsidRPr="00ED0252" w:rsidRDefault="00604E31" w:rsidP="008418A1">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0.4</w:t>
            </w:r>
            <w:r>
              <w:rPr>
                <w:rFonts w:ascii="Gill Sans MT" w:hAnsi="Gill Sans MT"/>
                <w:sz w:val="18"/>
                <w:szCs w:val="18"/>
              </w:rPr>
              <w:t>78</w:t>
            </w:r>
          </w:p>
        </w:tc>
        <w:tc>
          <w:tcPr>
            <w:tcW w:w="1275" w:type="dxa"/>
            <w:hideMark/>
          </w:tcPr>
          <w:p w14:paraId="659A3EA6" w14:textId="77777777" w:rsidR="00604E31" w:rsidRPr="00ED0252" w:rsidRDefault="00604E31" w:rsidP="008418A1">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31.548</w:t>
            </w:r>
          </w:p>
        </w:tc>
      </w:tr>
      <w:tr w:rsidR="00604E31" w:rsidRPr="00DA1FA2" w14:paraId="03553A68" w14:textId="77777777" w:rsidTr="005B5DBE">
        <w:trPr>
          <w:trHeight w:val="454"/>
        </w:trPr>
        <w:tc>
          <w:tcPr>
            <w:cnfStyle w:val="001000000000" w:firstRow="0" w:lastRow="0" w:firstColumn="1" w:lastColumn="0" w:oddVBand="0" w:evenVBand="0" w:oddHBand="0" w:evenHBand="0" w:firstRowFirstColumn="0" w:firstRowLastColumn="0" w:lastRowFirstColumn="0" w:lastRowLastColumn="0"/>
            <w:tcW w:w="1168" w:type="dxa"/>
          </w:tcPr>
          <w:p w14:paraId="7E3FE3B0" w14:textId="77777777" w:rsidR="00604E31" w:rsidRPr="00DA1FA2" w:rsidRDefault="00604E31" w:rsidP="008418A1">
            <w:pPr>
              <w:tabs>
                <w:tab w:val="left" w:pos="2268"/>
              </w:tabs>
              <w:spacing w:before="0" w:after="0" w:line="240" w:lineRule="auto"/>
              <w:jc w:val="center"/>
              <w:rPr>
                <w:rFonts w:ascii="Gill Sans MT" w:hAnsi="Gill Sans MT"/>
                <w:sz w:val="18"/>
                <w:szCs w:val="18"/>
              </w:rPr>
            </w:pPr>
            <w:r>
              <w:rPr>
                <w:rFonts w:ascii="Gill Sans MT" w:hAnsi="Gill Sans MT"/>
                <w:sz w:val="18"/>
                <w:szCs w:val="18"/>
              </w:rPr>
              <w:t>7</w:t>
            </w:r>
          </w:p>
        </w:tc>
        <w:tc>
          <w:tcPr>
            <w:tcW w:w="4352" w:type="dxa"/>
            <w:hideMark/>
          </w:tcPr>
          <w:p w14:paraId="740EE260" w14:textId="77777777" w:rsidR="00604E31" w:rsidRPr="00DA1FA2" w:rsidRDefault="00604E31" w:rsidP="008418A1">
            <w:pPr>
              <w:tabs>
                <w:tab w:val="left" w:pos="2268"/>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DA1FA2">
              <w:rPr>
                <w:rFonts w:ascii="Gill Sans MT" w:hAnsi="Gill Sans MT"/>
                <w:sz w:val="18"/>
                <w:szCs w:val="18"/>
              </w:rPr>
              <w:t> I generally remember appointments and arrive on time</w:t>
            </w:r>
          </w:p>
        </w:tc>
        <w:tc>
          <w:tcPr>
            <w:tcW w:w="992" w:type="dxa"/>
            <w:hideMark/>
          </w:tcPr>
          <w:p w14:paraId="7A0F7E6C" w14:textId="77777777" w:rsidR="00604E31" w:rsidRPr="00ED0252" w:rsidRDefault="00604E31" w:rsidP="008418A1">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46</w:t>
            </w:r>
          </w:p>
        </w:tc>
        <w:tc>
          <w:tcPr>
            <w:tcW w:w="992" w:type="dxa"/>
            <w:hideMark/>
          </w:tcPr>
          <w:p w14:paraId="3F71F7AF" w14:textId="77777777" w:rsidR="00604E31" w:rsidRPr="00ED0252" w:rsidRDefault="00604E31" w:rsidP="008418A1">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w:t>
            </w:r>
            <w:r>
              <w:rPr>
                <w:rFonts w:ascii="Gill Sans MT" w:hAnsi="Gill Sans MT"/>
                <w:sz w:val="18"/>
                <w:szCs w:val="18"/>
              </w:rPr>
              <w:t>357</w:t>
            </w:r>
          </w:p>
        </w:tc>
        <w:tc>
          <w:tcPr>
            <w:tcW w:w="1275" w:type="dxa"/>
            <w:hideMark/>
          </w:tcPr>
          <w:p w14:paraId="1237D78F" w14:textId="77777777" w:rsidR="00604E31" w:rsidRPr="00ED0252" w:rsidRDefault="00604E31" w:rsidP="008418A1">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16.422</w:t>
            </w:r>
          </w:p>
        </w:tc>
      </w:tr>
      <w:tr w:rsidR="00604E31" w:rsidRPr="00DA1FA2" w14:paraId="6BC6230F" w14:textId="77777777" w:rsidTr="005B5DB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68" w:type="dxa"/>
          </w:tcPr>
          <w:p w14:paraId="77AE56C2" w14:textId="77777777" w:rsidR="00604E31" w:rsidRPr="00DA1FA2" w:rsidRDefault="00604E31" w:rsidP="008418A1">
            <w:pPr>
              <w:tabs>
                <w:tab w:val="left" w:pos="2268"/>
              </w:tabs>
              <w:spacing w:before="0" w:after="0" w:line="240" w:lineRule="auto"/>
              <w:jc w:val="center"/>
              <w:rPr>
                <w:rFonts w:ascii="Gill Sans MT" w:hAnsi="Gill Sans MT"/>
                <w:sz w:val="18"/>
                <w:szCs w:val="18"/>
              </w:rPr>
            </w:pPr>
            <w:r>
              <w:rPr>
                <w:rFonts w:ascii="Gill Sans MT" w:hAnsi="Gill Sans MT"/>
                <w:sz w:val="18"/>
                <w:szCs w:val="18"/>
              </w:rPr>
              <w:t>8</w:t>
            </w:r>
          </w:p>
        </w:tc>
        <w:tc>
          <w:tcPr>
            <w:tcW w:w="4352" w:type="dxa"/>
            <w:hideMark/>
          </w:tcPr>
          <w:p w14:paraId="76434C68" w14:textId="77777777" w:rsidR="00604E31" w:rsidRPr="00DA1FA2" w:rsidRDefault="00604E31" w:rsidP="008418A1">
            <w:pPr>
              <w:tabs>
                <w:tab w:val="left" w:pos="2268"/>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DA1FA2">
              <w:rPr>
                <w:rFonts w:ascii="Gill Sans MT" w:hAnsi="Gill Sans MT"/>
                <w:sz w:val="18"/>
                <w:szCs w:val="18"/>
              </w:rPr>
              <w:t> When I'm reading, I sometimes read the same line again or miss out a line altogether</w:t>
            </w:r>
          </w:p>
        </w:tc>
        <w:tc>
          <w:tcPr>
            <w:tcW w:w="992" w:type="dxa"/>
            <w:hideMark/>
          </w:tcPr>
          <w:p w14:paraId="0ED73356" w14:textId="77777777" w:rsidR="00604E31" w:rsidRPr="00ED0252" w:rsidRDefault="00604E31" w:rsidP="008418A1">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100</w:t>
            </w:r>
          </w:p>
        </w:tc>
        <w:tc>
          <w:tcPr>
            <w:tcW w:w="992" w:type="dxa"/>
            <w:hideMark/>
          </w:tcPr>
          <w:p w14:paraId="70D91FF7" w14:textId="77777777" w:rsidR="00604E31" w:rsidRPr="00ED0252" w:rsidRDefault="00604E31" w:rsidP="008418A1">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0.7</w:t>
            </w:r>
            <w:r>
              <w:rPr>
                <w:rFonts w:ascii="Gill Sans MT" w:hAnsi="Gill Sans MT"/>
                <w:sz w:val="18"/>
                <w:szCs w:val="18"/>
              </w:rPr>
              <w:t>46</w:t>
            </w:r>
          </w:p>
        </w:tc>
        <w:tc>
          <w:tcPr>
            <w:tcW w:w="1275" w:type="dxa"/>
            <w:hideMark/>
          </w:tcPr>
          <w:p w14:paraId="54AC29A3" w14:textId="77777777" w:rsidR="00604E31" w:rsidRPr="00ED0252" w:rsidRDefault="00604E31" w:rsidP="008418A1">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74.6</w:t>
            </w:r>
            <w:r>
              <w:rPr>
                <w:rFonts w:ascii="Gill Sans MT" w:hAnsi="Gill Sans MT" w:cs="Calibri"/>
                <w:color w:val="000000"/>
                <w:sz w:val="18"/>
                <w:szCs w:val="18"/>
              </w:rPr>
              <w:t>00</w:t>
            </w:r>
          </w:p>
        </w:tc>
      </w:tr>
      <w:tr w:rsidR="00604E31" w:rsidRPr="00DA1FA2" w14:paraId="1CC651D2" w14:textId="77777777" w:rsidTr="005B5DBE">
        <w:trPr>
          <w:trHeight w:val="454"/>
        </w:trPr>
        <w:tc>
          <w:tcPr>
            <w:cnfStyle w:val="001000000000" w:firstRow="0" w:lastRow="0" w:firstColumn="1" w:lastColumn="0" w:oddVBand="0" w:evenVBand="0" w:oddHBand="0" w:evenHBand="0" w:firstRowFirstColumn="0" w:firstRowLastColumn="0" w:lastRowFirstColumn="0" w:lastRowLastColumn="0"/>
            <w:tcW w:w="1168" w:type="dxa"/>
          </w:tcPr>
          <w:p w14:paraId="2B3BF647" w14:textId="77777777" w:rsidR="00604E31" w:rsidRPr="00DA1FA2" w:rsidRDefault="00604E31" w:rsidP="008418A1">
            <w:pPr>
              <w:tabs>
                <w:tab w:val="left" w:pos="2268"/>
              </w:tabs>
              <w:spacing w:before="0" w:after="0" w:line="240" w:lineRule="auto"/>
              <w:jc w:val="center"/>
              <w:rPr>
                <w:rFonts w:ascii="Gill Sans MT" w:hAnsi="Gill Sans MT"/>
                <w:sz w:val="18"/>
                <w:szCs w:val="18"/>
              </w:rPr>
            </w:pPr>
            <w:r>
              <w:rPr>
                <w:rFonts w:ascii="Gill Sans MT" w:hAnsi="Gill Sans MT"/>
                <w:sz w:val="18"/>
                <w:szCs w:val="18"/>
              </w:rPr>
              <w:t>9</w:t>
            </w:r>
          </w:p>
        </w:tc>
        <w:tc>
          <w:tcPr>
            <w:tcW w:w="4352" w:type="dxa"/>
            <w:hideMark/>
          </w:tcPr>
          <w:p w14:paraId="3663D723" w14:textId="77777777" w:rsidR="00604E31" w:rsidRPr="00DA1FA2" w:rsidRDefault="00604E31" w:rsidP="008418A1">
            <w:pPr>
              <w:tabs>
                <w:tab w:val="left" w:pos="2268"/>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DA1FA2">
              <w:rPr>
                <w:rFonts w:ascii="Gill Sans MT" w:hAnsi="Gill Sans MT"/>
                <w:sz w:val="18"/>
                <w:szCs w:val="18"/>
              </w:rPr>
              <w:t> I have difficulty putting my writing ideas into a sensible order</w:t>
            </w:r>
          </w:p>
        </w:tc>
        <w:tc>
          <w:tcPr>
            <w:tcW w:w="992" w:type="dxa"/>
            <w:hideMark/>
          </w:tcPr>
          <w:p w14:paraId="2F412F49" w14:textId="77777777" w:rsidR="00604E31" w:rsidRPr="00ED0252" w:rsidRDefault="00604E31" w:rsidP="008418A1">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100</w:t>
            </w:r>
          </w:p>
        </w:tc>
        <w:tc>
          <w:tcPr>
            <w:tcW w:w="992" w:type="dxa"/>
            <w:hideMark/>
          </w:tcPr>
          <w:p w14:paraId="72BFC7A0" w14:textId="77777777" w:rsidR="00604E31" w:rsidRPr="00ED0252" w:rsidRDefault="00604E31" w:rsidP="008418A1">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0.7</w:t>
            </w:r>
            <w:r>
              <w:rPr>
                <w:rFonts w:ascii="Gill Sans MT" w:hAnsi="Gill Sans MT"/>
                <w:sz w:val="18"/>
                <w:szCs w:val="18"/>
              </w:rPr>
              <w:t>57</w:t>
            </w:r>
          </w:p>
        </w:tc>
        <w:tc>
          <w:tcPr>
            <w:tcW w:w="1275" w:type="dxa"/>
            <w:hideMark/>
          </w:tcPr>
          <w:p w14:paraId="425A4999" w14:textId="77777777" w:rsidR="00604E31" w:rsidRPr="00ED0252" w:rsidRDefault="00604E31" w:rsidP="008418A1">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75.7</w:t>
            </w:r>
            <w:r>
              <w:rPr>
                <w:rFonts w:ascii="Gill Sans MT" w:hAnsi="Gill Sans MT" w:cs="Calibri"/>
                <w:color w:val="000000"/>
                <w:sz w:val="18"/>
                <w:szCs w:val="18"/>
              </w:rPr>
              <w:t>00</w:t>
            </w:r>
          </w:p>
        </w:tc>
      </w:tr>
      <w:tr w:rsidR="00604E31" w:rsidRPr="00DA1FA2" w14:paraId="6CCD0401" w14:textId="77777777" w:rsidTr="005B5DB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68" w:type="dxa"/>
          </w:tcPr>
          <w:p w14:paraId="7F3D9397" w14:textId="77777777" w:rsidR="00604E31" w:rsidRPr="00DA1FA2" w:rsidRDefault="00604E31" w:rsidP="008418A1">
            <w:pPr>
              <w:tabs>
                <w:tab w:val="left" w:pos="2268"/>
              </w:tabs>
              <w:spacing w:before="0" w:after="0" w:line="240" w:lineRule="auto"/>
              <w:jc w:val="center"/>
              <w:rPr>
                <w:rFonts w:ascii="Gill Sans MT" w:hAnsi="Gill Sans MT"/>
                <w:sz w:val="18"/>
                <w:szCs w:val="18"/>
              </w:rPr>
            </w:pPr>
            <w:r>
              <w:rPr>
                <w:rFonts w:ascii="Gill Sans MT" w:hAnsi="Gill Sans MT"/>
                <w:sz w:val="18"/>
                <w:szCs w:val="18"/>
              </w:rPr>
              <w:t>10</w:t>
            </w:r>
          </w:p>
        </w:tc>
        <w:tc>
          <w:tcPr>
            <w:tcW w:w="4352" w:type="dxa"/>
            <w:hideMark/>
          </w:tcPr>
          <w:p w14:paraId="785411CC" w14:textId="77777777" w:rsidR="00604E31" w:rsidRPr="00DA1FA2" w:rsidRDefault="00604E31" w:rsidP="008418A1">
            <w:pPr>
              <w:tabs>
                <w:tab w:val="left" w:pos="2268"/>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DA1FA2">
              <w:rPr>
                <w:rFonts w:ascii="Gill Sans MT" w:hAnsi="Gill Sans MT"/>
                <w:sz w:val="18"/>
                <w:szCs w:val="18"/>
              </w:rPr>
              <w:t> In my writing at school, I often mixed up similar letters like 'b' and 'd' or 'p' and 'q'</w:t>
            </w:r>
          </w:p>
        </w:tc>
        <w:tc>
          <w:tcPr>
            <w:tcW w:w="992" w:type="dxa"/>
            <w:hideMark/>
          </w:tcPr>
          <w:p w14:paraId="4C3BA862" w14:textId="77777777" w:rsidR="00604E31" w:rsidRPr="00ED0252" w:rsidRDefault="00604E31" w:rsidP="008418A1">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100</w:t>
            </w:r>
          </w:p>
        </w:tc>
        <w:tc>
          <w:tcPr>
            <w:tcW w:w="992" w:type="dxa"/>
            <w:hideMark/>
          </w:tcPr>
          <w:p w14:paraId="27B79963" w14:textId="77777777" w:rsidR="00604E31" w:rsidRPr="00ED0252" w:rsidRDefault="00604E31" w:rsidP="008418A1">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0.80</w:t>
            </w:r>
            <w:r>
              <w:rPr>
                <w:rFonts w:ascii="Gill Sans MT" w:hAnsi="Gill Sans MT"/>
                <w:sz w:val="18"/>
                <w:szCs w:val="18"/>
              </w:rPr>
              <w:t>0</w:t>
            </w:r>
          </w:p>
        </w:tc>
        <w:tc>
          <w:tcPr>
            <w:tcW w:w="1275" w:type="dxa"/>
            <w:hideMark/>
          </w:tcPr>
          <w:p w14:paraId="49842004" w14:textId="77777777" w:rsidR="00604E31" w:rsidRPr="00ED0252" w:rsidRDefault="00604E31" w:rsidP="008418A1">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80</w:t>
            </w:r>
            <w:r>
              <w:rPr>
                <w:rFonts w:ascii="Gill Sans MT" w:hAnsi="Gill Sans MT" w:cs="Calibri"/>
                <w:color w:val="000000"/>
                <w:sz w:val="18"/>
                <w:szCs w:val="18"/>
              </w:rPr>
              <w:t>.000</w:t>
            </w:r>
          </w:p>
        </w:tc>
      </w:tr>
      <w:tr w:rsidR="00604E31" w:rsidRPr="00DA1FA2" w14:paraId="2E3949AC" w14:textId="77777777" w:rsidTr="005B5DBE">
        <w:trPr>
          <w:trHeight w:val="454"/>
        </w:trPr>
        <w:tc>
          <w:tcPr>
            <w:cnfStyle w:val="001000000000" w:firstRow="0" w:lastRow="0" w:firstColumn="1" w:lastColumn="0" w:oddVBand="0" w:evenVBand="0" w:oddHBand="0" w:evenHBand="0" w:firstRowFirstColumn="0" w:firstRowLastColumn="0" w:lastRowFirstColumn="0" w:lastRowLastColumn="0"/>
            <w:tcW w:w="1168" w:type="dxa"/>
          </w:tcPr>
          <w:p w14:paraId="101F904E" w14:textId="77777777" w:rsidR="00604E31" w:rsidRPr="00DA1FA2" w:rsidRDefault="00604E31" w:rsidP="008418A1">
            <w:pPr>
              <w:tabs>
                <w:tab w:val="left" w:pos="2268"/>
              </w:tabs>
              <w:spacing w:before="0" w:after="0" w:line="240" w:lineRule="auto"/>
              <w:jc w:val="center"/>
              <w:rPr>
                <w:rFonts w:ascii="Gill Sans MT" w:hAnsi="Gill Sans MT"/>
                <w:sz w:val="18"/>
                <w:szCs w:val="18"/>
              </w:rPr>
            </w:pPr>
            <w:r>
              <w:rPr>
                <w:rFonts w:ascii="Gill Sans MT" w:hAnsi="Gill Sans MT"/>
                <w:sz w:val="18"/>
                <w:szCs w:val="18"/>
              </w:rPr>
              <w:t>11</w:t>
            </w:r>
          </w:p>
        </w:tc>
        <w:tc>
          <w:tcPr>
            <w:tcW w:w="4352" w:type="dxa"/>
            <w:hideMark/>
          </w:tcPr>
          <w:p w14:paraId="25EFB038" w14:textId="77777777" w:rsidR="00604E31" w:rsidRPr="00DA1FA2" w:rsidRDefault="00604E31" w:rsidP="008418A1">
            <w:pPr>
              <w:tabs>
                <w:tab w:val="left" w:pos="2268"/>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DA1FA2">
              <w:rPr>
                <w:rFonts w:ascii="Gill Sans MT" w:hAnsi="Gill Sans MT"/>
                <w:sz w:val="18"/>
                <w:szCs w:val="18"/>
              </w:rPr>
              <w:t> When I'm planning my work I use diagrams or mindmaps rather than lists or bullet points</w:t>
            </w:r>
          </w:p>
        </w:tc>
        <w:tc>
          <w:tcPr>
            <w:tcW w:w="992" w:type="dxa"/>
            <w:hideMark/>
          </w:tcPr>
          <w:p w14:paraId="77480A70" w14:textId="77777777" w:rsidR="00604E31" w:rsidRPr="00ED0252" w:rsidRDefault="00604E31" w:rsidP="008418A1">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33</w:t>
            </w:r>
          </w:p>
        </w:tc>
        <w:tc>
          <w:tcPr>
            <w:tcW w:w="992" w:type="dxa"/>
            <w:hideMark/>
          </w:tcPr>
          <w:p w14:paraId="21C57070" w14:textId="77777777" w:rsidR="00604E31" w:rsidRPr="00ED0252" w:rsidRDefault="00604E31" w:rsidP="008418A1">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0.5</w:t>
            </w:r>
            <w:r>
              <w:rPr>
                <w:rFonts w:ascii="Gill Sans MT" w:hAnsi="Gill Sans MT"/>
                <w:sz w:val="18"/>
                <w:szCs w:val="18"/>
              </w:rPr>
              <w:t>67</w:t>
            </w:r>
          </w:p>
        </w:tc>
        <w:tc>
          <w:tcPr>
            <w:tcW w:w="1275" w:type="dxa"/>
            <w:hideMark/>
          </w:tcPr>
          <w:p w14:paraId="2E773502" w14:textId="77777777" w:rsidR="00604E31" w:rsidRPr="00ED0252" w:rsidRDefault="00604E31" w:rsidP="008418A1">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18.711</w:t>
            </w:r>
          </w:p>
        </w:tc>
      </w:tr>
      <w:tr w:rsidR="00604E31" w:rsidRPr="00DA1FA2" w14:paraId="589177DA" w14:textId="77777777" w:rsidTr="005B5DB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68" w:type="dxa"/>
          </w:tcPr>
          <w:p w14:paraId="66CC0AF2" w14:textId="77777777" w:rsidR="00604E31" w:rsidRPr="00DA1FA2" w:rsidRDefault="00604E31" w:rsidP="008418A1">
            <w:pPr>
              <w:tabs>
                <w:tab w:val="left" w:pos="2268"/>
              </w:tabs>
              <w:spacing w:before="0" w:after="0" w:line="240" w:lineRule="auto"/>
              <w:jc w:val="center"/>
              <w:rPr>
                <w:rFonts w:ascii="Gill Sans MT" w:hAnsi="Gill Sans MT"/>
                <w:sz w:val="18"/>
                <w:szCs w:val="18"/>
              </w:rPr>
            </w:pPr>
            <w:r>
              <w:rPr>
                <w:rFonts w:ascii="Gill Sans MT" w:hAnsi="Gill Sans MT"/>
                <w:sz w:val="18"/>
                <w:szCs w:val="18"/>
              </w:rPr>
              <w:t>12</w:t>
            </w:r>
          </w:p>
        </w:tc>
        <w:tc>
          <w:tcPr>
            <w:tcW w:w="4352" w:type="dxa"/>
            <w:hideMark/>
          </w:tcPr>
          <w:p w14:paraId="3CCCE059" w14:textId="77777777" w:rsidR="00604E31" w:rsidRPr="00DA1FA2" w:rsidRDefault="00604E31" w:rsidP="008418A1">
            <w:pPr>
              <w:tabs>
                <w:tab w:val="left" w:pos="2268"/>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DA1FA2">
              <w:rPr>
                <w:rFonts w:ascii="Gill Sans MT" w:hAnsi="Gill Sans MT"/>
                <w:sz w:val="18"/>
                <w:szCs w:val="18"/>
              </w:rPr>
              <w:t> I'm hopeless at remembering things like telephone numbers</w:t>
            </w:r>
          </w:p>
        </w:tc>
        <w:tc>
          <w:tcPr>
            <w:tcW w:w="992" w:type="dxa"/>
            <w:hideMark/>
          </w:tcPr>
          <w:p w14:paraId="1AC78888" w14:textId="77777777" w:rsidR="00604E31" w:rsidRPr="00ED0252" w:rsidRDefault="00604E31" w:rsidP="008418A1">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83</w:t>
            </w:r>
          </w:p>
        </w:tc>
        <w:tc>
          <w:tcPr>
            <w:tcW w:w="992" w:type="dxa"/>
            <w:hideMark/>
          </w:tcPr>
          <w:p w14:paraId="73CD86D8" w14:textId="77777777" w:rsidR="00604E31" w:rsidRPr="00ED0252" w:rsidRDefault="00604E31" w:rsidP="008418A1">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0.75</w:t>
            </w:r>
            <w:r>
              <w:rPr>
                <w:rFonts w:ascii="Gill Sans MT" w:hAnsi="Gill Sans MT"/>
                <w:sz w:val="18"/>
                <w:szCs w:val="18"/>
              </w:rPr>
              <w:t>4</w:t>
            </w:r>
          </w:p>
        </w:tc>
        <w:tc>
          <w:tcPr>
            <w:tcW w:w="1275" w:type="dxa"/>
            <w:hideMark/>
          </w:tcPr>
          <w:p w14:paraId="2EBB0A93" w14:textId="77777777" w:rsidR="00604E31" w:rsidRPr="00ED0252" w:rsidRDefault="00604E31" w:rsidP="008418A1">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62.582</w:t>
            </w:r>
          </w:p>
        </w:tc>
      </w:tr>
      <w:tr w:rsidR="00604E31" w:rsidRPr="00DA1FA2" w14:paraId="0F8F21D3" w14:textId="77777777" w:rsidTr="005B5DBE">
        <w:trPr>
          <w:trHeight w:val="454"/>
        </w:trPr>
        <w:tc>
          <w:tcPr>
            <w:cnfStyle w:val="001000000000" w:firstRow="0" w:lastRow="0" w:firstColumn="1" w:lastColumn="0" w:oddVBand="0" w:evenVBand="0" w:oddHBand="0" w:evenHBand="0" w:firstRowFirstColumn="0" w:firstRowLastColumn="0" w:lastRowFirstColumn="0" w:lastRowLastColumn="0"/>
            <w:tcW w:w="1168" w:type="dxa"/>
          </w:tcPr>
          <w:p w14:paraId="5FAFC6DA" w14:textId="77777777" w:rsidR="00604E31" w:rsidRPr="00DA1FA2" w:rsidRDefault="00604E31" w:rsidP="008418A1">
            <w:pPr>
              <w:tabs>
                <w:tab w:val="left" w:pos="2268"/>
              </w:tabs>
              <w:spacing w:before="0" w:after="0" w:line="240" w:lineRule="auto"/>
              <w:jc w:val="center"/>
              <w:rPr>
                <w:rFonts w:ascii="Gill Sans MT" w:hAnsi="Gill Sans MT"/>
                <w:sz w:val="18"/>
                <w:szCs w:val="18"/>
              </w:rPr>
            </w:pPr>
            <w:r>
              <w:rPr>
                <w:rFonts w:ascii="Gill Sans MT" w:hAnsi="Gill Sans MT"/>
                <w:sz w:val="18"/>
                <w:szCs w:val="18"/>
              </w:rPr>
              <w:t>13</w:t>
            </w:r>
          </w:p>
        </w:tc>
        <w:tc>
          <w:tcPr>
            <w:tcW w:w="4352" w:type="dxa"/>
            <w:hideMark/>
          </w:tcPr>
          <w:p w14:paraId="756C7F2B" w14:textId="77777777" w:rsidR="00604E31" w:rsidRPr="00DA1FA2" w:rsidRDefault="00604E31" w:rsidP="008418A1">
            <w:pPr>
              <w:tabs>
                <w:tab w:val="left" w:pos="2268"/>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DA1FA2">
              <w:rPr>
                <w:rFonts w:ascii="Gill Sans MT" w:hAnsi="Gill Sans MT"/>
                <w:sz w:val="18"/>
                <w:szCs w:val="18"/>
              </w:rPr>
              <w:t> I find following directions to get to places quite straightforward</w:t>
            </w:r>
          </w:p>
        </w:tc>
        <w:tc>
          <w:tcPr>
            <w:tcW w:w="992" w:type="dxa"/>
            <w:hideMark/>
          </w:tcPr>
          <w:p w14:paraId="5E579CFD" w14:textId="77777777" w:rsidR="00604E31" w:rsidRPr="00ED0252" w:rsidRDefault="00604E31" w:rsidP="008418A1">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40</w:t>
            </w:r>
          </w:p>
        </w:tc>
        <w:tc>
          <w:tcPr>
            <w:tcW w:w="992" w:type="dxa"/>
            <w:hideMark/>
          </w:tcPr>
          <w:p w14:paraId="622E863A" w14:textId="77777777" w:rsidR="00604E31" w:rsidRPr="00ED0252" w:rsidRDefault="00604E31" w:rsidP="008418A1">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0.52</w:t>
            </w:r>
            <w:r>
              <w:rPr>
                <w:rFonts w:ascii="Gill Sans MT" w:hAnsi="Gill Sans MT"/>
                <w:sz w:val="18"/>
                <w:szCs w:val="18"/>
              </w:rPr>
              <w:t>3</w:t>
            </w:r>
          </w:p>
        </w:tc>
        <w:tc>
          <w:tcPr>
            <w:tcW w:w="1275" w:type="dxa"/>
            <w:hideMark/>
          </w:tcPr>
          <w:p w14:paraId="2DE043A0" w14:textId="77777777" w:rsidR="00604E31" w:rsidRPr="00ED0252" w:rsidRDefault="00604E31" w:rsidP="008418A1">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20.92</w:t>
            </w:r>
            <w:r>
              <w:rPr>
                <w:rFonts w:ascii="Gill Sans MT" w:hAnsi="Gill Sans MT" w:cs="Calibri"/>
                <w:color w:val="000000"/>
                <w:sz w:val="18"/>
                <w:szCs w:val="18"/>
              </w:rPr>
              <w:t>0</w:t>
            </w:r>
          </w:p>
        </w:tc>
      </w:tr>
      <w:tr w:rsidR="00604E31" w:rsidRPr="00DA1FA2" w14:paraId="216045AD" w14:textId="77777777" w:rsidTr="005B5DB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68" w:type="dxa"/>
          </w:tcPr>
          <w:p w14:paraId="0111672F" w14:textId="77777777" w:rsidR="00604E31" w:rsidRPr="00DA1FA2" w:rsidRDefault="00604E31" w:rsidP="008418A1">
            <w:pPr>
              <w:tabs>
                <w:tab w:val="left" w:pos="2268"/>
              </w:tabs>
              <w:spacing w:before="0" w:after="0" w:line="240" w:lineRule="auto"/>
              <w:jc w:val="center"/>
              <w:rPr>
                <w:rFonts w:ascii="Gill Sans MT" w:hAnsi="Gill Sans MT"/>
                <w:sz w:val="18"/>
                <w:szCs w:val="18"/>
              </w:rPr>
            </w:pPr>
            <w:r>
              <w:rPr>
                <w:rFonts w:ascii="Gill Sans MT" w:hAnsi="Gill Sans MT"/>
                <w:sz w:val="18"/>
                <w:szCs w:val="18"/>
              </w:rPr>
              <w:t>14</w:t>
            </w:r>
          </w:p>
        </w:tc>
        <w:tc>
          <w:tcPr>
            <w:tcW w:w="4352" w:type="dxa"/>
            <w:hideMark/>
          </w:tcPr>
          <w:p w14:paraId="13B02D26" w14:textId="77777777" w:rsidR="00604E31" w:rsidRPr="00DA1FA2" w:rsidRDefault="00604E31" w:rsidP="008418A1">
            <w:pPr>
              <w:tabs>
                <w:tab w:val="left" w:pos="2268"/>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DA1FA2">
              <w:rPr>
                <w:rFonts w:ascii="Gill Sans MT" w:hAnsi="Gill Sans MT"/>
                <w:sz w:val="18"/>
                <w:szCs w:val="18"/>
              </w:rPr>
              <w:t> I prefer looking at the 'big picture' rather than focusing on the details</w:t>
            </w:r>
          </w:p>
        </w:tc>
        <w:tc>
          <w:tcPr>
            <w:tcW w:w="992" w:type="dxa"/>
            <w:hideMark/>
          </w:tcPr>
          <w:p w14:paraId="68C0D1B0" w14:textId="77777777" w:rsidR="00604E31" w:rsidRPr="00ED0252" w:rsidRDefault="00604E31" w:rsidP="008418A1">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70</w:t>
            </w:r>
          </w:p>
        </w:tc>
        <w:tc>
          <w:tcPr>
            <w:tcW w:w="992" w:type="dxa"/>
            <w:hideMark/>
          </w:tcPr>
          <w:p w14:paraId="48392BD6" w14:textId="77777777" w:rsidR="00604E31" w:rsidRPr="00ED0252" w:rsidRDefault="00604E31" w:rsidP="008418A1">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0.57</w:t>
            </w:r>
            <w:r>
              <w:rPr>
                <w:rFonts w:ascii="Gill Sans MT" w:hAnsi="Gill Sans MT"/>
                <w:sz w:val="18"/>
                <w:szCs w:val="18"/>
              </w:rPr>
              <w:t>1</w:t>
            </w:r>
          </w:p>
        </w:tc>
        <w:tc>
          <w:tcPr>
            <w:tcW w:w="1275" w:type="dxa"/>
            <w:hideMark/>
          </w:tcPr>
          <w:p w14:paraId="54537946" w14:textId="77777777" w:rsidR="00604E31" w:rsidRPr="00ED0252" w:rsidRDefault="00604E31" w:rsidP="008418A1">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39.97</w:t>
            </w:r>
            <w:r>
              <w:rPr>
                <w:rFonts w:ascii="Gill Sans MT" w:hAnsi="Gill Sans MT" w:cs="Calibri"/>
                <w:color w:val="000000"/>
                <w:sz w:val="18"/>
                <w:szCs w:val="18"/>
              </w:rPr>
              <w:t>0</w:t>
            </w:r>
          </w:p>
        </w:tc>
      </w:tr>
      <w:tr w:rsidR="00604E31" w:rsidRPr="00DA1FA2" w14:paraId="78E97D8A" w14:textId="77777777" w:rsidTr="005B5DBE">
        <w:trPr>
          <w:trHeight w:val="454"/>
        </w:trPr>
        <w:tc>
          <w:tcPr>
            <w:cnfStyle w:val="001000000000" w:firstRow="0" w:lastRow="0" w:firstColumn="1" w:lastColumn="0" w:oddVBand="0" w:evenVBand="0" w:oddHBand="0" w:evenHBand="0" w:firstRowFirstColumn="0" w:firstRowLastColumn="0" w:lastRowFirstColumn="0" w:lastRowLastColumn="0"/>
            <w:tcW w:w="1168" w:type="dxa"/>
          </w:tcPr>
          <w:p w14:paraId="055DD01F" w14:textId="77777777" w:rsidR="00604E31" w:rsidRPr="00DA1FA2" w:rsidRDefault="00604E31" w:rsidP="008418A1">
            <w:pPr>
              <w:tabs>
                <w:tab w:val="left" w:pos="2268"/>
              </w:tabs>
              <w:spacing w:before="0" w:after="0" w:line="240" w:lineRule="auto"/>
              <w:jc w:val="center"/>
              <w:rPr>
                <w:rFonts w:ascii="Gill Sans MT" w:hAnsi="Gill Sans MT"/>
                <w:sz w:val="18"/>
                <w:szCs w:val="18"/>
              </w:rPr>
            </w:pPr>
            <w:r>
              <w:rPr>
                <w:rFonts w:ascii="Gill Sans MT" w:hAnsi="Gill Sans MT"/>
                <w:sz w:val="18"/>
                <w:szCs w:val="18"/>
              </w:rPr>
              <w:t>15</w:t>
            </w:r>
          </w:p>
        </w:tc>
        <w:tc>
          <w:tcPr>
            <w:tcW w:w="4352" w:type="dxa"/>
            <w:hideMark/>
          </w:tcPr>
          <w:p w14:paraId="7B05F9AB" w14:textId="77777777" w:rsidR="00604E31" w:rsidRPr="00DA1FA2" w:rsidRDefault="00604E31" w:rsidP="008418A1">
            <w:pPr>
              <w:tabs>
                <w:tab w:val="left" w:pos="2268"/>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DA1FA2">
              <w:rPr>
                <w:rFonts w:ascii="Gill Sans MT" w:hAnsi="Gill Sans MT"/>
                <w:sz w:val="18"/>
                <w:szCs w:val="18"/>
              </w:rPr>
              <w:t> My friends say I often think in unusual or creative ways to solve problems</w:t>
            </w:r>
          </w:p>
        </w:tc>
        <w:tc>
          <w:tcPr>
            <w:tcW w:w="992" w:type="dxa"/>
            <w:hideMark/>
          </w:tcPr>
          <w:p w14:paraId="2F480F1B" w14:textId="77777777" w:rsidR="00604E31" w:rsidRPr="00ED0252" w:rsidRDefault="00604E31" w:rsidP="008418A1">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78</w:t>
            </w:r>
          </w:p>
        </w:tc>
        <w:tc>
          <w:tcPr>
            <w:tcW w:w="992" w:type="dxa"/>
            <w:hideMark/>
          </w:tcPr>
          <w:p w14:paraId="7A784D8E" w14:textId="77777777" w:rsidR="00604E31" w:rsidRPr="00ED0252" w:rsidRDefault="00604E31" w:rsidP="008418A1">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0.63</w:t>
            </w:r>
            <w:r>
              <w:rPr>
                <w:rFonts w:ascii="Gill Sans MT" w:hAnsi="Gill Sans MT"/>
                <w:sz w:val="18"/>
                <w:szCs w:val="18"/>
              </w:rPr>
              <w:t>2</w:t>
            </w:r>
          </w:p>
        </w:tc>
        <w:tc>
          <w:tcPr>
            <w:tcW w:w="1275" w:type="dxa"/>
            <w:hideMark/>
          </w:tcPr>
          <w:p w14:paraId="74443D1D" w14:textId="77777777" w:rsidR="00604E31" w:rsidRPr="00ED0252" w:rsidRDefault="00604E31" w:rsidP="008418A1">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49.296</w:t>
            </w:r>
          </w:p>
        </w:tc>
      </w:tr>
      <w:tr w:rsidR="00604E31" w:rsidRPr="00DA1FA2" w14:paraId="19B85555" w14:textId="77777777" w:rsidTr="005B5DB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68" w:type="dxa"/>
          </w:tcPr>
          <w:p w14:paraId="308208A7" w14:textId="77777777" w:rsidR="00604E31" w:rsidRPr="00DA1FA2" w:rsidRDefault="00604E31" w:rsidP="008418A1">
            <w:pPr>
              <w:tabs>
                <w:tab w:val="left" w:pos="2268"/>
              </w:tabs>
              <w:spacing w:before="0" w:after="0" w:line="240" w:lineRule="auto"/>
              <w:jc w:val="center"/>
              <w:rPr>
                <w:rFonts w:ascii="Gill Sans MT" w:hAnsi="Gill Sans MT"/>
                <w:sz w:val="18"/>
                <w:szCs w:val="18"/>
              </w:rPr>
            </w:pPr>
            <w:r>
              <w:rPr>
                <w:rFonts w:ascii="Gill Sans MT" w:hAnsi="Gill Sans MT"/>
                <w:sz w:val="18"/>
                <w:szCs w:val="18"/>
              </w:rPr>
              <w:t>16</w:t>
            </w:r>
          </w:p>
        </w:tc>
        <w:tc>
          <w:tcPr>
            <w:tcW w:w="4352" w:type="dxa"/>
            <w:hideMark/>
          </w:tcPr>
          <w:p w14:paraId="0792A957" w14:textId="77777777" w:rsidR="00604E31" w:rsidRPr="00DA1FA2" w:rsidRDefault="00604E31" w:rsidP="008418A1">
            <w:pPr>
              <w:tabs>
                <w:tab w:val="left" w:pos="2268"/>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DA1FA2">
              <w:rPr>
                <w:rFonts w:ascii="Gill Sans MT" w:hAnsi="Gill Sans MT"/>
                <w:sz w:val="18"/>
                <w:szCs w:val="18"/>
              </w:rPr>
              <w:t> I find it really challenging to make sense of a list of instructions</w:t>
            </w:r>
          </w:p>
        </w:tc>
        <w:tc>
          <w:tcPr>
            <w:tcW w:w="992" w:type="dxa"/>
            <w:hideMark/>
          </w:tcPr>
          <w:p w14:paraId="20772AB3" w14:textId="77777777" w:rsidR="00604E31" w:rsidRPr="00ED0252" w:rsidRDefault="00604E31" w:rsidP="008418A1">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77</w:t>
            </w:r>
          </w:p>
        </w:tc>
        <w:tc>
          <w:tcPr>
            <w:tcW w:w="992" w:type="dxa"/>
            <w:hideMark/>
          </w:tcPr>
          <w:p w14:paraId="16ADE26E" w14:textId="77777777" w:rsidR="00604E31" w:rsidRPr="00ED0252" w:rsidRDefault="00604E31" w:rsidP="008418A1">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0.52</w:t>
            </w:r>
            <w:r>
              <w:rPr>
                <w:rFonts w:ascii="Gill Sans MT" w:hAnsi="Gill Sans MT"/>
                <w:sz w:val="18"/>
                <w:szCs w:val="18"/>
              </w:rPr>
              <w:t>0</w:t>
            </w:r>
          </w:p>
        </w:tc>
        <w:tc>
          <w:tcPr>
            <w:tcW w:w="1275" w:type="dxa"/>
            <w:hideMark/>
          </w:tcPr>
          <w:p w14:paraId="27D461CA" w14:textId="77777777" w:rsidR="00604E31" w:rsidRPr="00ED0252" w:rsidRDefault="00604E31" w:rsidP="008418A1">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40.04</w:t>
            </w:r>
            <w:r>
              <w:rPr>
                <w:rFonts w:ascii="Gill Sans MT" w:hAnsi="Gill Sans MT" w:cs="Calibri"/>
                <w:color w:val="000000"/>
                <w:sz w:val="18"/>
                <w:szCs w:val="18"/>
              </w:rPr>
              <w:t>0</w:t>
            </w:r>
          </w:p>
        </w:tc>
      </w:tr>
      <w:tr w:rsidR="00604E31" w:rsidRPr="00DA1FA2" w14:paraId="13EA4B9B" w14:textId="77777777" w:rsidTr="005B5DBE">
        <w:trPr>
          <w:trHeight w:val="454"/>
        </w:trPr>
        <w:tc>
          <w:tcPr>
            <w:cnfStyle w:val="001000000000" w:firstRow="0" w:lastRow="0" w:firstColumn="1" w:lastColumn="0" w:oddVBand="0" w:evenVBand="0" w:oddHBand="0" w:evenHBand="0" w:firstRowFirstColumn="0" w:firstRowLastColumn="0" w:lastRowFirstColumn="0" w:lastRowLastColumn="0"/>
            <w:tcW w:w="1168" w:type="dxa"/>
          </w:tcPr>
          <w:p w14:paraId="4FAE5447" w14:textId="77777777" w:rsidR="00604E31" w:rsidRPr="00DA1FA2" w:rsidRDefault="00604E31" w:rsidP="008418A1">
            <w:pPr>
              <w:tabs>
                <w:tab w:val="left" w:pos="2268"/>
              </w:tabs>
              <w:spacing w:before="0" w:after="0" w:line="240" w:lineRule="auto"/>
              <w:jc w:val="center"/>
              <w:rPr>
                <w:rFonts w:ascii="Gill Sans MT" w:hAnsi="Gill Sans MT"/>
                <w:sz w:val="18"/>
                <w:szCs w:val="18"/>
              </w:rPr>
            </w:pPr>
            <w:r>
              <w:rPr>
                <w:rFonts w:ascii="Gill Sans MT" w:hAnsi="Gill Sans MT"/>
                <w:sz w:val="18"/>
                <w:szCs w:val="18"/>
              </w:rPr>
              <w:t>17</w:t>
            </w:r>
          </w:p>
        </w:tc>
        <w:tc>
          <w:tcPr>
            <w:tcW w:w="4352" w:type="dxa"/>
            <w:hideMark/>
          </w:tcPr>
          <w:p w14:paraId="6DE3FCAF" w14:textId="77777777" w:rsidR="00604E31" w:rsidRPr="00DA1FA2" w:rsidRDefault="00604E31" w:rsidP="008418A1">
            <w:pPr>
              <w:tabs>
                <w:tab w:val="left" w:pos="2268"/>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DA1FA2">
              <w:rPr>
                <w:rFonts w:ascii="Gill Sans MT" w:hAnsi="Gill Sans MT"/>
                <w:sz w:val="18"/>
                <w:szCs w:val="18"/>
              </w:rPr>
              <w:t> I get my 'lefts' and 'rights' easily mixed up</w:t>
            </w:r>
          </w:p>
        </w:tc>
        <w:tc>
          <w:tcPr>
            <w:tcW w:w="992" w:type="dxa"/>
            <w:hideMark/>
          </w:tcPr>
          <w:p w14:paraId="5E61BE0F" w14:textId="77777777" w:rsidR="00604E31" w:rsidRPr="00ED0252" w:rsidRDefault="00604E31" w:rsidP="008418A1">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100</w:t>
            </w:r>
          </w:p>
        </w:tc>
        <w:tc>
          <w:tcPr>
            <w:tcW w:w="992" w:type="dxa"/>
            <w:hideMark/>
          </w:tcPr>
          <w:p w14:paraId="66C52249" w14:textId="77777777" w:rsidR="00604E31" w:rsidRPr="00ED0252" w:rsidRDefault="00604E31" w:rsidP="008418A1">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0.5</w:t>
            </w:r>
            <w:r>
              <w:rPr>
                <w:rFonts w:ascii="Gill Sans MT" w:hAnsi="Gill Sans MT"/>
                <w:sz w:val="18"/>
                <w:szCs w:val="18"/>
              </w:rPr>
              <w:t>17</w:t>
            </w:r>
          </w:p>
        </w:tc>
        <w:tc>
          <w:tcPr>
            <w:tcW w:w="1275" w:type="dxa"/>
            <w:hideMark/>
          </w:tcPr>
          <w:p w14:paraId="33C12662" w14:textId="77777777" w:rsidR="00604E31" w:rsidRPr="00ED0252" w:rsidRDefault="00604E31" w:rsidP="008418A1">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51.7</w:t>
            </w:r>
            <w:r>
              <w:rPr>
                <w:rFonts w:ascii="Gill Sans MT" w:hAnsi="Gill Sans MT" w:cs="Calibri"/>
                <w:color w:val="000000"/>
                <w:sz w:val="18"/>
                <w:szCs w:val="18"/>
              </w:rPr>
              <w:t>00</w:t>
            </w:r>
          </w:p>
        </w:tc>
      </w:tr>
      <w:tr w:rsidR="00604E31" w:rsidRPr="00DA1FA2" w14:paraId="07A7C9E1" w14:textId="77777777" w:rsidTr="005B5DB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68" w:type="dxa"/>
          </w:tcPr>
          <w:p w14:paraId="1E633029" w14:textId="77777777" w:rsidR="00604E31" w:rsidRPr="00DA1FA2" w:rsidRDefault="00604E31" w:rsidP="008418A1">
            <w:pPr>
              <w:tabs>
                <w:tab w:val="left" w:pos="2268"/>
              </w:tabs>
              <w:spacing w:before="0" w:after="0" w:line="240" w:lineRule="auto"/>
              <w:jc w:val="center"/>
              <w:rPr>
                <w:rFonts w:ascii="Gill Sans MT" w:hAnsi="Gill Sans MT"/>
                <w:sz w:val="18"/>
                <w:szCs w:val="18"/>
              </w:rPr>
            </w:pPr>
            <w:r>
              <w:rPr>
                <w:rFonts w:ascii="Gill Sans MT" w:hAnsi="Gill Sans MT"/>
                <w:sz w:val="18"/>
                <w:szCs w:val="18"/>
              </w:rPr>
              <w:t>18</w:t>
            </w:r>
          </w:p>
        </w:tc>
        <w:tc>
          <w:tcPr>
            <w:tcW w:w="4352" w:type="dxa"/>
            <w:hideMark/>
          </w:tcPr>
          <w:p w14:paraId="5E3B46DF" w14:textId="77777777" w:rsidR="00604E31" w:rsidRPr="00DA1FA2" w:rsidRDefault="00604E31" w:rsidP="008418A1">
            <w:pPr>
              <w:tabs>
                <w:tab w:val="left" w:pos="2268"/>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DA1FA2">
              <w:rPr>
                <w:rFonts w:ascii="Gill Sans MT" w:hAnsi="Gill Sans MT"/>
                <w:sz w:val="18"/>
                <w:szCs w:val="18"/>
              </w:rPr>
              <w:t> My tutors often tell me that my essays or assignments are confusing to read</w:t>
            </w:r>
          </w:p>
        </w:tc>
        <w:tc>
          <w:tcPr>
            <w:tcW w:w="992" w:type="dxa"/>
            <w:hideMark/>
          </w:tcPr>
          <w:p w14:paraId="231AB8C6" w14:textId="77777777" w:rsidR="00604E31" w:rsidRPr="00ED0252" w:rsidRDefault="00604E31" w:rsidP="008418A1">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61</w:t>
            </w:r>
          </w:p>
        </w:tc>
        <w:tc>
          <w:tcPr>
            <w:tcW w:w="992" w:type="dxa"/>
            <w:hideMark/>
          </w:tcPr>
          <w:p w14:paraId="532F3CA6" w14:textId="77777777" w:rsidR="00604E31" w:rsidRPr="00ED0252" w:rsidRDefault="00604E31" w:rsidP="008418A1">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0.70</w:t>
            </w:r>
            <w:r>
              <w:rPr>
                <w:rFonts w:ascii="Gill Sans MT" w:hAnsi="Gill Sans MT"/>
                <w:sz w:val="18"/>
                <w:szCs w:val="18"/>
              </w:rPr>
              <w:t>4</w:t>
            </w:r>
          </w:p>
        </w:tc>
        <w:tc>
          <w:tcPr>
            <w:tcW w:w="1275" w:type="dxa"/>
            <w:hideMark/>
          </w:tcPr>
          <w:p w14:paraId="56369966" w14:textId="77777777" w:rsidR="00604E31" w:rsidRPr="00ED0252" w:rsidRDefault="00604E31" w:rsidP="008418A1">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42.944</w:t>
            </w:r>
          </w:p>
        </w:tc>
      </w:tr>
      <w:tr w:rsidR="00604E31" w:rsidRPr="00DA1FA2" w14:paraId="1A0B32D5" w14:textId="77777777" w:rsidTr="005B5DBE">
        <w:trPr>
          <w:trHeight w:val="454"/>
        </w:trPr>
        <w:tc>
          <w:tcPr>
            <w:cnfStyle w:val="001000000000" w:firstRow="0" w:lastRow="0" w:firstColumn="1" w:lastColumn="0" w:oddVBand="0" w:evenVBand="0" w:oddHBand="0" w:evenHBand="0" w:firstRowFirstColumn="0" w:firstRowLastColumn="0" w:lastRowFirstColumn="0" w:lastRowLastColumn="0"/>
            <w:tcW w:w="1168" w:type="dxa"/>
          </w:tcPr>
          <w:p w14:paraId="4AF87ED3" w14:textId="77777777" w:rsidR="00604E31" w:rsidRPr="00DA1FA2" w:rsidRDefault="00604E31" w:rsidP="008418A1">
            <w:pPr>
              <w:tabs>
                <w:tab w:val="left" w:pos="2268"/>
              </w:tabs>
              <w:spacing w:before="0" w:after="0" w:line="240" w:lineRule="auto"/>
              <w:jc w:val="center"/>
              <w:rPr>
                <w:rFonts w:ascii="Gill Sans MT" w:hAnsi="Gill Sans MT"/>
                <w:sz w:val="18"/>
                <w:szCs w:val="18"/>
              </w:rPr>
            </w:pPr>
            <w:r>
              <w:rPr>
                <w:rFonts w:ascii="Gill Sans MT" w:hAnsi="Gill Sans MT"/>
                <w:sz w:val="18"/>
                <w:szCs w:val="18"/>
              </w:rPr>
              <w:t>19</w:t>
            </w:r>
          </w:p>
        </w:tc>
        <w:tc>
          <w:tcPr>
            <w:tcW w:w="4352" w:type="dxa"/>
            <w:hideMark/>
          </w:tcPr>
          <w:p w14:paraId="3A26466F" w14:textId="77777777" w:rsidR="00604E31" w:rsidRPr="00DA1FA2" w:rsidRDefault="00604E31" w:rsidP="008418A1">
            <w:pPr>
              <w:tabs>
                <w:tab w:val="left" w:pos="2268"/>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DA1FA2">
              <w:rPr>
                <w:rFonts w:ascii="Gill Sans MT" w:hAnsi="Gill Sans MT"/>
                <w:sz w:val="18"/>
                <w:szCs w:val="18"/>
              </w:rPr>
              <w:t> I get in a muddle when I'm searching for learning resources or information</w:t>
            </w:r>
          </w:p>
        </w:tc>
        <w:tc>
          <w:tcPr>
            <w:tcW w:w="992" w:type="dxa"/>
            <w:hideMark/>
          </w:tcPr>
          <w:p w14:paraId="6968EBBC" w14:textId="77777777" w:rsidR="00604E31" w:rsidRPr="00ED0252" w:rsidRDefault="00604E31" w:rsidP="008418A1">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86</w:t>
            </w:r>
          </w:p>
        </w:tc>
        <w:tc>
          <w:tcPr>
            <w:tcW w:w="992" w:type="dxa"/>
            <w:hideMark/>
          </w:tcPr>
          <w:p w14:paraId="79287C36" w14:textId="77777777" w:rsidR="00604E31" w:rsidRPr="00ED0252" w:rsidRDefault="00604E31" w:rsidP="008418A1">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0.64</w:t>
            </w:r>
            <w:r>
              <w:rPr>
                <w:rFonts w:ascii="Gill Sans MT" w:hAnsi="Gill Sans MT"/>
                <w:sz w:val="18"/>
                <w:szCs w:val="18"/>
              </w:rPr>
              <w:t>3</w:t>
            </w:r>
          </w:p>
        </w:tc>
        <w:tc>
          <w:tcPr>
            <w:tcW w:w="1275" w:type="dxa"/>
            <w:hideMark/>
          </w:tcPr>
          <w:p w14:paraId="2132198E" w14:textId="77777777" w:rsidR="00604E31" w:rsidRPr="00ED0252" w:rsidRDefault="00604E31" w:rsidP="008418A1">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55.298</w:t>
            </w:r>
          </w:p>
        </w:tc>
      </w:tr>
      <w:tr w:rsidR="00604E31" w:rsidRPr="00DA1FA2" w14:paraId="61E3C158" w14:textId="77777777" w:rsidTr="005B5DB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68" w:type="dxa"/>
          </w:tcPr>
          <w:p w14:paraId="3AA9CB7A" w14:textId="77777777" w:rsidR="00604E31" w:rsidRPr="00DA1FA2" w:rsidRDefault="00604E31" w:rsidP="008418A1">
            <w:pPr>
              <w:tabs>
                <w:tab w:val="left" w:pos="2268"/>
              </w:tabs>
              <w:spacing w:before="0" w:after="0" w:line="240" w:lineRule="auto"/>
              <w:jc w:val="center"/>
              <w:rPr>
                <w:rFonts w:ascii="Gill Sans MT" w:hAnsi="Gill Sans MT"/>
                <w:sz w:val="18"/>
                <w:szCs w:val="18"/>
              </w:rPr>
            </w:pPr>
            <w:r>
              <w:rPr>
                <w:rFonts w:ascii="Gill Sans MT" w:hAnsi="Gill Sans MT"/>
                <w:sz w:val="18"/>
                <w:szCs w:val="18"/>
              </w:rPr>
              <w:t>20</w:t>
            </w:r>
          </w:p>
        </w:tc>
        <w:tc>
          <w:tcPr>
            <w:tcW w:w="4352" w:type="dxa"/>
            <w:hideMark/>
          </w:tcPr>
          <w:p w14:paraId="1EEFE6B5" w14:textId="77777777" w:rsidR="00604E31" w:rsidRPr="00DA1FA2" w:rsidRDefault="00604E31" w:rsidP="008418A1">
            <w:pPr>
              <w:tabs>
                <w:tab w:val="left" w:pos="2268"/>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DA1FA2">
              <w:rPr>
                <w:rFonts w:ascii="Gill Sans MT" w:hAnsi="Gill Sans MT"/>
                <w:sz w:val="18"/>
                <w:szCs w:val="18"/>
              </w:rPr>
              <w:t> I get really anxious if I'm asked to read 'out loud'</w:t>
            </w:r>
          </w:p>
        </w:tc>
        <w:tc>
          <w:tcPr>
            <w:tcW w:w="992" w:type="dxa"/>
            <w:hideMark/>
          </w:tcPr>
          <w:p w14:paraId="747269FE" w14:textId="77777777" w:rsidR="00604E31" w:rsidRPr="00ED0252" w:rsidRDefault="00604E31" w:rsidP="008418A1">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98</w:t>
            </w:r>
          </w:p>
        </w:tc>
        <w:tc>
          <w:tcPr>
            <w:tcW w:w="992" w:type="dxa"/>
            <w:hideMark/>
          </w:tcPr>
          <w:p w14:paraId="645936F9" w14:textId="77777777" w:rsidR="00604E31" w:rsidRPr="00ED0252" w:rsidRDefault="00604E31" w:rsidP="008418A1">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0.7</w:t>
            </w:r>
            <w:r>
              <w:rPr>
                <w:rFonts w:ascii="Gill Sans MT" w:hAnsi="Gill Sans MT"/>
                <w:sz w:val="18"/>
                <w:szCs w:val="18"/>
              </w:rPr>
              <w:t>17</w:t>
            </w:r>
          </w:p>
        </w:tc>
        <w:tc>
          <w:tcPr>
            <w:tcW w:w="1275" w:type="dxa"/>
            <w:hideMark/>
          </w:tcPr>
          <w:p w14:paraId="4D9ED87B" w14:textId="77777777" w:rsidR="00604E31" w:rsidRPr="00ED0252" w:rsidRDefault="00604E31" w:rsidP="008418A1">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70.266</w:t>
            </w:r>
          </w:p>
        </w:tc>
      </w:tr>
      <w:tr w:rsidR="00604E31" w:rsidRPr="00DA1FA2" w14:paraId="3C107908" w14:textId="77777777" w:rsidTr="005B5DBE">
        <w:trPr>
          <w:trHeight w:val="454"/>
        </w:trPr>
        <w:tc>
          <w:tcPr>
            <w:cnfStyle w:val="001000000000" w:firstRow="0" w:lastRow="0" w:firstColumn="1" w:lastColumn="0" w:oddVBand="0" w:evenVBand="0" w:oddHBand="0" w:evenHBand="0" w:firstRowFirstColumn="0" w:firstRowLastColumn="0" w:lastRowFirstColumn="0" w:lastRowLastColumn="0"/>
            <w:tcW w:w="1168" w:type="dxa"/>
          </w:tcPr>
          <w:p w14:paraId="797D44ED" w14:textId="77777777" w:rsidR="00604E31" w:rsidRDefault="00604E31" w:rsidP="008418A1">
            <w:pPr>
              <w:tabs>
                <w:tab w:val="left" w:pos="2268"/>
              </w:tabs>
              <w:spacing w:before="0" w:after="0" w:line="240" w:lineRule="auto"/>
              <w:jc w:val="center"/>
              <w:rPr>
                <w:rFonts w:ascii="Gill Sans MT" w:hAnsi="Gill Sans MT"/>
                <w:sz w:val="18"/>
                <w:szCs w:val="18"/>
              </w:rPr>
            </w:pPr>
          </w:p>
        </w:tc>
        <w:tc>
          <w:tcPr>
            <w:tcW w:w="4352" w:type="dxa"/>
          </w:tcPr>
          <w:p w14:paraId="55CA30E2" w14:textId="77777777" w:rsidR="00604E31" w:rsidRPr="00DA1FA2" w:rsidRDefault="00604E31" w:rsidP="008418A1">
            <w:pPr>
              <w:tabs>
                <w:tab w:val="left" w:pos="2268"/>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984" w:type="dxa"/>
            <w:gridSpan w:val="2"/>
          </w:tcPr>
          <w:p w14:paraId="48C22073" w14:textId="77777777" w:rsidR="00604E31" w:rsidRPr="00ED0252" w:rsidRDefault="00604E31" w:rsidP="008418A1">
            <w:pPr>
              <w:tabs>
                <w:tab w:val="left" w:pos="2268"/>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weighted mean:</w:t>
            </w:r>
          </w:p>
        </w:tc>
        <w:tc>
          <w:tcPr>
            <w:tcW w:w="1275" w:type="dxa"/>
          </w:tcPr>
          <w:p w14:paraId="5A63A727" w14:textId="77777777" w:rsidR="00604E31" w:rsidRPr="00ED0252" w:rsidRDefault="00604E31" w:rsidP="008418A1">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74.895</w:t>
            </w:r>
          </w:p>
        </w:tc>
      </w:tr>
      <w:tr w:rsidR="00604E31" w:rsidRPr="00DA1FA2" w14:paraId="7B9146DD" w14:textId="77777777" w:rsidTr="005B5DB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68" w:type="dxa"/>
          </w:tcPr>
          <w:p w14:paraId="5EFFF707" w14:textId="77777777" w:rsidR="00604E31" w:rsidRDefault="00604E31" w:rsidP="008418A1">
            <w:pPr>
              <w:tabs>
                <w:tab w:val="left" w:pos="2268"/>
              </w:tabs>
              <w:spacing w:before="0" w:after="0" w:line="240" w:lineRule="auto"/>
              <w:jc w:val="center"/>
              <w:rPr>
                <w:rFonts w:ascii="Gill Sans MT" w:hAnsi="Gill Sans MT"/>
                <w:sz w:val="18"/>
                <w:szCs w:val="18"/>
              </w:rPr>
            </w:pPr>
          </w:p>
        </w:tc>
        <w:tc>
          <w:tcPr>
            <w:tcW w:w="4352" w:type="dxa"/>
          </w:tcPr>
          <w:p w14:paraId="1CB4C08E" w14:textId="77777777" w:rsidR="00604E31" w:rsidRPr="00DA1FA2" w:rsidRDefault="00604E31" w:rsidP="008418A1">
            <w:pPr>
              <w:tabs>
                <w:tab w:val="left" w:pos="2268"/>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 reverse-coded value; participant recorded value = 30</w:t>
            </w:r>
          </w:p>
        </w:tc>
        <w:tc>
          <w:tcPr>
            <w:tcW w:w="1984" w:type="dxa"/>
            <w:gridSpan w:val="2"/>
          </w:tcPr>
          <w:p w14:paraId="5D4BC879" w14:textId="77777777" w:rsidR="00604E31" w:rsidRPr="00ED0252" w:rsidRDefault="00604E31" w:rsidP="008418A1">
            <w:pPr>
              <w:tabs>
                <w:tab w:val="left" w:pos="2268"/>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 xml:space="preserve">Dyslexia Index: </w:t>
            </w:r>
          </w:p>
        </w:tc>
        <w:tc>
          <w:tcPr>
            <w:tcW w:w="1275" w:type="dxa"/>
          </w:tcPr>
          <w:p w14:paraId="3F56AF56" w14:textId="77777777" w:rsidR="00604E31" w:rsidRPr="00ED0252" w:rsidRDefault="00604E31" w:rsidP="008418A1">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748.95</w:t>
            </w:r>
          </w:p>
        </w:tc>
      </w:tr>
    </w:tbl>
    <w:p w14:paraId="0F587736" w14:textId="46C5C52B" w:rsidR="00604E31" w:rsidRDefault="00604E31" w:rsidP="00720890">
      <w:pPr>
        <w:pStyle w:val="Tables"/>
      </w:pPr>
      <w:bookmarkStart w:id="158" w:name="_Toc57033184"/>
      <w:r>
        <w:t xml:space="preserve">Table </w:t>
      </w:r>
      <w:r w:rsidR="00744804">
        <w:t>5</w:t>
      </w:r>
      <w:r>
        <w:t>:</w:t>
      </w:r>
      <w:r w:rsidR="00720890">
        <w:tab/>
      </w:r>
      <w:r>
        <w:t>Example calculation of Dyslexia Index</w:t>
      </w:r>
      <w:bookmarkEnd w:id="158"/>
    </w:p>
    <w:p w14:paraId="42EA2BC8" w14:textId="53890904" w:rsidR="00B976DB" w:rsidRDefault="00B976DB" w:rsidP="00B976DB">
      <w:r>
        <w:lastRenderedPageBreak/>
        <w:t>The Dx output was scaled to a value between 0 and 1000 to more easily distinguish it from a participant's ABC value, derived directly from the unscaled, unweighted mean average of the 24 statements of the ABC Scale, each gauged in the range 0 to 100.</w:t>
      </w:r>
    </w:p>
    <w:p w14:paraId="3D4E1259" w14:textId="7D5F0FB2" w:rsidR="00604E31" w:rsidRPr="00D86D48" w:rsidRDefault="009503C9" w:rsidP="00604E31">
      <w:pPr>
        <w:pStyle w:val="Heading5"/>
        <w:tabs>
          <w:tab w:val="left" w:pos="2268"/>
        </w:tabs>
      </w:pPr>
      <w:bookmarkStart w:id="159" w:name="ConcludingStatement7"/>
      <w:bookmarkEnd w:id="159"/>
      <w:r>
        <w:t>7.</w:t>
      </w:r>
      <w:r w:rsidR="00604E31">
        <w:t xml:space="preserve"> Concluding summary</w:t>
      </w:r>
    </w:p>
    <w:p w14:paraId="5A9489C4" w14:textId="77777777" w:rsidR="00744804" w:rsidRPr="00744804" w:rsidRDefault="00744804" w:rsidP="00744804">
      <w:pPr>
        <w:rPr>
          <w:rFonts w:eastAsia="Times New Roman"/>
          <w:lang w:eastAsia="en-GB"/>
        </w:rPr>
      </w:pPr>
      <w:r w:rsidRPr="00744804">
        <w:rPr>
          <w:rFonts w:eastAsia="Times New Roman"/>
          <w:lang w:eastAsia="en-GB"/>
        </w:rPr>
        <w:t>In summary, the Dx Profiler calculated a Dyslexia Index for each respondent in the research datapool, being a weighted mean average of responses to 20 Likert-style item statements, where each aimed to capture data relating to a specific study attribute or behaviour, or an aspect of learning biography. Respondents recorded their strength of agreement with each statement along a continuous range from 0% to 100%. Weightings were derived from the prevalence of characteristics determined through a poll of dyslexia support practitioners. The weighted mean was scaled to provide an output, Dyslexia Index (Dx), in the range 0 &lt; Dx &lt; 1000. With data available following deployment of the main research questionnaire, dimensionality reduction was applied (PCA) to explore the factor structure of the Dx Profiler. This was firstly to compare the output with the speculated structure based on the BDA definition of dyslexia, and secondly to determine whether a useful cross-factorial analysis might be conducted with outputs from the ABC Scale. The aim was to explore more thoroughly the associations revealed between academic confidence and dyslexia-ness (reported in sub-section 4.6). This analysis remains tentative and to an extent, speculative, because the size of the sample (n=98) from which it was generated is quite small. A later study could aim to develop the Dx Profiler by collecting data from larger and more varied samples, hence enabling PCA to be more confidently applied.</w:t>
      </w:r>
    </w:p>
    <w:p w14:paraId="0F078FBA" w14:textId="312BB998" w:rsidR="00AF40B0" w:rsidRPr="00744804" w:rsidRDefault="00604E31" w:rsidP="00AF40B0">
      <w:pPr>
        <w:tabs>
          <w:tab w:val="left" w:pos="2268"/>
        </w:tabs>
      </w:pPr>
      <w:r>
        <w:t>The outcome of the development process was that the Dx Profiler was considered to have met its design specifications and was used confidently to gauge the dyslexia-ness of the participants in the study, and hence was included as the final section of the research questionnaire.</w:t>
      </w:r>
    </w:p>
    <w:p w14:paraId="32F27EBF" w14:textId="7CAD8C28" w:rsidR="009503C9" w:rsidRDefault="008816CD" w:rsidP="009503C9">
      <w:pPr>
        <w:spacing w:before="0" w:after="160" w:line="259" w:lineRule="auto"/>
      </w:pPr>
      <w:r>
        <w:rPr>
          <w:bCs/>
        </w:rPr>
        <w:br w:type="page"/>
      </w:r>
      <w:bookmarkStart w:id="160" w:name="_Toc9795757"/>
    </w:p>
    <w:p w14:paraId="3A42BCFA" w14:textId="77777777" w:rsidR="009503C9" w:rsidRDefault="009503C9" w:rsidP="007B0625">
      <w:pPr>
        <w:pStyle w:val="Heading1"/>
      </w:pPr>
    </w:p>
    <w:p w14:paraId="55361C33" w14:textId="05704256" w:rsidR="007B0625" w:rsidRDefault="007B0625" w:rsidP="007B0625">
      <w:pPr>
        <w:pStyle w:val="Heading1"/>
      </w:pPr>
      <w:bookmarkStart w:id="161" w:name="_Toc57035917"/>
      <w:r>
        <w:t>4</w:t>
      </w:r>
      <w:r w:rsidR="00CC5358">
        <w:tab/>
      </w:r>
      <w:r>
        <w:t>Results and Analysis</w:t>
      </w:r>
      <w:bookmarkEnd w:id="160"/>
      <w:bookmarkEnd w:id="161"/>
      <w:r w:rsidRPr="00537A60">
        <w:t> </w:t>
      </w:r>
    </w:p>
    <w:p w14:paraId="4234FB14" w14:textId="5B18E4E2" w:rsidR="009503C9" w:rsidRDefault="009503C9" w:rsidP="009503C9">
      <w:pPr>
        <w:pStyle w:val="Heading5"/>
        <w:spacing w:before="0"/>
      </w:pPr>
      <w:r>
        <w:tab/>
        <w:t>4.1</w:t>
      </w:r>
      <w:r>
        <w:tab/>
        <w:t>Overvie</w:t>
      </w:r>
      <w:bookmarkStart w:id="162" w:name="_Toc9795758"/>
      <w:r>
        <w:t>w</w:t>
      </w:r>
    </w:p>
    <w:p w14:paraId="58BC51CB" w14:textId="77777777" w:rsidR="009503C9" w:rsidRDefault="009503C9" w:rsidP="009503C9">
      <w:pPr>
        <w:pStyle w:val="Heading5"/>
        <w:spacing w:before="0"/>
      </w:pPr>
      <w:r>
        <w:tab/>
      </w:r>
      <w:r>
        <w:tab/>
        <w:t>I</w:t>
      </w:r>
      <w:r>
        <w:tab/>
        <w:t>Objectives</w:t>
      </w:r>
    </w:p>
    <w:p w14:paraId="069019CF" w14:textId="77777777" w:rsidR="00E91661" w:rsidRDefault="009503C9" w:rsidP="009503C9">
      <w:pPr>
        <w:pStyle w:val="Heading5"/>
        <w:spacing w:before="0"/>
      </w:pPr>
      <w:r>
        <w:tab/>
      </w:r>
      <w:r>
        <w:tab/>
        <w:t>II</w:t>
      </w:r>
      <w:r>
        <w:tab/>
        <w:t xml:space="preserve">Analysing </w:t>
      </w:r>
      <w:r w:rsidR="00E91661">
        <w:t>quantitative data - Rationales</w:t>
      </w:r>
    </w:p>
    <w:p w14:paraId="543631BB" w14:textId="77777777" w:rsidR="00E91661" w:rsidRDefault="00E91661" w:rsidP="00E91661">
      <w:pPr>
        <w:pStyle w:val="Heading5"/>
        <w:spacing w:before="0"/>
        <w:ind w:left="720"/>
      </w:pPr>
      <w:r>
        <w:tab/>
      </w:r>
      <w:r>
        <w:tab/>
      </w:r>
      <w:r>
        <w:tab/>
        <w:t xml:space="preserve">1. Internal consistency (reliability) - Cronbach's </w:t>
      </w:r>
      <w:r w:rsidRPr="00E91661">
        <w:t>ɑ</w:t>
      </w:r>
    </w:p>
    <w:p w14:paraId="53D7A0FD" w14:textId="77777777" w:rsidR="00E91661" w:rsidRDefault="00E91661" w:rsidP="00E91661">
      <w:pPr>
        <w:pStyle w:val="Heading5"/>
        <w:spacing w:before="0"/>
        <w:ind w:left="720"/>
      </w:pPr>
      <w:r>
        <w:tab/>
      </w:r>
      <w:r>
        <w:tab/>
      </w:r>
      <w:r>
        <w:tab/>
        <w:t>2. Effect sizes</w:t>
      </w:r>
    </w:p>
    <w:p w14:paraId="364B8D7E" w14:textId="77777777" w:rsidR="00E91661" w:rsidRDefault="00E91661" w:rsidP="00E91661">
      <w:pPr>
        <w:pStyle w:val="Heading5"/>
        <w:spacing w:before="0"/>
        <w:ind w:left="720"/>
      </w:pPr>
      <w:r>
        <w:tab/>
      </w:r>
      <w:r>
        <w:tab/>
      </w:r>
      <w:r>
        <w:tab/>
        <w:t>3. Null-hypothesis significance testing (NHST); ANOVA</w:t>
      </w:r>
    </w:p>
    <w:p w14:paraId="5A64270C" w14:textId="77777777" w:rsidR="00E91661" w:rsidRDefault="00E91661" w:rsidP="00E91661">
      <w:pPr>
        <w:pStyle w:val="Heading5"/>
        <w:spacing w:before="0"/>
        <w:ind w:left="720"/>
      </w:pPr>
      <w:r>
        <w:tab/>
      </w:r>
      <w:r>
        <w:tab/>
      </w:r>
      <w:r>
        <w:tab/>
        <w:t>4. Dimension reduction</w:t>
      </w:r>
    </w:p>
    <w:p w14:paraId="7AEF64D4" w14:textId="77777777" w:rsidR="00E91661" w:rsidRDefault="00E91661" w:rsidP="00E91661">
      <w:pPr>
        <w:pStyle w:val="Heading5"/>
        <w:spacing w:before="0"/>
        <w:ind w:left="720"/>
      </w:pPr>
      <w:r>
        <w:tab/>
      </w:r>
      <w:r>
        <w:tab/>
      </w:r>
      <w:r>
        <w:tab/>
        <w:t>5. Multiple regression analysis</w:t>
      </w:r>
    </w:p>
    <w:p w14:paraId="30EF3A08" w14:textId="77777777" w:rsidR="00E91661" w:rsidRDefault="00E91661" w:rsidP="009503C9">
      <w:pPr>
        <w:pStyle w:val="Heading5"/>
        <w:spacing w:before="0"/>
      </w:pPr>
      <w:r>
        <w:tab/>
      </w:r>
      <w:r>
        <w:tab/>
        <w:t>III</w:t>
      </w:r>
      <w:r>
        <w:tab/>
        <w:t>Analysing qualitative data - Rationales</w:t>
      </w:r>
    </w:p>
    <w:p w14:paraId="3A5B4486" w14:textId="77777777" w:rsidR="00E91661" w:rsidRDefault="00E91661" w:rsidP="009503C9">
      <w:pPr>
        <w:pStyle w:val="Heading5"/>
        <w:spacing w:before="0"/>
      </w:pPr>
      <w:r>
        <w:tab/>
        <w:t>4.2</w:t>
      </w:r>
      <w:r>
        <w:tab/>
        <w:t>Terminology</w:t>
      </w:r>
    </w:p>
    <w:p w14:paraId="64485346" w14:textId="77777777" w:rsidR="00E91661" w:rsidRDefault="00E91661" w:rsidP="009503C9">
      <w:pPr>
        <w:pStyle w:val="Heading5"/>
        <w:spacing w:before="0"/>
      </w:pPr>
      <w:r>
        <w:tab/>
        <w:t>4.3</w:t>
      </w:r>
      <w:r>
        <w:tab/>
        <w:t>Results</w:t>
      </w:r>
    </w:p>
    <w:p w14:paraId="4E24CD8A" w14:textId="77777777" w:rsidR="00E91661" w:rsidRDefault="00E91661" w:rsidP="009503C9">
      <w:pPr>
        <w:pStyle w:val="Heading5"/>
        <w:spacing w:before="0"/>
      </w:pPr>
      <w:r>
        <w:tab/>
      </w:r>
      <w:r>
        <w:tab/>
        <w:t>I</w:t>
      </w:r>
      <w:r>
        <w:tab/>
        <w:t>Demographics</w:t>
      </w:r>
    </w:p>
    <w:p w14:paraId="2751D113" w14:textId="77777777" w:rsidR="00E91661" w:rsidRDefault="00E91661" w:rsidP="00E91661">
      <w:pPr>
        <w:pStyle w:val="Heading5"/>
        <w:spacing w:before="0"/>
        <w:ind w:left="720"/>
      </w:pPr>
      <w:r>
        <w:tab/>
      </w:r>
      <w:r>
        <w:tab/>
      </w:r>
      <w:r>
        <w:tab/>
        <w:t>1. Distribution by gender</w:t>
      </w:r>
    </w:p>
    <w:p w14:paraId="4EBEE9E5" w14:textId="77777777" w:rsidR="00E91661" w:rsidRDefault="00E91661" w:rsidP="00E91661">
      <w:pPr>
        <w:pStyle w:val="Heading5"/>
        <w:spacing w:before="0"/>
        <w:ind w:left="720"/>
      </w:pPr>
      <w:r>
        <w:tab/>
      </w:r>
      <w:r>
        <w:tab/>
      </w:r>
      <w:r>
        <w:tab/>
        <w:t>2. Distribution by domicile</w:t>
      </w:r>
    </w:p>
    <w:p w14:paraId="7D2867BC" w14:textId="77777777" w:rsidR="00E91661" w:rsidRDefault="00E91661" w:rsidP="00E91661">
      <w:pPr>
        <w:pStyle w:val="Heading5"/>
        <w:spacing w:before="0"/>
        <w:ind w:left="720"/>
      </w:pPr>
      <w:r>
        <w:tab/>
      </w:r>
      <w:r>
        <w:tab/>
      </w:r>
      <w:r>
        <w:tab/>
        <w:t>3. Distribution by study level</w:t>
      </w:r>
    </w:p>
    <w:p w14:paraId="5D7A7A08" w14:textId="77777777" w:rsidR="00E91661" w:rsidRDefault="00E91661" w:rsidP="009503C9">
      <w:pPr>
        <w:pStyle w:val="Heading5"/>
        <w:spacing w:before="0"/>
      </w:pPr>
      <w:r>
        <w:tab/>
      </w:r>
      <w:r>
        <w:tab/>
        <w:t>II</w:t>
      </w:r>
      <w:r>
        <w:tab/>
        <w:t>How students with dyslexia learned of their dyslexia</w:t>
      </w:r>
    </w:p>
    <w:p w14:paraId="5155B624" w14:textId="77777777" w:rsidR="00E91661" w:rsidRDefault="00E91661" w:rsidP="009503C9">
      <w:pPr>
        <w:pStyle w:val="Heading5"/>
        <w:spacing w:before="0"/>
      </w:pPr>
      <w:r>
        <w:tab/>
      </w:r>
      <w:r>
        <w:tab/>
        <w:t>III</w:t>
      </w:r>
      <w:r>
        <w:tab/>
        <w:t>Dyslexia Index</w:t>
      </w:r>
    </w:p>
    <w:p w14:paraId="39B235B9" w14:textId="3E7D65EA" w:rsidR="00E91661" w:rsidRDefault="00E91661" w:rsidP="00E91661">
      <w:pPr>
        <w:pStyle w:val="Heading5"/>
        <w:spacing w:before="0"/>
        <w:ind w:left="720"/>
      </w:pPr>
      <w:r>
        <w:tab/>
      </w:r>
      <w:r>
        <w:tab/>
      </w:r>
      <w:r>
        <w:tab/>
        <w:t>1. Internal reliability of the Dx Profiler - Dx20, Dx16 Scales</w:t>
      </w:r>
    </w:p>
    <w:p w14:paraId="5D2B523D" w14:textId="77777777" w:rsidR="00E91661" w:rsidRDefault="00E91661" w:rsidP="00E91661">
      <w:pPr>
        <w:pStyle w:val="Heading5"/>
        <w:spacing w:before="0"/>
        <w:ind w:left="720"/>
      </w:pPr>
      <w:r>
        <w:tab/>
      </w:r>
      <w:r>
        <w:tab/>
      </w:r>
      <w:r>
        <w:tab/>
        <w:t>2. Dx Profiler distributions and basic statistics</w:t>
      </w:r>
    </w:p>
    <w:p w14:paraId="2D54FA5C" w14:textId="77777777" w:rsidR="00E91661" w:rsidRDefault="00E91661" w:rsidP="00E91661">
      <w:pPr>
        <w:pStyle w:val="Heading5"/>
        <w:spacing w:before="0"/>
        <w:ind w:left="720"/>
      </w:pPr>
      <w:r>
        <w:tab/>
      </w:r>
      <w:r>
        <w:tab/>
      </w:r>
      <w:r>
        <w:tab/>
        <w:t>3. Setting boundary values for Dx</w:t>
      </w:r>
    </w:p>
    <w:p w14:paraId="14C4631F" w14:textId="77777777" w:rsidR="00E91661" w:rsidRDefault="00E91661" w:rsidP="009503C9">
      <w:pPr>
        <w:pStyle w:val="Heading5"/>
        <w:spacing w:before="0"/>
      </w:pPr>
      <w:r>
        <w:tab/>
      </w:r>
      <w:r>
        <w:tab/>
        <w:t>IV</w:t>
      </w:r>
      <w:r>
        <w:tab/>
        <w:t>Academic Behavioural Confidence</w:t>
      </w:r>
    </w:p>
    <w:p w14:paraId="13B8AB8D" w14:textId="77777777" w:rsidR="00E91661" w:rsidRDefault="00E91661" w:rsidP="009503C9">
      <w:pPr>
        <w:pStyle w:val="Heading5"/>
        <w:spacing w:before="0"/>
      </w:pPr>
      <w:r>
        <w:tab/>
      </w:r>
      <w:r>
        <w:tab/>
      </w:r>
      <w:r>
        <w:tab/>
      </w:r>
      <w:r>
        <w:tab/>
        <w:t>1. Internal reliability of the ABC Scales</w:t>
      </w:r>
    </w:p>
    <w:p w14:paraId="35A92208" w14:textId="77777777" w:rsidR="00E91661" w:rsidRDefault="00E91661" w:rsidP="009503C9">
      <w:pPr>
        <w:pStyle w:val="Heading5"/>
        <w:spacing w:before="0"/>
      </w:pPr>
      <w:r>
        <w:tab/>
      </w:r>
      <w:r>
        <w:tab/>
      </w:r>
      <w:r>
        <w:tab/>
      </w:r>
      <w:r>
        <w:tab/>
        <w:t>2. Differences in mean ABC values</w:t>
      </w:r>
    </w:p>
    <w:p w14:paraId="300C38E0" w14:textId="77777777" w:rsidR="00E91661" w:rsidRDefault="00E91661" w:rsidP="009503C9">
      <w:pPr>
        <w:pStyle w:val="Heading5"/>
        <w:spacing w:before="0"/>
      </w:pPr>
      <w:r>
        <w:tab/>
        <w:t>4.4</w:t>
      </w:r>
      <w:r>
        <w:tab/>
        <w:t>Relating results to hypotheses</w:t>
      </w:r>
    </w:p>
    <w:p w14:paraId="1BC01236" w14:textId="77777777" w:rsidR="00471915" w:rsidRDefault="00471915" w:rsidP="009503C9">
      <w:pPr>
        <w:pStyle w:val="Heading5"/>
        <w:spacing w:before="0"/>
      </w:pPr>
      <w:r>
        <w:tab/>
        <w:t>4.5</w:t>
      </w:r>
      <w:r>
        <w:tab/>
        <w:t>Further analysis: Dimension reduction</w:t>
      </w:r>
    </w:p>
    <w:p w14:paraId="16807C42" w14:textId="541CFAC9" w:rsidR="00471915" w:rsidRDefault="00471915" w:rsidP="009503C9">
      <w:pPr>
        <w:pStyle w:val="Heading5"/>
        <w:spacing w:before="0"/>
      </w:pPr>
      <w:r>
        <w:tab/>
      </w:r>
      <w:r>
        <w:tab/>
        <w:t>I</w:t>
      </w:r>
      <w:r>
        <w:tab/>
        <w:t xml:space="preserve">Overview - applying dimension reduction to the ABC Scales and the Dx </w:t>
      </w:r>
      <w:r>
        <w:tab/>
      </w:r>
      <w:r>
        <w:tab/>
      </w:r>
      <w:r>
        <w:tab/>
      </w:r>
      <w:r>
        <w:tab/>
        <w:t>Profilers</w:t>
      </w:r>
    </w:p>
    <w:p w14:paraId="769C04DE" w14:textId="77777777" w:rsidR="00471915" w:rsidRDefault="00471915" w:rsidP="00471915">
      <w:pPr>
        <w:pStyle w:val="Heading5"/>
        <w:spacing w:before="0"/>
      </w:pPr>
      <w:r>
        <w:tab/>
      </w:r>
      <w:r>
        <w:tab/>
      </w:r>
      <w:r>
        <w:tab/>
      </w:r>
      <w:r>
        <w:tab/>
        <w:t>1. Assumptions and preliminary work</w:t>
      </w:r>
    </w:p>
    <w:p w14:paraId="46867AF9" w14:textId="77777777" w:rsidR="00471915" w:rsidRDefault="00471915" w:rsidP="00471915">
      <w:pPr>
        <w:pStyle w:val="Heading5"/>
        <w:spacing w:before="0"/>
      </w:pPr>
      <w:r>
        <w:tab/>
      </w:r>
      <w:r>
        <w:tab/>
      </w:r>
      <w:r>
        <w:tab/>
      </w:r>
      <w:r>
        <w:tab/>
        <w:t>2. Eigenvalue Monte Carlo Simulations</w:t>
      </w:r>
    </w:p>
    <w:p w14:paraId="4BD5A766" w14:textId="77777777" w:rsidR="00471915" w:rsidRDefault="00471915" w:rsidP="00471915">
      <w:pPr>
        <w:pStyle w:val="Heading5"/>
        <w:spacing w:before="0"/>
      </w:pPr>
      <w:r>
        <w:tab/>
      </w:r>
      <w:r>
        <w:tab/>
        <w:t>II</w:t>
      </w:r>
      <w:r>
        <w:tab/>
        <w:t>PCA on Academic Behavioural Confidence</w:t>
      </w:r>
    </w:p>
    <w:p w14:paraId="1BD2ADE6" w14:textId="77777777" w:rsidR="00471915" w:rsidRDefault="00471915" w:rsidP="00471915">
      <w:pPr>
        <w:pStyle w:val="Heading5"/>
        <w:spacing w:before="0"/>
      </w:pPr>
      <w:r>
        <w:tab/>
      </w:r>
      <w:r>
        <w:tab/>
        <w:t>III</w:t>
      </w:r>
      <w:r>
        <w:tab/>
        <w:t>PCA on Dyslexia Index</w:t>
      </w:r>
    </w:p>
    <w:p w14:paraId="62AC7902" w14:textId="77777777" w:rsidR="00471915" w:rsidRDefault="00471915" w:rsidP="00471915">
      <w:pPr>
        <w:pStyle w:val="Heading5"/>
        <w:spacing w:before="0"/>
      </w:pPr>
      <w:r>
        <w:tab/>
      </w:r>
      <w:r>
        <w:tab/>
        <w:t>IV</w:t>
      </w:r>
      <w:r>
        <w:tab/>
        <w:t>Comparing ABC Factor means</w:t>
      </w:r>
    </w:p>
    <w:p w14:paraId="1B921B78" w14:textId="06247B16" w:rsidR="009503C9" w:rsidRPr="00471915" w:rsidRDefault="00471915" w:rsidP="00471915">
      <w:pPr>
        <w:pStyle w:val="Heading5"/>
        <w:spacing w:before="0"/>
      </w:pPr>
      <w:r>
        <w:tab/>
        <w:t>4.6</w:t>
      </w:r>
      <w:r>
        <w:tab/>
        <w:t>Applying multiple regression analysis</w:t>
      </w:r>
    </w:p>
    <w:p w14:paraId="662C19E0" w14:textId="45167A22" w:rsidR="009D5419" w:rsidRDefault="009D5419" w:rsidP="007B0625">
      <w:pPr>
        <w:pStyle w:val="Heading2"/>
      </w:pPr>
      <w:bookmarkStart w:id="163" w:name="_Toc57035918"/>
      <w:r>
        <w:lastRenderedPageBreak/>
        <w:t>4.</w:t>
      </w:r>
      <w:r w:rsidR="008F570A">
        <w:t>1</w:t>
      </w:r>
      <w:r w:rsidR="008F570A">
        <w:tab/>
      </w:r>
      <w:r>
        <w:t>Overview</w:t>
      </w:r>
      <w:bookmarkEnd w:id="163"/>
    </w:p>
    <w:p w14:paraId="6E4FA9C2" w14:textId="77457D15" w:rsidR="00061580" w:rsidRPr="00061580" w:rsidRDefault="009D5419" w:rsidP="008F570A">
      <w:pPr>
        <w:pStyle w:val="Heading3"/>
        <w:rPr>
          <w:rFonts w:ascii="Times New Roman" w:eastAsia="Times New Roman" w:hAnsi="Times New Roman" w:cs="Times New Roman"/>
          <w:lang w:eastAsia="en-GB"/>
        </w:rPr>
      </w:pPr>
      <w:bookmarkStart w:id="164" w:name="_Toc57035919"/>
      <w:r w:rsidRPr="009D5419">
        <w:rPr>
          <w:rFonts w:eastAsia="Times New Roman"/>
          <w:lang w:eastAsia="en-GB"/>
        </w:rPr>
        <w:t>I</w:t>
      </w:r>
      <w:r w:rsidR="008F570A">
        <w:rPr>
          <w:rFonts w:eastAsia="Times New Roman"/>
          <w:lang w:eastAsia="en-GB"/>
        </w:rPr>
        <w:tab/>
      </w:r>
      <w:r w:rsidRPr="009D5419">
        <w:rPr>
          <w:rFonts w:eastAsia="Times New Roman"/>
          <w:lang w:eastAsia="en-GB"/>
        </w:rPr>
        <w:t>Objectives</w:t>
      </w:r>
      <w:bookmarkEnd w:id="164"/>
    </w:p>
    <w:p w14:paraId="0AB85362" w14:textId="61FC6EB7" w:rsidR="009D5419" w:rsidRPr="009D5419" w:rsidRDefault="00061580" w:rsidP="008F570A">
      <w:pPr>
        <w:rPr>
          <w:rFonts w:eastAsia="Times New Roman"/>
          <w:lang w:eastAsia="en-GB"/>
        </w:rPr>
      </w:pPr>
      <w:r w:rsidRPr="00061580">
        <w:rPr>
          <w:rFonts w:eastAsia="Times New Roman"/>
          <w:lang w:eastAsia="en-GB"/>
        </w:rPr>
        <w:t>The objectives of the analysis were</w:t>
      </w:r>
      <w:r w:rsidR="00940B33">
        <w:rPr>
          <w:rFonts w:eastAsia="Times New Roman"/>
          <w:lang w:eastAsia="en-GB"/>
        </w:rPr>
        <w:t xml:space="preserve"> </w:t>
      </w:r>
      <w:r w:rsidRPr="00061580">
        <w:rPr>
          <w:rFonts w:eastAsia="Times New Roman"/>
          <w:lang w:eastAsia="en-GB"/>
        </w:rPr>
        <w:t>to enable the research hypotheses (</w:t>
      </w:r>
      <w:r w:rsidR="00F311F4">
        <w:rPr>
          <w:rFonts w:eastAsia="Times New Roman"/>
          <w:lang w:eastAsia="en-GB"/>
        </w:rPr>
        <w:t>S</w:t>
      </w:r>
      <w:r w:rsidRPr="00061580">
        <w:rPr>
          <w:rFonts w:eastAsia="Times New Roman"/>
          <w:lang w:eastAsia="en-GB"/>
        </w:rPr>
        <w:t>ection 1.4) to be addressed:</w:t>
      </w:r>
      <w:r w:rsidR="00940B33">
        <w:rPr>
          <w:rFonts w:eastAsia="Times New Roman"/>
          <w:lang w:eastAsia="en-GB"/>
        </w:rPr>
        <w:t xml:space="preserve"> </w:t>
      </w:r>
      <w:r w:rsidRPr="00061580">
        <w:rPr>
          <w:rFonts w:eastAsia="Times New Roman"/>
          <w:lang w:eastAsia="en-GB"/>
        </w:rPr>
        <w:t xml:space="preserve">firstly, by comparing ABC data from the groups of dyslexic and non-dyslexic students; secondly, by comparing ABC data from the dyslexic students of the Control subgroup with the non-dyslexic students in the Base subgroup; finally, ABC data for the quasi-dyslexic students of the Test subgroup were compared with those in the Control subgroup. </w:t>
      </w:r>
    </w:p>
    <w:p w14:paraId="5636B0A2" w14:textId="0B231E08" w:rsidR="008F570A" w:rsidRDefault="004D1360" w:rsidP="008F570A">
      <w:pPr>
        <w:pStyle w:val="Heading3"/>
        <w:rPr>
          <w:rFonts w:eastAsia="Times New Roman"/>
          <w:lang w:eastAsia="en-GB"/>
        </w:rPr>
      </w:pPr>
      <w:bookmarkStart w:id="165" w:name="_Toc57035920"/>
      <w:r>
        <w:rPr>
          <w:rFonts w:eastAsia="Times New Roman"/>
          <w:lang w:eastAsia="en-GB"/>
        </w:rPr>
        <w:t>II</w:t>
      </w:r>
      <w:r w:rsidR="008F570A">
        <w:rPr>
          <w:rFonts w:eastAsia="Times New Roman"/>
          <w:lang w:eastAsia="en-GB"/>
        </w:rPr>
        <w:tab/>
      </w:r>
      <w:r w:rsidR="009D5419" w:rsidRPr="009D5419">
        <w:rPr>
          <w:rFonts w:eastAsia="Times New Roman"/>
          <w:lang w:eastAsia="en-GB"/>
        </w:rPr>
        <w:t>Analysing quantitative data</w:t>
      </w:r>
      <w:r>
        <w:rPr>
          <w:rFonts w:eastAsia="Times New Roman"/>
          <w:lang w:eastAsia="en-GB"/>
        </w:rPr>
        <w:t xml:space="preserve"> - rationales:</w:t>
      </w:r>
      <w:bookmarkEnd w:id="165"/>
    </w:p>
    <w:p w14:paraId="21963D20" w14:textId="42E7EB32" w:rsidR="00732FEC" w:rsidRDefault="00732FEC" w:rsidP="008F570A">
      <w:pPr>
        <w:pStyle w:val="Heading4"/>
        <w:spacing w:before="120"/>
        <w:rPr>
          <w:rFonts w:eastAsia="Times New Roman"/>
          <w:lang w:eastAsia="en-GB"/>
        </w:rPr>
      </w:pPr>
      <w:r>
        <w:rPr>
          <w:rFonts w:eastAsia="Times New Roman"/>
          <w:lang w:eastAsia="en-GB"/>
        </w:rPr>
        <w:t>1. Internal consistency (reliability) - Cronbach's 'alpha' (</w:t>
      </w:r>
      <w:r w:rsidR="00B12F5B">
        <w:rPr>
          <w:rFonts w:eastAsia="Times New Roman"/>
          <w:lang w:eastAsia="en-GB"/>
        </w:rPr>
        <w:sym w:font="Symbol" w:char="F061"/>
      </w:r>
      <w:r w:rsidR="00B12F5B">
        <w:rPr>
          <w:rFonts w:eastAsia="Times New Roman"/>
          <w:lang w:eastAsia="en-GB"/>
        </w:rPr>
        <w:t>)</w:t>
      </w:r>
    </w:p>
    <w:p w14:paraId="28A6A2AF" w14:textId="7B49DBFC" w:rsidR="00B12F5B" w:rsidRPr="00B12F5B" w:rsidRDefault="00B12F5B" w:rsidP="00B12F5B">
      <w:pPr>
        <w:rPr>
          <w:rFonts w:eastAsia="Times New Roman"/>
          <w:lang w:eastAsia="en-GB"/>
        </w:rPr>
      </w:pPr>
      <w:r w:rsidRPr="00B12F5B">
        <w:rPr>
          <w:rFonts w:eastAsia="Times New Roman"/>
          <w:lang w:eastAsia="en-GB"/>
        </w:rPr>
        <w:t xml:space="preserve">Both the metrics in this study gauged constructs </w:t>
      </w:r>
      <w:r w:rsidR="00940B33">
        <w:rPr>
          <w:rFonts w:eastAsia="Times New Roman"/>
          <w:lang w:eastAsia="en-GB"/>
        </w:rPr>
        <w:t xml:space="preserve">that </w:t>
      </w:r>
      <w:r w:rsidRPr="00B12F5B">
        <w:rPr>
          <w:rFonts w:eastAsia="Times New Roman"/>
          <w:lang w:eastAsia="en-GB"/>
        </w:rPr>
        <w:t>us</w:t>
      </w:r>
      <w:r w:rsidR="00940B33">
        <w:rPr>
          <w:rFonts w:eastAsia="Times New Roman"/>
          <w:lang w:eastAsia="en-GB"/>
        </w:rPr>
        <w:t>ed</w:t>
      </w:r>
      <w:r w:rsidRPr="00B12F5B">
        <w:rPr>
          <w:rFonts w:eastAsia="Times New Roman"/>
          <w:lang w:eastAsia="en-GB"/>
        </w:rPr>
        <w:t xml:space="preserve"> linear scales. The existing, ABC Scale operationalized</w:t>
      </w:r>
      <w:r w:rsidR="00940B33">
        <w:rPr>
          <w:rFonts w:eastAsia="Times New Roman"/>
          <w:lang w:eastAsia="en-GB"/>
        </w:rPr>
        <w:t xml:space="preserve"> </w:t>
      </w:r>
      <w:r w:rsidRPr="00B12F5B">
        <w:rPr>
          <w:rFonts w:eastAsia="Times New Roman"/>
          <w:lang w:eastAsia="en-GB"/>
        </w:rPr>
        <w:t>academic confidence, and the Dyslexia Index Profiler was developed especially for this study to assess participants' levels of dyslexia-ness. Each scale comprised multiple dimensions, collectively designed to assess their respective underlying construct. In order to have confidence that the data generated was meaningful</w:t>
      </w:r>
      <w:r w:rsidR="005B0F29">
        <w:rPr>
          <w:rFonts w:eastAsia="Times New Roman"/>
          <w:lang w:eastAsia="en-GB"/>
        </w:rPr>
        <w:t>,</w:t>
      </w:r>
      <w:r w:rsidRPr="00B12F5B">
        <w:rPr>
          <w:rFonts w:eastAsia="Times New Roman"/>
          <w:lang w:eastAsia="en-GB"/>
        </w:rPr>
        <w:t xml:space="preserve"> it was important to assess the reliability and validity of the scales. </w:t>
      </w:r>
      <w:r w:rsidR="005B0F29" w:rsidRPr="00B12F5B">
        <w:rPr>
          <w:rFonts w:eastAsia="Times New Roman"/>
          <w:lang w:eastAsia="en-GB"/>
        </w:rPr>
        <w:t xml:space="preserve">Cronbach's ɑ coefficient of internal reliability </w:t>
      </w:r>
      <w:r w:rsidR="005B0F29">
        <w:rPr>
          <w:rFonts w:eastAsia="Times New Roman"/>
          <w:lang w:eastAsia="en-GB"/>
        </w:rPr>
        <w:t>is t</w:t>
      </w:r>
      <w:r w:rsidRPr="00B12F5B">
        <w:rPr>
          <w:rFonts w:eastAsia="Times New Roman"/>
          <w:lang w:eastAsia="en-GB"/>
        </w:rPr>
        <w:t>ypically used in social science research, notably in psychology</w:t>
      </w:r>
      <w:r w:rsidR="005B0F29">
        <w:rPr>
          <w:rFonts w:eastAsia="Times New Roman"/>
          <w:lang w:eastAsia="en-GB"/>
        </w:rPr>
        <w:t xml:space="preserve"> </w:t>
      </w:r>
      <w:r w:rsidRPr="00B12F5B">
        <w:rPr>
          <w:rFonts w:eastAsia="Times New Roman"/>
          <w:lang w:eastAsia="en-GB"/>
        </w:rPr>
        <w:t>(Lund &amp; Lund 2018). An ɑ</w:t>
      </w:r>
      <w:r w:rsidR="00940B33">
        <w:rPr>
          <w:rFonts w:eastAsia="Times New Roman"/>
          <w:lang w:eastAsia="en-GB"/>
        </w:rPr>
        <w:t xml:space="preserve"> </w:t>
      </w:r>
      <w:r w:rsidRPr="00B12F5B">
        <w:rPr>
          <w:rFonts w:eastAsia="Times New Roman"/>
          <w:lang w:eastAsia="en-GB"/>
        </w:rPr>
        <w:t>value within the range 0.3 &lt; α &lt; 0.7 is considered as acceptable with preferred values being closest to the upper limit</w:t>
      </w:r>
      <w:r w:rsidR="005B0F29">
        <w:rPr>
          <w:rFonts w:eastAsia="Times New Roman"/>
          <w:lang w:eastAsia="en-GB"/>
        </w:rPr>
        <w:t xml:space="preserve"> </w:t>
      </w:r>
      <w:r w:rsidRPr="00B12F5B">
        <w:rPr>
          <w:rFonts w:eastAsia="Times New Roman"/>
          <w:lang w:eastAsia="en-GB"/>
        </w:rPr>
        <w:t>(Kline, 1986). On this basis, precedents have shown acceptable levels of internal reliability for the ABC Scale, determined by Cronbach's ɑ &gt; 0.7,</w:t>
      </w:r>
      <w:r w:rsidR="00940B33">
        <w:rPr>
          <w:rFonts w:eastAsia="Times New Roman"/>
          <w:lang w:eastAsia="en-GB"/>
        </w:rPr>
        <w:t xml:space="preserve"> </w:t>
      </w:r>
      <w:r w:rsidRPr="00B12F5B">
        <w:rPr>
          <w:rFonts w:eastAsia="Times New Roman"/>
          <w:lang w:eastAsia="en-GB"/>
        </w:rPr>
        <w:t>(Putwain &amp; Sanders, 2016; Shaukat &amp; Bashir, 2015; Nicholson et.al., 2013; Aguila Ochoa &amp; Sander, 2012; Sander &amp; Sanders, 2009; Sanders &amp; Sander, 2007). Clearly, as the Dx Profiler has been developed for this current study, no prior measures of the scale's internal reliability or validity are available.</w:t>
      </w:r>
    </w:p>
    <w:p w14:paraId="396A4AC0" w14:textId="30FB3A33" w:rsidR="00B12F5B" w:rsidRPr="00B12F5B" w:rsidRDefault="00B12F5B" w:rsidP="00B12F5B">
      <w:pPr>
        <w:rPr>
          <w:rFonts w:eastAsia="Times New Roman"/>
          <w:lang w:eastAsia="en-GB"/>
        </w:rPr>
      </w:pPr>
      <w:r w:rsidRPr="00B12F5B">
        <w:rPr>
          <w:rFonts w:eastAsia="Times New Roman"/>
          <w:lang w:eastAsia="en-GB"/>
        </w:rPr>
        <w:t xml:space="preserve">However, several </w:t>
      </w:r>
      <w:r w:rsidR="005B0F29">
        <w:rPr>
          <w:rFonts w:eastAsia="Times New Roman"/>
          <w:lang w:eastAsia="en-GB"/>
        </w:rPr>
        <w:t xml:space="preserve">features of the </w:t>
      </w:r>
      <w:r w:rsidR="005B0F29" w:rsidRPr="00B12F5B">
        <w:rPr>
          <w:rFonts w:eastAsia="Times New Roman"/>
          <w:lang w:eastAsia="en-GB"/>
        </w:rPr>
        <w:t xml:space="preserve">ɑ coefficient </w:t>
      </w:r>
      <w:r w:rsidR="005B0F29">
        <w:rPr>
          <w:rFonts w:eastAsia="Times New Roman"/>
          <w:lang w:eastAsia="en-GB"/>
        </w:rPr>
        <w:t xml:space="preserve">assessment imply that outputs derived from using it to gauge </w:t>
      </w:r>
      <w:r w:rsidRPr="00B12F5B">
        <w:rPr>
          <w:rFonts w:eastAsia="Times New Roman"/>
          <w:lang w:eastAsia="en-GB"/>
        </w:rPr>
        <w:t>a scale's</w:t>
      </w:r>
      <w:r w:rsidR="00940B33">
        <w:rPr>
          <w:rFonts w:eastAsia="Times New Roman"/>
          <w:lang w:eastAsia="en-GB"/>
        </w:rPr>
        <w:t xml:space="preserve"> </w:t>
      </w:r>
      <w:r w:rsidRPr="00B12F5B">
        <w:rPr>
          <w:rFonts w:eastAsia="Times New Roman"/>
          <w:lang w:eastAsia="en-GB"/>
        </w:rPr>
        <w:t xml:space="preserve">internal reliability should be considered tentatively. In the first instance, excessively high levels of ɑ (i.e. &gt; 0.9) </w:t>
      </w:r>
      <w:r w:rsidR="005B0F29">
        <w:rPr>
          <w:rFonts w:eastAsia="Times New Roman"/>
          <w:lang w:eastAsia="en-GB"/>
        </w:rPr>
        <w:t xml:space="preserve">may </w:t>
      </w:r>
      <w:r w:rsidRPr="00B12F5B">
        <w:rPr>
          <w:rFonts w:eastAsia="Times New Roman"/>
          <w:lang w:eastAsia="en-GB"/>
        </w:rPr>
        <w:t>indicate scale-item redundancy, that is,</w:t>
      </w:r>
      <w:r w:rsidR="00940B33">
        <w:rPr>
          <w:rFonts w:eastAsia="Times New Roman"/>
          <w:lang w:eastAsia="en-GB"/>
        </w:rPr>
        <w:t xml:space="preserve"> </w:t>
      </w:r>
      <w:r w:rsidRPr="00B12F5B">
        <w:rPr>
          <w:rFonts w:eastAsia="Times New Roman"/>
          <w:lang w:eastAsia="en-GB"/>
        </w:rPr>
        <w:t xml:space="preserve">where some items (dimensions) are </w:t>
      </w:r>
      <w:r w:rsidR="005B0F29">
        <w:rPr>
          <w:rFonts w:eastAsia="Times New Roman"/>
          <w:lang w:eastAsia="en-GB"/>
        </w:rPr>
        <w:t>measuring</w:t>
      </w:r>
      <w:r w:rsidR="00940B33">
        <w:rPr>
          <w:rFonts w:eastAsia="Times New Roman"/>
          <w:lang w:eastAsia="en-GB"/>
        </w:rPr>
        <w:t xml:space="preserve"> </w:t>
      </w:r>
      <w:r w:rsidRPr="00B12F5B">
        <w:rPr>
          <w:rFonts w:eastAsia="Times New Roman"/>
          <w:lang w:eastAsia="en-GB"/>
        </w:rPr>
        <w:t>very similar traits (Streiner, 2003; Panayides, 2013)</w:t>
      </w:r>
      <w:r w:rsidR="005B0F29">
        <w:rPr>
          <w:rFonts w:eastAsia="Times New Roman"/>
          <w:lang w:eastAsia="en-GB"/>
        </w:rPr>
        <w:t>. T</w:t>
      </w:r>
      <w:r w:rsidRPr="00B12F5B">
        <w:rPr>
          <w:rFonts w:eastAsia="Times New Roman"/>
          <w:lang w:eastAsia="en-GB"/>
        </w:rPr>
        <w:t>here is a lack of agreement</w:t>
      </w:r>
      <w:r w:rsidR="005B0F29">
        <w:rPr>
          <w:rFonts w:eastAsia="Times New Roman"/>
          <w:lang w:eastAsia="en-GB"/>
        </w:rPr>
        <w:t>, however,</w:t>
      </w:r>
      <w:r w:rsidRPr="00B12F5B">
        <w:rPr>
          <w:rFonts w:eastAsia="Times New Roman"/>
          <w:lang w:eastAsia="en-GB"/>
        </w:rPr>
        <w:t xml:space="preserve"> about which level of ɑ should be chosen as the critical value for this interpretation</w:t>
      </w:r>
      <w:r w:rsidR="005B0F29">
        <w:rPr>
          <w:rFonts w:eastAsia="Times New Roman"/>
          <w:lang w:eastAsia="en-GB"/>
        </w:rPr>
        <w:t>,</w:t>
      </w:r>
      <w:r w:rsidRPr="00B12F5B">
        <w:rPr>
          <w:rFonts w:eastAsia="Times New Roman"/>
          <w:lang w:eastAsia="en-GB"/>
        </w:rPr>
        <w:t xml:space="preserve"> with ɑ &gt; 0.7 frequently considered as the popular</w:t>
      </w:r>
      <w:r w:rsidR="005B0F29">
        <w:rPr>
          <w:rFonts w:eastAsia="Times New Roman"/>
          <w:lang w:eastAsia="en-GB"/>
        </w:rPr>
        <w:t xml:space="preserve"> </w:t>
      </w:r>
      <w:r w:rsidRPr="00B12F5B">
        <w:rPr>
          <w:rFonts w:eastAsia="Times New Roman"/>
          <w:lang w:eastAsia="en-GB"/>
        </w:rPr>
        <w:t xml:space="preserve">'rule of thumb' (e.g.: Morera &amp; Stokes, 2016). This is despite (computational) evidence that a scale with more items, supposedly gauging the same underlying dimension, will naturally increase the value of ɑ (Cortina, 1993; Nunnally &amp; Bernstein, 1994; Tavakol &amp; Dennick, 2011). Secondly, it is important to note that Cronbach's ɑ tests the consistency of responses within a datapool as opposed to </w:t>
      </w:r>
      <w:r w:rsidRPr="00B12F5B">
        <w:rPr>
          <w:rFonts w:eastAsia="Times New Roman"/>
          <w:lang w:eastAsia="en-GB"/>
        </w:rPr>
        <w:lastRenderedPageBreak/>
        <w:t>the reliability of the scale per se, and therefore is attributable to a specific use of the scale (Streiner, 2003; Boyle, 2015; Louangrath, 2018). Thirdly, and especially when used in conjunction with dimension reduction techniques, it is reasonable to su</w:t>
      </w:r>
      <w:r w:rsidR="005B0F29">
        <w:rPr>
          <w:rFonts w:eastAsia="Times New Roman"/>
          <w:lang w:eastAsia="en-GB"/>
        </w:rPr>
        <w:t>ppose</w:t>
      </w:r>
      <w:r w:rsidRPr="00B12F5B">
        <w:rPr>
          <w:rFonts w:eastAsia="Times New Roman"/>
          <w:lang w:eastAsia="en-GB"/>
        </w:rPr>
        <w:t xml:space="preserve"> that the factors which emerge from such a reduction</w:t>
      </w:r>
      <w:r w:rsidR="00960559">
        <w:rPr>
          <w:rFonts w:eastAsia="Times New Roman"/>
          <w:lang w:eastAsia="en-GB"/>
        </w:rPr>
        <w:t xml:space="preserve"> (</w:t>
      </w:r>
      <w:r w:rsidRPr="00B12F5B">
        <w:rPr>
          <w:rFonts w:eastAsia="Times New Roman"/>
          <w:lang w:eastAsia="en-GB"/>
        </w:rPr>
        <w:t>the sub-scales</w:t>
      </w:r>
      <w:r w:rsidR="00960559">
        <w:rPr>
          <w:rFonts w:eastAsia="Times New Roman"/>
          <w:lang w:eastAsia="en-GB"/>
        </w:rPr>
        <w:t>)</w:t>
      </w:r>
      <w:r w:rsidRPr="00B12F5B">
        <w:rPr>
          <w:rFonts w:eastAsia="Times New Roman"/>
          <w:lang w:eastAsia="en-GB"/>
        </w:rPr>
        <w:t xml:space="preserve"> should also be eva</w:t>
      </w:r>
      <w:r>
        <w:rPr>
          <w:rFonts w:eastAsia="Times New Roman"/>
          <w:lang w:eastAsia="en-GB"/>
        </w:rPr>
        <w:t>l</w:t>
      </w:r>
      <w:r w:rsidRPr="00B12F5B">
        <w:rPr>
          <w:rFonts w:eastAsia="Times New Roman"/>
          <w:lang w:eastAsia="en-GB"/>
        </w:rPr>
        <w:t>uated for their reliability, and these outcomes cited together with the ɑ value for the complete scale.</w:t>
      </w:r>
    </w:p>
    <w:p w14:paraId="262BFB74" w14:textId="0A1AD2B0" w:rsidR="00B12F5B" w:rsidRDefault="00960559" w:rsidP="00B12F5B">
      <w:pPr>
        <w:rPr>
          <w:rFonts w:eastAsia="Times New Roman"/>
          <w:lang w:eastAsia="en-GB"/>
        </w:rPr>
      </w:pPr>
      <w:r>
        <w:rPr>
          <w:rFonts w:eastAsia="Times New Roman"/>
          <w:lang w:eastAsia="en-GB"/>
        </w:rPr>
        <w:t>F</w:t>
      </w:r>
      <w:r w:rsidR="00B12F5B" w:rsidRPr="00B12F5B">
        <w:rPr>
          <w:rFonts w:eastAsia="Times New Roman"/>
          <w:lang w:eastAsia="en-GB"/>
        </w:rPr>
        <w:t>rameworks have been suggested for improved reporting and interpretation</w:t>
      </w:r>
      <w:r w:rsidR="005B0F29">
        <w:rPr>
          <w:rFonts w:eastAsia="Times New Roman"/>
          <w:lang w:eastAsia="en-GB"/>
        </w:rPr>
        <w:t xml:space="preserve"> </w:t>
      </w:r>
      <w:r w:rsidR="00B12F5B" w:rsidRPr="00B12F5B">
        <w:rPr>
          <w:rFonts w:eastAsia="Times New Roman"/>
          <w:lang w:eastAsia="en-GB"/>
        </w:rPr>
        <w:t>of internal consistency estimates t</w:t>
      </w:r>
      <w:r w:rsidR="005B0F29">
        <w:rPr>
          <w:rFonts w:eastAsia="Times New Roman"/>
          <w:lang w:eastAsia="en-GB"/>
        </w:rPr>
        <w:t>hat may</w:t>
      </w:r>
      <w:r w:rsidR="00B12F5B" w:rsidRPr="00B12F5B">
        <w:rPr>
          <w:rFonts w:eastAsia="Times New Roman"/>
          <w:lang w:eastAsia="en-GB"/>
        </w:rPr>
        <w:t xml:space="preserve"> present a more comprehensive picture of the reliability of data collection procedures, particularly data elicited through self-report questionnaires. In particular, and consistent with the approach adopted in this current study for reporting effect size differences (see </w:t>
      </w:r>
      <w:r w:rsidR="00AE48D0">
        <w:rPr>
          <w:rFonts w:eastAsia="Times New Roman"/>
          <w:lang w:eastAsia="en-GB"/>
        </w:rPr>
        <w:t>sub-section 4.1/II.2</w:t>
      </w:r>
      <w:r w:rsidR="00B12F5B" w:rsidRPr="00B12F5B">
        <w:rPr>
          <w:rFonts w:eastAsia="Times New Roman"/>
          <w:lang w:eastAsia="en-GB"/>
        </w:rPr>
        <w:t>, below),</w:t>
      </w:r>
      <w:r w:rsidR="007015CD">
        <w:rPr>
          <w:rFonts w:eastAsia="Times New Roman"/>
          <w:lang w:eastAsia="en-GB"/>
        </w:rPr>
        <w:t xml:space="preserve"> </w:t>
      </w:r>
      <w:r w:rsidR="00B12F5B" w:rsidRPr="00B12F5B">
        <w:rPr>
          <w:rFonts w:eastAsia="Times New Roman"/>
          <w:lang w:eastAsia="en-GB"/>
        </w:rPr>
        <w:t xml:space="preserve">reporting an estimate for a confidence interval for ɑ in addition to the single-point value, noting particularly the upper-tail limit is considered to be one improvement (Onwuegbuzie and Daniel, 2002). The idea of providing a confidence interval for Cronbach's α is attractive because the value of the coefficient is only a point estimate of the likely internal consistency of the scale (and hence the construct of interest). Interval estimates are stronger, not least as the point estimate value, α, is claimed by Cronbach in his original (1951) paper to be most likely a lower-bound estimate of score consistency. This implies that the traditionally calculated and reported single value of α is likely to be an under-estimate of the true internal consistency of the scale were it possible to apply </w:t>
      </w:r>
      <w:r w:rsidR="00B12F5B">
        <w:rPr>
          <w:rFonts w:eastAsia="Times New Roman"/>
          <w:lang w:eastAsia="en-GB"/>
        </w:rPr>
        <w:t>the process</w:t>
      </w:r>
      <w:r w:rsidR="007015CD">
        <w:rPr>
          <w:rFonts w:eastAsia="Times New Roman"/>
          <w:lang w:eastAsia="en-GB"/>
        </w:rPr>
        <w:t xml:space="preserve"> </w:t>
      </w:r>
      <w:r w:rsidR="00B12F5B" w:rsidRPr="00B12F5B">
        <w:rPr>
          <w:rFonts w:eastAsia="Times New Roman"/>
          <w:lang w:eastAsia="en-GB"/>
        </w:rPr>
        <w:t>to the background population. Hence the upper-limit confidence interval can</w:t>
      </w:r>
      <w:r w:rsidR="007015CD">
        <w:rPr>
          <w:rFonts w:eastAsia="Times New Roman"/>
          <w:lang w:eastAsia="en-GB"/>
        </w:rPr>
        <w:t xml:space="preserve"> </w:t>
      </w:r>
      <w:r w:rsidR="00B12F5B" w:rsidRPr="00B12F5B">
        <w:rPr>
          <w:rFonts w:eastAsia="Times New Roman"/>
          <w:lang w:eastAsia="en-GB"/>
        </w:rPr>
        <w:t>be reported in addition to the point-value of Cronbach's α because this is likely to be a more generalizable</w:t>
      </w:r>
      <w:r w:rsidR="007015CD">
        <w:rPr>
          <w:rFonts w:eastAsia="Times New Roman"/>
          <w:lang w:eastAsia="en-GB"/>
        </w:rPr>
        <w:t xml:space="preserve"> </w:t>
      </w:r>
      <w:r w:rsidR="00B12F5B" w:rsidRPr="00B12F5B">
        <w:rPr>
          <w:rFonts w:eastAsia="Times New Roman"/>
          <w:lang w:eastAsia="en-GB"/>
        </w:rPr>
        <w:t>report about the internal consistency of the scale.</w:t>
      </w:r>
    </w:p>
    <w:p w14:paraId="1ADB8D5B" w14:textId="587BB5E3" w:rsidR="00732FEC" w:rsidRDefault="00B12F5B" w:rsidP="00B12F5B">
      <w:pPr>
        <w:rPr>
          <w:rFonts w:eastAsia="Times New Roman"/>
          <w:lang w:eastAsia="en-GB"/>
        </w:rPr>
      </w:pPr>
      <w:r w:rsidRPr="00B12F5B">
        <w:rPr>
          <w:rFonts w:eastAsia="Times New Roman"/>
          <w:lang w:eastAsia="en-GB"/>
        </w:rPr>
        <w:t>This principle is adopted in this current study, with confidence intervals calculated using Fisher's (1915) transformation which maps the Pearson Product-Moment Correlation Coefficient,</w:t>
      </w:r>
      <w:r w:rsidR="007015CD">
        <w:rPr>
          <w:rFonts w:eastAsia="Times New Roman"/>
          <w:lang w:eastAsia="en-GB"/>
        </w:rPr>
        <w:t xml:space="preserve"> </w:t>
      </w:r>
      <w:r w:rsidRPr="00B12F5B">
        <w:rPr>
          <w:rFonts w:eastAsia="Times New Roman"/>
          <w:lang w:eastAsia="en-GB"/>
        </w:rPr>
        <w:t>r, (upon which Cronbach's α) is derived) on</w:t>
      </w:r>
      <w:r w:rsidR="007015CD">
        <w:rPr>
          <w:rFonts w:eastAsia="Times New Roman"/>
          <w:lang w:eastAsia="en-GB"/>
        </w:rPr>
        <w:t xml:space="preserve"> </w:t>
      </w:r>
      <w:r w:rsidRPr="00B12F5B">
        <w:rPr>
          <w:rFonts w:eastAsia="Times New Roman"/>
          <w:lang w:eastAsia="en-GB"/>
        </w:rPr>
        <w:t xml:space="preserve">to a value, Z', which </w:t>
      </w:r>
      <w:r w:rsidR="007015CD">
        <w:rPr>
          <w:rFonts w:eastAsia="Times New Roman"/>
          <w:lang w:eastAsia="en-GB"/>
        </w:rPr>
        <w:t xml:space="preserve">was </w:t>
      </w:r>
      <w:r w:rsidRPr="00B12F5B">
        <w:rPr>
          <w:rFonts w:eastAsia="Times New Roman"/>
          <w:lang w:eastAsia="en-GB"/>
        </w:rPr>
        <w:t>show</w:t>
      </w:r>
      <w:r w:rsidR="007015CD">
        <w:rPr>
          <w:rFonts w:eastAsia="Times New Roman"/>
          <w:lang w:eastAsia="en-GB"/>
        </w:rPr>
        <w:t>n</w:t>
      </w:r>
      <w:r w:rsidRPr="00B12F5B">
        <w:rPr>
          <w:rFonts w:eastAsia="Times New Roman"/>
          <w:lang w:eastAsia="en-GB"/>
        </w:rPr>
        <w:t xml:space="preserve"> to be approximately normally distributed and hence, confidence interval estimates could be constructed. Therefore</w:t>
      </w:r>
      <w:r w:rsidR="007712B6">
        <w:rPr>
          <w:rFonts w:eastAsia="Times New Roman"/>
          <w:lang w:eastAsia="en-GB"/>
        </w:rPr>
        <w:t>,</w:t>
      </w:r>
      <w:r w:rsidRPr="00B12F5B">
        <w:rPr>
          <w:rFonts w:eastAsia="Times New Roman"/>
          <w:lang w:eastAsia="en-GB"/>
        </w:rPr>
        <w:t xml:space="preserve"> it follows that Fisher's Z' can be used to transform Cronbach's</w:t>
      </w:r>
      <w:r w:rsidR="007015CD">
        <w:rPr>
          <w:rFonts w:eastAsia="Times New Roman"/>
          <w:lang w:eastAsia="en-GB"/>
        </w:rPr>
        <w:t xml:space="preserve"> </w:t>
      </w:r>
      <w:r w:rsidR="007015CD" w:rsidRPr="00B12F5B">
        <w:rPr>
          <w:rFonts w:eastAsia="Times New Roman"/>
          <w:lang w:eastAsia="en-GB"/>
        </w:rPr>
        <w:t xml:space="preserve">α </w:t>
      </w:r>
      <w:r w:rsidRPr="00B12F5B">
        <w:rPr>
          <w:rFonts w:eastAsia="Times New Roman"/>
          <w:lang w:eastAsia="en-GB"/>
        </w:rPr>
        <w:t xml:space="preserve">and subsequently create confidence interval estimates for </w:t>
      </w:r>
      <w:r w:rsidR="007015CD" w:rsidRPr="00B12F5B">
        <w:rPr>
          <w:rFonts w:eastAsia="Times New Roman"/>
          <w:lang w:eastAsia="en-GB"/>
        </w:rPr>
        <w:t>α</w:t>
      </w:r>
      <w:r w:rsidRPr="00B12F5B">
        <w:rPr>
          <w:rFonts w:eastAsia="Times New Roman"/>
          <w:lang w:eastAsia="en-GB"/>
        </w:rPr>
        <w:t>.</w:t>
      </w:r>
      <w:r w:rsidR="007015CD">
        <w:rPr>
          <w:rFonts w:eastAsia="Times New Roman"/>
          <w:lang w:eastAsia="en-GB"/>
        </w:rPr>
        <w:t xml:space="preserve"> </w:t>
      </w:r>
      <w:r w:rsidRPr="00B12F5B">
        <w:rPr>
          <w:rFonts w:eastAsia="Times New Roman"/>
          <w:lang w:eastAsia="en-GB"/>
        </w:rPr>
        <w:t>This process enabled a more complete reporting of the internal consistency of the ABC Scale, the Dx Profiler, and their respective sub-scales (identified through dimension reduction) for the datapool, and for each of the research groups, ND, DI (</w:t>
      </w:r>
      <w:r>
        <w:rPr>
          <w:rFonts w:eastAsia="Times New Roman"/>
          <w:lang w:eastAsia="en-GB"/>
        </w:rPr>
        <w:t>sub-section 4.</w:t>
      </w:r>
      <w:r w:rsidR="00061580">
        <w:rPr>
          <w:rFonts w:eastAsia="Times New Roman"/>
          <w:lang w:eastAsia="en-GB"/>
        </w:rPr>
        <w:t>3</w:t>
      </w:r>
      <w:r w:rsidR="007712B6">
        <w:rPr>
          <w:rFonts w:eastAsia="Times New Roman"/>
          <w:lang w:eastAsia="en-GB"/>
        </w:rPr>
        <w:t>/</w:t>
      </w:r>
      <w:r w:rsidR="00061580">
        <w:rPr>
          <w:rFonts w:eastAsia="Times New Roman"/>
          <w:lang w:eastAsia="en-GB"/>
        </w:rPr>
        <w:t>III</w:t>
      </w:r>
      <w:r w:rsidR="00AE48D0">
        <w:rPr>
          <w:rFonts w:eastAsia="Times New Roman"/>
          <w:lang w:eastAsia="en-GB"/>
        </w:rPr>
        <w:t>.1</w:t>
      </w:r>
      <w:r w:rsidR="007712B6">
        <w:rPr>
          <w:rFonts w:eastAsia="Times New Roman"/>
          <w:lang w:eastAsia="en-GB"/>
        </w:rPr>
        <w:t xml:space="preserve">; </w:t>
      </w:r>
      <w:r w:rsidR="00A70722">
        <w:rPr>
          <w:rFonts w:eastAsia="Times New Roman"/>
          <w:lang w:eastAsia="en-GB"/>
        </w:rPr>
        <w:t>/</w:t>
      </w:r>
      <w:r w:rsidR="00061580">
        <w:rPr>
          <w:rFonts w:eastAsia="Times New Roman"/>
          <w:lang w:eastAsia="en-GB"/>
        </w:rPr>
        <w:t>IV</w:t>
      </w:r>
      <w:r w:rsidR="00AE48D0">
        <w:rPr>
          <w:rFonts w:eastAsia="Times New Roman"/>
          <w:lang w:eastAsia="en-GB"/>
        </w:rPr>
        <w:t>.1</w:t>
      </w:r>
      <w:r w:rsidRPr="00B12F5B">
        <w:rPr>
          <w:rFonts w:eastAsia="Times New Roman"/>
          <w:lang w:eastAsia="en-GB"/>
        </w:rPr>
        <w:t>).</w:t>
      </w:r>
    </w:p>
    <w:p w14:paraId="6CCAA2FB" w14:textId="796E193E" w:rsidR="004D1360" w:rsidRDefault="00B12F5B" w:rsidP="004D1360">
      <w:pPr>
        <w:pStyle w:val="Heading4"/>
        <w:rPr>
          <w:rFonts w:eastAsia="Times New Roman"/>
          <w:lang w:eastAsia="en-GB"/>
        </w:rPr>
      </w:pPr>
      <w:r>
        <w:rPr>
          <w:rFonts w:eastAsia="Times New Roman"/>
          <w:lang w:eastAsia="en-GB"/>
        </w:rPr>
        <w:t>2</w:t>
      </w:r>
      <w:r w:rsidR="004D1360">
        <w:rPr>
          <w:rFonts w:eastAsia="Times New Roman"/>
          <w:lang w:eastAsia="en-GB"/>
        </w:rPr>
        <w:t>. Effect sizes</w:t>
      </w:r>
    </w:p>
    <w:p w14:paraId="24D8AFFD" w14:textId="2CE1D361" w:rsidR="008719EC" w:rsidRPr="008719EC" w:rsidRDefault="008719EC" w:rsidP="008719EC">
      <w:pPr>
        <w:rPr>
          <w:rFonts w:eastAsia="Times New Roman"/>
          <w:lang w:eastAsia="en-GB"/>
        </w:rPr>
      </w:pPr>
      <w:r w:rsidRPr="008719EC">
        <w:rPr>
          <w:rFonts w:eastAsia="Times New Roman"/>
          <w:lang w:eastAsia="en-GB"/>
        </w:rPr>
        <w:t>Effect size measures were used as the principal</w:t>
      </w:r>
      <w:r w:rsidR="007015CD">
        <w:rPr>
          <w:rFonts w:eastAsia="Times New Roman"/>
          <w:lang w:eastAsia="en-GB"/>
        </w:rPr>
        <w:t xml:space="preserve"> </w:t>
      </w:r>
      <w:r w:rsidRPr="008719EC">
        <w:rPr>
          <w:rFonts w:eastAsia="Times New Roman"/>
          <w:lang w:eastAsia="en-GB"/>
        </w:rPr>
        <w:t>statistical evidence in this study. Effect size challenges the traditional convention that the</w:t>
      </w:r>
      <w:r w:rsidR="007015CD">
        <w:rPr>
          <w:rFonts w:eastAsia="Times New Roman"/>
          <w:lang w:eastAsia="en-GB"/>
        </w:rPr>
        <w:t xml:space="preserve"> </w:t>
      </w:r>
      <w:r w:rsidRPr="008719EC">
        <w:rPr>
          <w:rFonts w:eastAsia="Times New Roman"/>
          <w:i/>
          <w:iCs/>
          <w:lang w:eastAsia="en-GB"/>
        </w:rPr>
        <w:t>p</w:t>
      </w:r>
      <w:r w:rsidRPr="008719EC">
        <w:rPr>
          <w:rFonts w:eastAsia="Times New Roman"/>
          <w:lang w:eastAsia="en-GB"/>
        </w:rPr>
        <w:t>-value</w:t>
      </w:r>
      <w:r w:rsidR="00960559">
        <w:rPr>
          <w:rFonts w:eastAsia="Times New Roman"/>
          <w:lang w:eastAsia="en-GB"/>
        </w:rPr>
        <w:t xml:space="preserve"> </w:t>
      </w:r>
      <w:r w:rsidRPr="008719EC">
        <w:rPr>
          <w:rFonts w:eastAsia="Times New Roman"/>
          <w:lang w:eastAsia="en-GB"/>
        </w:rPr>
        <w:t xml:space="preserve">is the most important data analysis outcome response to determine whether an observed effect is real or </w:t>
      </w:r>
      <w:r w:rsidR="007015CD">
        <w:rPr>
          <w:rFonts w:eastAsia="Times New Roman"/>
          <w:lang w:eastAsia="en-GB"/>
        </w:rPr>
        <w:t>should</w:t>
      </w:r>
      <w:r w:rsidRPr="008719EC">
        <w:rPr>
          <w:rFonts w:eastAsia="Times New Roman"/>
          <w:lang w:eastAsia="en-GB"/>
        </w:rPr>
        <w:t xml:space="preserve"> be </w:t>
      </w:r>
      <w:r w:rsidRPr="008719EC">
        <w:rPr>
          <w:rFonts w:eastAsia="Times New Roman"/>
          <w:lang w:eastAsia="en-GB"/>
        </w:rPr>
        <w:lastRenderedPageBreak/>
        <w:t xml:space="preserve">attributed to chance events (Maher et al., 2013). Effect size values are a measure of either the magnitude of associations or the magnitude of differences, depending on the nature of the data sets being analysed. </w:t>
      </w:r>
      <w:r w:rsidR="007D2DC3">
        <w:rPr>
          <w:rFonts w:eastAsia="Times New Roman"/>
          <w:lang w:eastAsia="en-GB"/>
        </w:rPr>
        <w:t xml:space="preserve">Effect size is </w:t>
      </w:r>
      <w:r w:rsidRPr="008719EC">
        <w:rPr>
          <w:rFonts w:eastAsia="Times New Roman"/>
          <w:lang w:eastAsia="en-GB"/>
        </w:rPr>
        <w:t>an absolute value measure</w:t>
      </w:r>
      <w:r w:rsidR="007015CD">
        <w:rPr>
          <w:rFonts w:eastAsia="Times New Roman"/>
          <w:lang w:eastAsia="en-GB"/>
        </w:rPr>
        <w:t xml:space="preserve"> (</w:t>
      </w:r>
      <w:r w:rsidRPr="008719EC">
        <w:rPr>
          <w:rFonts w:eastAsia="Times New Roman"/>
          <w:lang w:eastAsia="en-GB"/>
        </w:rPr>
        <w:t>as opposed to the significance</w:t>
      </w:r>
      <w:r w:rsidR="007015CD">
        <w:rPr>
          <w:rFonts w:eastAsia="Times New Roman"/>
          <w:lang w:eastAsia="en-GB"/>
        </w:rPr>
        <w:t xml:space="preserve">) </w:t>
      </w:r>
      <w:r w:rsidRPr="008719EC">
        <w:rPr>
          <w:rFonts w:eastAsia="Times New Roman"/>
          <w:lang w:eastAsia="en-GB"/>
        </w:rPr>
        <w:t>of an observed effect (Cumming 2012), and provide</w:t>
      </w:r>
      <w:r w:rsidR="007D2DC3">
        <w:rPr>
          <w:rFonts w:eastAsia="Times New Roman"/>
          <w:lang w:eastAsia="en-GB"/>
        </w:rPr>
        <w:t>s</w:t>
      </w:r>
      <w:r w:rsidRPr="008719EC">
        <w:rPr>
          <w:rFonts w:eastAsia="Times New Roman"/>
          <w:lang w:eastAsia="en-GB"/>
        </w:rPr>
        <w:t xml:space="preserve"> a generally interpretable, quantitative statement about the magnitude of a difference in </w:t>
      </w:r>
      <w:r w:rsidR="007D2DC3">
        <w:rPr>
          <w:rFonts w:eastAsia="Times New Roman"/>
          <w:lang w:eastAsia="en-GB"/>
        </w:rPr>
        <w:t xml:space="preserve">[or association between] </w:t>
      </w:r>
      <w:r w:rsidRPr="008719EC">
        <w:rPr>
          <w:rFonts w:eastAsia="Times New Roman"/>
          <w:lang w:eastAsia="en-GB"/>
        </w:rPr>
        <w:t>observations (Fritz, et.al., 2012). When clearly defined in a study's methodology, and</w:t>
      </w:r>
      <w:r w:rsidR="007015CD">
        <w:rPr>
          <w:rFonts w:eastAsia="Times New Roman"/>
          <w:lang w:eastAsia="en-GB"/>
        </w:rPr>
        <w:t xml:space="preserve"> </w:t>
      </w:r>
      <w:r w:rsidRPr="008719EC">
        <w:rPr>
          <w:rFonts w:eastAsia="Times New Roman"/>
          <w:lang w:eastAsia="en-GB"/>
        </w:rPr>
        <w:t>reported together with their respective confidence intervals, effect sizes provide an improved way</w:t>
      </w:r>
      <w:r w:rsidR="007015CD">
        <w:rPr>
          <w:rFonts w:eastAsia="Times New Roman"/>
          <w:lang w:eastAsia="en-GB"/>
        </w:rPr>
        <w:t xml:space="preserve"> </w:t>
      </w:r>
      <w:r w:rsidRPr="008719EC">
        <w:rPr>
          <w:rFonts w:eastAsia="Times New Roman"/>
          <w:lang w:eastAsia="en-GB"/>
        </w:rPr>
        <w:t>to interpret data (Ferguson, 2016). Effect size is easy to calculate</w:t>
      </w:r>
      <w:r w:rsidR="007D2DC3">
        <w:rPr>
          <w:rFonts w:eastAsia="Times New Roman"/>
          <w:lang w:eastAsia="en-GB"/>
        </w:rPr>
        <w:t>, and when used to gauge</w:t>
      </w:r>
      <w:r w:rsidRPr="008719EC">
        <w:rPr>
          <w:rFonts w:eastAsia="Times New Roman"/>
          <w:lang w:eastAsia="en-GB"/>
        </w:rPr>
        <w:t xml:space="preserve"> the between-groups difference between means, effect size is generally reported as Cohen's </w:t>
      </w:r>
      <w:r w:rsidRPr="008719EC">
        <w:rPr>
          <w:rFonts w:eastAsia="Times New Roman"/>
          <w:i/>
          <w:iCs/>
          <w:lang w:eastAsia="en-GB"/>
        </w:rPr>
        <w:t>d</w:t>
      </w:r>
      <w:r w:rsidR="007D2DC3">
        <w:rPr>
          <w:rFonts w:eastAsia="Times New Roman"/>
          <w:i/>
          <w:iCs/>
          <w:lang w:eastAsia="en-GB"/>
        </w:rPr>
        <w:t xml:space="preserve"> </w:t>
      </w:r>
      <w:r w:rsidR="007D2DC3">
        <w:rPr>
          <w:rFonts w:eastAsia="Times New Roman"/>
          <w:lang w:eastAsia="en-GB"/>
        </w:rPr>
        <w:t>(Cohen, 1988).</w:t>
      </w:r>
      <w:r w:rsidRPr="008719EC">
        <w:rPr>
          <w:rFonts w:eastAsia="Times New Roman"/>
          <w:i/>
          <w:iCs/>
          <w:lang w:eastAsia="en-GB"/>
        </w:rPr>
        <w:t> </w:t>
      </w:r>
      <w:r w:rsidR="007D2DC3">
        <w:rPr>
          <w:rFonts w:eastAsia="Times New Roman"/>
          <w:lang w:eastAsia="en-GB"/>
        </w:rPr>
        <w:t>If</w:t>
      </w:r>
      <w:r w:rsidRPr="008719EC">
        <w:rPr>
          <w:rFonts w:eastAsia="Times New Roman"/>
          <w:lang w:eastAsia="en-GB"/>
        </w:rPr>
        <w:t xml:space="preserve"> the groups being compared have di</w:t>
      </w:r>
      <w:r w:rsidR="000D114A">
        <w:rPr>
          <w:rFonts w:eastAsia="Times New Roman"/>
          <w:lang w:eastAsia="en-GB"/>
        </w:rPr>
        <w:t>s</w:t>
      </w:r>
      <w:r w:rsidR="00EA6D4C">
        <w:rPr>
          <w:rFonts w:eastAsia="Times New Roman"/>
          <w:lang w:eastAsia="en-GB"/>
        </w:rPr>
        <w:t>s</w:t>
      </w:r>
      <w:r w:rsidRPr="008719EC">
        <w:rPr>
          <w:rFonts w:eastAsia="Times New Roman"/>
          <w:lang w:eastAsia="en-GB"/>
        </w:rPr>
        <w:t>imlar sample sizes (as in th</w:t>
      </w:r>
      <w:r w:rsidR="00960559">
        <w:rPr>
          <w:rFonts w:eastAsia="Times New Roman"/>
          <w:lang w:eastAsia="en-GB"/>
        </w:rPr>
        <w:t>e</w:t>
      </w:r>
      <w:r w:rsidRPr="008719EC">
        <w:rPr>
          <w:rFonts w:eastAsia="Times New Roman"/>
          <w:lang w:eastAsia="en-GB"/>
        </w:rPr>
        <w:t xml:space="preserve"> current study), the unbiased estimate of </w:t>
      </w:r>
      <w:r w:rsidRPr="008719EC">
        <w:rPr>
          <w:rFonts w:eastAsia="Times New Roman"/>
          <w:i/>
          <w:iCs/>
          <w:lang w:eastAsia="en-GB"/>
        </w:rPr>
        <w:t>d</w:t>
      </w:r>
      <w:r w:rsidRPr="008719EC">
        <w:rPr>
          <w:rFonts w:eastAsia="Times New Roman"/>
          <w:lang w:eastAsia="en-GB"/>
        </w:rPr>
        <w:t> is used</w:t>
      </w:r>
      <w:r w:rsidR="00960559">
        <w:rPr>
          <w:rFonts w:eastAsia="Times New Roman"/>
          <w:lang w:eastAsia="en-GB"/>
        </w:rPr>
        <w:t xml:space="preserve"> (i.e, </w:t>
      </w:r>
      <w:r w:rsidRPr="008719EC">
        <w:rPr>
          <w:rFonts w:eastAsia="Times New Roman"/>
          <w:lang w:eastAsia="en-GB"/>
        </w:rPr>
        <w:t xml:space="preserve">Hedges' </w:t>
      </w:r>
      <w:r w:rsidRPr="008719EC">
        <w:rPr>
          <w:rFonts w:eastAsia="Times New Roman"/>
          <w:i/>
          <w:iCs/>
          <w:lang w:eastAsia="en-GB"/>
        </w:rPr>
        <w:t>g, </w:t>
      </w:r>
      <w:r w:rsidR="007D2DC3">
        <w:rPr>
          <w:rFonts w:eastAsia="Times New Roman"/>
          <w:lang w:eastAsia="en-GB"/>
        </w:rPr>
        <w:t>(Hedges, 1981)</w:t>
      </w:r>
      <w:r w:rsidR="00960559">
        <w:rPr>
          <w:rFonts w:eastAsia="Times New Roman"/>
          <w:lang w:eastAsia="en-GB"/>
        </w:rPr>
        <w:t>)</w:t>
      </w:r>
      <w:r w:rsidR="007D2DC3">
        <w:rPr>
          <w:rFonts w:eastAsia="Times New Roman"/>
          <w:lang w:eastAsia="en-GB"/>
        </w:rPr>
        <w:t xml:space="preserve">, </w:t>
      </w:r>
      <w:r w:rsidRPr="008719EC">
        <w:rPr>
          <w:rFonts w:eastAsia="Times New Roman"/>
          <w:lang w:eastAsia="en-GB"/>
        </w:rPr>
        <w:t xml:space="preserve">calculated using the weighted, pooled standard deviations of the datasets. Effect size is increasingly prevalent in quantitative analysis (Gliner, et.al., 2001; Sullivan &amp; Feinn, 2012; Carson, 2012; Maher, et.al., 2013), and is particularly useful when observed measurements have no intrinsic meaning, such as with data </w:t>
      </w:r>
      <w:r w:rsidR="00564D13">
        <w:rPr>
          <w:rFonts w:eastAsia="Times New Roman"/>
          <w:lang w:eastAsia="en-GB"/>
        </w:rPr>
        <w:t xml:space="preserve">formulated </w:t>
      </w:r>
      <w:r w:rsidRPr="008719EC">
        <w:rPr>
          <w:rFonts w:eastAsia="Times New Roman"/>
          <w:lang w:eastAsia="en-GB"/>
        </w:rPr>
        <w:t>from Likert-style scales (Sullivan &amp; Feinn, 2012). The use of effect size as a method for reporting statistically important analysis outcomes is especially gaining traction in education, social science and psychology research (Kelley &amp; Preacher, 2012; Rollins, et al., 2019), not least in studies about dyslexia, where it is claimed to be a vital statistic for quantifying intervention outcomes designed to assist struggling readers (ibid).</w:t>
      </w:r>
    </w:p>
    <w:p w14:paraId="0D8D09FA" w14:textId="0FC1D5A1" w:rsidR="009D5419" w:rsidRPr="009D5419" w:rsidRDefault="002B1A3A" w:rsidP="004D1360">
      <w:pPr>
        <w:pStyle w:val="Heading4"/>
        <w:rPr>
          <w:rFonts w:eastAsia="Times New Roman"/>
          <w:lang w:eastAsia="en-GB"/>
        </w:rPr>
      </w:pPr>
      <w:r>
        <w:rPr>
          <w:rFonts w:eastAsia="Times New Roman"/>
          <w:lang w:eastAsia="en-GB"/>
        </w:rPr>
        <w:t>3</w:t>
      </w:r>
      <w:r w:rsidR="004D1360">
        <w:rPr>
          <w:rFonts w:eastAsia="Times New Roman"/>
          <w:lang w:eastAsia="en-GB"/>
        </w:rPr>
        <w:t>. Null-hypothesis significance testing</w:t>
      </w:r>
      <w:r w:rsidR="007D221D">
        <w:rPr>
          <w:rFonts w:eastAsia="Times New Roman"/>
          <w:lang w:eastAsia="en-GB"/>
        </w:rPr>
        <w:t xml:space="preserve"> (NHST)</w:t>
      </w:r>
      <w:r w:rsidR="004D1360">
        <w:rPr>
          <w:rFonts w:eastAsia="Times New Roman"/>
          <w:lang w:eastAsia="en-GB"/>
        </w:rPr>
        <w:t>; ANOVA</w:t>
      </w:r>
    </w:p>
    <w:p w14:paraId="5585C73D" w14:textId="56F1FD75" w:rsidR="00A70722" w:rsidRPr="00085E3D" w:rsidRDefault="002B1A3A" w:rsidP="004D1360">
      <w:pPr>
        <w:rPr>
          <w:lang w:eastAsia="en-GB"/>
        </w:rPr>
      </w:pPr>
      <w:r>
        <w:rPr>
          <w:lang w:eastAsia="en-GB"/>
        </w:rPr>
        <w:t>Notwithstanding (2) above,</w:t>
      </w:r>
      <w:r w:rsidR="004D1360" w:rsidRPr="004D1360">
        <w:rPr>
          <w:lang w:eastAsia="en-GB"/>
        </w:rPr>
        <w:t xml:space="preserve"> the effect size data analyses were supported by measures of the statistical significance of the difference between independent sample means</w:t>
      </w:r>
      <w:r w:rsidR="00C56B85">
        <w:rPr>
          <w:lang w:eastAsia="en-GB"/>
        </w:rPr>
        <w:t>,</w:t>
      </w:r>
      <w:r w:rsidR="004D1360" w:rsidRPr="004D1360">
        <w:rPr>
          <w:lang w:eastAsia="en-GB"/>
        </w:rPr>
        <w:t xml:space="preserve"> determined through Student's t-test outcomes, </w:t>
      </w:r>
      <w:r w:rsidR="00C56B85">
        <w:rPr>
          <w:lang w:eastAsia="en-GB"/>
        </w:rPr>
        <w:t>to acknowledge</w:t>
      </w:r>
      <w:r w:rsidR="00D9623C">
        <w:rPr>
          <w:lang w:eastAsia="en-GB"/>
        </w:rPr>
        <w:t xml:space="preserve"> </w:t>
      </w:r>
      <w:r w:rsidR="004D1360" w:rsidRPr="004D1360">
        <w:rPr>
          <w:lang w:eastAsia="en-GB"/>
        </w:rPr>
        <w:t>the continued value of null-hypothesis significance tests in social science research.</w:t>
      </w:r>
      <w:r w:rsidR="00D9623C">
        <w:rPr>
          <w:lang w:eastAsia="en-GB"/>
        </w:rPr>
        <w:t xml:space="preserve"> </w:t>
      </w:r>
      <w:r w:rsidR="004D1360" w:rsidRPr="004D1360">
        <w:rPr>
          <w:lang w:eastAsia="en-GB"/>
        </w:rPr>
        <w:t>Thus, when taken together with effect sizes and their confidence intervals, comprehensive and pragmatic interpretation of the experimental outcomes c</w:t>
      </w:r>
      <w:r w:rsidR="00D9623C">
        <w:rPr>
          <w:lang w:eastAsia="en-GB"/>
        </w:rPr>
        <w:t>ould</w:t>
      </w:r>
      <w:r w:rsidR="004D1360" w:rsidRPr="004D1360">
        <w:rPr>
          <w:lang w:eastAsia="en-GB"/>
        </w:rPr>
        <w:t xml:space="preserve"> be discussed. One-tail t-tests were conducted in accordance with the alternative hypotheses stated (sub-section 1.4). Homogeneity of variance was established using Levene's Test, and</w:t>
      </w:r>
      <w:r w:rsidR="00D9623C">
        <w:rPr>
          <w:lang w:eastAsia="en-GB"/>
        </w:rPr>
        <w:t xml:space="preserve"> </w:t>
      </w:r>
      <w:r w:rsidR="004D1360" w:rsidRPr="004D1360">
        <w:rPr>
          <w:lang w:eastAsia="en-GB"/>
        </w:rPr>
        <w:t xml:space="preserve">according to the output, the appropriate </w:t>
      </w:r>
      <w:r w:rsidR="004D1360" w:rsidRPr="00D9623C">
        <w:rPr>
          <w:i/>
          <w:iCs/>
          <w:lang w:eastAsia="en-GB"/>
        </w:rPr>
        <w:t>p</w:t>
      </w:r>
      <w:r w:rsidR="004D1360" w:rsidRPr="004D1360">
        <w:rPr>
          <w:lang w:eastAsia="en-GB"/>
        </w:rPr>
        <w:t>-value was taken, with the conventional 5% level being adopted as the significance boundary value. It is recognized that the application of ANOVA to this data may have been appropriate had dyslexia-ness been categorized into 'high', 'moderate', 'low', or other sub-gradations, that is, that the independent variable was categorical in nature (Moore &amp; McCabe, 1999; Lund &amp; Lund, 2016). However, the Student's t-test was regarded as a better choice because it is easier to interpret, commonly used, and appropriate when the independent variable (in this case, Dyslexia Index), is continuous in nature (ibid).</w:t>
      </w:r>
    </w:p>
    <w:p w14:paraId="0B47EEBC" w14:textId="406CC1B6" w:rsidR="00061580" w:rsidRPr="00061580" w:rsidRDefault="002B1A3A" w:rsidP="00061580">
      <w:pPr>
        <w:pStyle w:val="Heading4"/>
        <w:rPr>
          <w:rFonts w:eastAsia="Times New Roman"/>
          <w:color w:val="323232"/>
        </w:rPr>
      </w:pPr>
      <w:r>
        <w:rPr>
          <w:bdr w:val="none" w:sz="0" w:space="0" w:color="auto" w:frame="1"/>
        </w:rPr>
        <w:lastRenderedPageBreak/>
        <w:t>4</w:t>
      </w:r>
      <w:r w:rsidR="004D1360">
        <w:rPr>
          <w:bdr w:val="none" w:sz="0" w:space="0" w:color="auto" w:frame="1"/>
        </w:rPr>
        <w:t xml:space="preserve">. </w:t>
      </w:r>
      <w:r>
        <w:rPr>
          <w:bdr w:val="none" w:sz="0" w:space="0" w:color="auto" w:frame="1"/>
        </w:rPr>
        <w:t>Dimension reduction</w:t>
      </w:r>
    </w:p>
    <w:p w14:paraId="6EA842CF" w14:textId="15DE1AD4" w:rsidR="00061580" w:rsidRDefault="00C23C72" w:rsidP="004D1360">
      <w:pPr>
        <w:rPr>
          <w:rFonts w:eastAsia="Times New Roman"/>
          <w:lang w:eastAsia="en-GB"/>
        </w:rPr>
      </w:pPr>
      <w:r>
        <w:rPr>
          <w:rFonts w:eastAsia="Times New Roman"/>
          <w:lang w:eastAsia="en-GB"/>
        </w:rPr>
        <w:t>T</w:t>
      </w:r>
      <w:r w:rsidR="00061580" w:rsidRPr="00061580">
        <w:rPr>
          <w:rFonts w:eastAsia="Times New Roman"/>
          <w:lang w:eastAsia="en-GB"/>
        </w:rPr>
        <w:t xml:space="preserve">hese statistical processes </w:t>
      </w:r>
      <w:r w:rsidR="00D9623C">
        <w:rPr>
          <w:rFonts w:eastAsia="Times New Roman"/>
          <w:lang w:eastAsia="en-GB"/>
        </w:rPr>
        <w:t>outlined so far</w:t>
      </w:r>
      <w:r w:rsidR="00061580" w:rsidRPr="00061580">
        <w:rPr>
          <w:rFonts w:eastAsia="Times New Roman"/>
          <w:lang w:eastAsia="en-GB"/>
        </w:rPr>
        <w:t xml:space="preserve"> proved sufficient to</w:t>
      </w:r>
      <w:r w:rsidR="007D221D">
        <w:rPr>
          <w:rFonts w:eastAsia="Times New Roman"/>
          <w:lang w:eastAsia="en-GB"/>
        </w:rPr>
        <w:t xml:space="preserve"> </w:t>
      </w:r>
      <w:r w:rsidR="00061580" w:rsidRPr="00061580">
        <w:rPr>
          <w:rFonts w:eastAsia="Times New Roman"/>
          <w:lang w:eastAsia="en-GB"/>
        </w:rPr>
        <w:t>address</w:t>
      </w:r>
      <w:r w:rsidR="007D221D">
        <w:rPr>
          <w:rFonts w:eastAsia="Times New Roman"/>
          <w:lang w:eastAsia="en-GB"/>
        </w:rPr>
        <w:t xml:space="preserve"> </w:t>
      </w:r>
      <w:r w:rsidR="00061580" w:rsidRPr="00061580">
        <w:rPr>
          <w:rFonts w:eastAsia="Times New Roman"/>
          <w:lang w:eastAsia="en-GB"/>
        </w:rPr>
        <w:t>the research hypotheses</w:t>
      </w:r>
      <w:r>
        <w:rPr>
          <w:rFonts w:eastAsia="Times New Roman"/>
          <w:lang w:eastAsia="en-GB"/>
        </w:rPr>
        <w:t xml:space="preserve">. However, </w:t>
      </w:r>
      <w:r w:rsidR="00061580" w:rsidRPr="00061580">
        <w:rPr>
          <w:rFonts w:eastAsia="Times New Roman"/>
          <w:lang w:eastAsia="en-GB"/>
        </w:rPr>
        <w:t>dimension reduction by principal components analysis (PCA) was applied later as a secondary process to determine whether meaningful factor structures could be established for both the ABC Scale and the Dyslexia Index metric. The original objective was to explore the influences of groups of similar dimensions of dyslexia-ness (Dx factors) on academic confidence to search for more nuanced explanations for differences in ABC, although in the light of PCA outcomes for the Dx Profiler, this was later modified (see</w:t>
      </w:r>
      <w:r w:rsidR="00A70722">
        <w:rPr>
          <w:rFonts w:eastAsia="Times New Roman"/>
          <w:lang w:eastAsia="en-GB"/>
        </w:rPr>
        <w:t xml:space="preserve"> sub-section 4.5/III</w:t>
      </w:r>
      <w:r w:rsidR="00AE48D0">
        <w:rPr>
          <w:rFonts w:eastAsia="Times New Roman"/>
          <w:lang w:eastAsia="en-GB"/>
        </w:rPr>
        <w:t>&amp;IV</w:t>
      </w:r>
      <w:r w:rsidR="00061580" w:rsidRPr="00061580">
        <w:rPr>
          <w:rFonts w:eastAsia="Times New Roman"/>
          <w:lang w:eastAsia="en-GB"/>
        </w:rPr>
        <w:t>).</w:t>
      </w:r>
    </w:p>
    <w:p w14:paraId="15FFA353" w14:textId="39E802D2" w:rsidR="00061580" w:rsidRDefault="00061580" w:rsidP="004D1360">
      <w:pPr>
        <w:rPr>
          <w:rFonts w:eastAsia="Times New Roman"/>
          <w:lang w:eastAsia="en-GB"/>
        </w:rPr>
      </w:pPr>
      <w:r w:rsidRPr="00061580">
        <w:rPr>
          <w:rFonts w:eastAsia="Times New Roman"/>
          <w:lang w:eastAsia="en-GB"/>
        </w:rPr>
        <w:t>The PCA process is said to be useful to explore</w:t>
      </w:r>
      <w:r w:rsidR="00D9623C">
        <w:rPr>
          <w:rFonts w:eastAsia="Times New Roman"/>
          <w:lang w:eastAsia="en-GB"/>
        </w:rPr>
        <w:t xml:space="preserve"> </w:t>
      </w:r>
      <w:r w:rsidRPr="00061580">
        <w:rPr>
          <w:rFonts w:eastAsia="Times New Roman"/>
          <w:lang w:eastAsia="en-GB"/>
        </w:rPr>
        <w:t xml:space="preserve">whether a multi-item scale that is attempting to evaluate a construct can be reduced into a simpler structure with fewer components (Kline, 1994, Kanyongo, 2005), although there remains considerable debate about how to best </w:t>
      </w:r>
      <w:r w:rsidR="00960559">
        <w:rPr>
          <w:rFonts w:eastAsia="Times New Roman"/>
          <w:lang w:eastAsia="en-GB"/>
        </w:rPr>
        <w:t xml:space="preserve">to </w:t>
      </w:r>
      <w:r w:rsidRPr="00061580">
        <w:rPr>
          <w:rFonts w:eastAsia="Times New Roman"/>
          <w:lang w:eastAsia="en-GB"/>
        </w:rPr>
        <w:t>identify the most appropriate number of factors to retain from those which emerge from dimension reduction</w:t>
      </w:r>
      <w:r w:rsidR="007D221D">
        <w:rPr>
          <w:rFonts w:eastAsia="Times New Roman"/>
          <w:lang w:eastAsia="en-GB"/>
        </w:rPr>
        <w:t xml:space="preserve"> </w:t>
      </w:r>
      <w:r w:rsidRPr="00061580">
        <w:rPr>
          <w:rFonts w:eastAsia="Times New Roman"/>
          <w:lang w:eastAsia="en-GB"/>
        </w:rPr>
        <w:t>(e.g.: Velicer, et.al, 2000). As a</w:t>
      </w:r>
      <w:r w:rsidR="007D221D">
        <w:rPr>
          <w:rFonts w:eastAsia="Times New Roman"/>
          <w:lang w:eastAsia="en-GB"/>
        </w:rPr>
        <w:t xml:space="preserve"> </w:t>
      </w:r>
      <w:r w:rsidRPr="00061580">
        <w:rPr>
          <w:rFonts w:eastAsia="Times New Roman"/>
          <w:lang w:eastAsia="en-GB"/>
        </w:rPr>
        <w:t>precedent, Sander and Sanders (2003) recognized that dimension reduction may be appropriate for their original, 24-item ABC Scale. Their procedure</w:t>
      </w:r>
      <w:r w:rsidR="00D9623C">
        <w:rPr>
          <w:rFonts w:eastAsia="Times New Roman"/>
          <w:lang w:eastAsia="en-GB"/>
        </w:rPr>
        <w:t xml:space="preserve"> </w:t>
      </w:r>
      <w:r w:rsidRPr="00061580">
        <w:rPr>
          <w:rFonts w:eastAsia="Times New Roman"/>
          <w:lang w:eastAsia="en-GB"/>
        </w:rPr>
        <w:t>generated a 6-factor structure, the components of which were designated as Grades, Studying, Verbalizing, Attendance, Understanding, and Requesting. By combining datasets from their earlier studies, a</w:t>
      </w:r>
      <w:r w:rsidR="00D9623C">
        <w:rPr>
          <w:rFonts w:eastAsia="Times New Roman"/>
          <w:lang w:eastAsia="en-GB"/>
        </w:rPr>
        <w:t xml:space="preserve"> </w:t>
      </w:r>
      <w:r w:rsidRPr="00061580">
        <w:rPr>
          <w:rFonts w:eastAsia="Times New Roman"/>
          <w:lang w:eastAsia="en-GB"/>
        </w:rPr>
        <w:t>subsequent</w:t>
      </w:r>
      <w:r w:rsidR="007D221D">
        <w:rPr>
          <w:rFonts w:eastAsia="Times New Roman"/>
          <w:lang w:eastAsia="en-GB"/>
        </w:rPr>
        <w:t xml:space="preserve"> </w:t>
      </w:r>
      <w:r w:rsidRPr="00061580">
        <w:rPr>
          <w:rFonts w:eastAsia="Times New Roman"/>
          <w:lang w:eastAsia="en-GB"/>
        </w:rPr>
        <w:t>analysis found that the ABC Scale could be reduced to 17 items</w:t>
      </w:r>
      <w:r w:rsidR="007D221D">
        <w:rPr>
          <w:rFonts w:eastAsia="Times New Roman"/>
          <w:lang w:eastAsia="en-GB"/>
        </w:rPr>
        <w:t xml:space="preserve"> </w:t>
      </w:r>
      <w:r w:rsidRPr="00061580">
        <w:rPr>
          <w:rFonts w:eastAsia="Times New Roman"/>
          <w:lang w:eastAsia="en-GB"/>
        </w:rPr>
        <w:t>with 4 factors, designated as Grades, Verbalizing, Studying and Attendance (Sander &amp; Sanders, 2009). The remaining dimensions of the reduced, 17-item ABC Scale were unamended. Hence, retaining the the full, 24-item scale in this current study enabled dimension reduction</w:t>
      </w:r>
      <w:r w:rsidR="007D221D">
        <w:rPr>
          <w:rFonts w:eastAsia="Times New Roman"/>
          <w:lang w:eastAsia="en-GB"/>
        </w:rPr>
        <w:t xml:space="preserve"> </w:t>
      </w:r>
      <w:r w:rsidRPr="00061580">
        <w:rPr>
          <w:rFonts w:eastAsia="Times New Roman"/>
          <w:lang w:eastAsia="en-GB"/>
        </w:rPr>
        <w:t>to be applied</w:t>
      </w:r>
      <w:r w:rsidR="007D221D">
        <w:rPr>
          <w:rFonts w:eastAsia="Times New Roman"/>
          <w:lang w:eastAsia="en-GB"/>
        </w:rPr>
        <w:t xml:space="preserve"> </w:t>
      </w:r>
      <w:r w:rsidRPr="00061580">
        <w:rPr>
          <w:rFonts w:eastAsia="Times New Roman"/>
          <w:lang w:eastAsia="en-GB"/>
        </w:rPr>
        <w:t>to consider whether a meaningful, local sub-scale structur</w:t>
      </w:r>
      <w:r w:rsidR="007D221D">
        <w:rPr>
          <w:rFonts w:eastAsia="Times New Roman"/>
          <w:lang w:eastAsia="en-GB"/>
        </w:rPr>
        <w:t>e</w:t>
      </w:r>
      <w:r w:rsidRPr="00061580">
        <w:rPr>
          <w:rFonts w:eastAsia="Times New Roman"/>
          <w:lang w:eastAsia="en-GB"/>
        </w:rPr>
        <w:t xml:space="preserve"> was likely. It was also possible to calculate alternative 17-item overall mean ABC values simultaneously so that both sets of results were available to consider against the research hypotheses.</w:t>
      </w:r>
    </w:p>
    <w:p w14:paraId="7AA0655A" w14:textId="4A547DF1" w:rsidR="00061580" w:rsidRPr="00061580" w:rsidRDefault="00960559" w:rsidP="00061580">
      <w:pPr>
        <w:rPr>
          <w:rFonts w:eastAsia="Times New Roman"/>
          <w:lang w:eastAsia="en-GB"/>
        </w:rPr>
      </w:pPr>
      <w:r>
        <w:rPr>
          <w:rFonts w:eastAsia="Times New Roman"/>
          <w:lang w:eastAsia="en-GB"/>
        </w:rPr>
        <w:t>J</w:t>
      </w:r>
      <w:r w:rsidR="00061580" w:rsidRPr="00061580">
        <w:rPr>
          <w:rFonts w:eastAsia="Times New Roman"/>
          <w:lang w:eastAsia="en-GB"/>
        </w:rPr>
        <w:t>ust as Cronbach's ɑ</w:t>
      </w:r>
      <w:r w:rsidR="007D221D">
        <w:rPr>
          <w:rFonts w:eastAsia="Times New Roman"/>
          <w:lang w:eastAsia="en-GB"/>
        </w:rPr>
        <w:t xml:space="preserve"> </w:t>
      </w:r>
      <w:r w:rsidR="00061580" w:rsidRPr="00061580">
        <w:rPr>
          <w:rFonts w:eastAsia="Times New Roman"/>
          <w:lang w:eastAsia="en-GB"/>
        </w:rPr>
        <w:t>can offer</w:t>
      </w:r>
      <w:r w:rsidR="007D221D">
        <w:rPr>
          <w:rFonts w:eastAsia="Times New Roman"/>
          <w:lang w:eastAsia="en-GB"/>
        </w:rPr>
        <w:t xml:space="preserve"> </w:t>
      </w:r>
      <w:r w:rsidR="00061580" w:rsidRPr="00061580">
        <w:rPr>
          <w:rFonts w:eastAsia="Times New Roman"/>
          <w:lang w:eastAsia="en-GB"/>
        </w:rPr>
        <w:t xml:space="preserve">a measure of internal consistency to a local construct scale (and identify scale item redundancy), factor analysis is ascribable to the dataset onto which it is applied. It was considered therefore that the Sander and Sanders factor structures may not be </w:t>
      </w:r>
      <w:r w:rsidR="00D9623C">
        <w:rPr>
          <w:rFonts w:eastAsia="Times New Roman"/>
          <w:lang w:eastAsia="en-GB"/>
        </w:rPr>
        <w:t>the most appropriate for the data in this current study</w:t>
      </w:r>
      <w:r w:rsidR="00061580" w:rsidRPr="00061580">
        <w:rPr>
          <w:rFonts w:eastAsia="Times New Roman"/>
          <w:lang w:eastAsia="en-GB"/>
        </w:rPr>
        <w:t>, despite being widely used by other researchers in one form (ABC24-6) or the other (ABC17-4) (e.g.: de la Fuente et al., 2013; de la Fuente et al., 2014; Hilale &amp; Alexander, 2009; Ochoa et al., 2012; Willis, 2010; Keinhuis et al., 2011; Lynch &amp; Webber, 2011; Shaukat &amp; Bashir, 2016). Indeed when reviewing the ABC Scale, Stankov et.al., (in Boyle et.al., 2015) implied that more work should be done to consolidate</w:t>
      </w:r>
      <w:r w:rsidR="00D9623C">
        <w:rPr>
          <w:rFonts w:eastAsia="Times New Roman"/>
          <w:lang w:eastAsia="en-GB"/>
        </w:rPr>
        <w:t xml:space="preserve"> </w:t>
      </w:r>
      <w:r w:rsidR="00061580" w:rsidRPr="00061580">
        <w:rPr>
          <w:rFonts w:eastAsia="Times New Roman"/>
          <w:lang w:eastAsia="en-GB"/>
        </w:rPr>
        <w:t xml:space="preserve">some aspects of the ABC Scale, not so much by levelling criticism at its construction or theoretical underpinnings, but more to suggest that as a relatively new measure (&gt; 2003) it would benefit from </w:t>
      </w:r>
      <w:r w:rsidR="00061580" w:rsidRPr="00061580">
        <w:rPr>
          <w:rFonts w:eastAsia="Times New Roman"/>
          <w:lang w:eastAsia="en-GB"/>
        </w:rPr>
        <w:lastRenderedPageBreak/>
        <w:t>wider applications in the field, and subsequent scrutiny about how it is built and what it is attempting to measure. In the event, only one study was found (Corkery et.al., 2011) which appeared to share this cautious approach for adopting the ABC Scale per se, choosing instead to conduct a local factor analysis to determine the structure of the Scale according to their data, setting a single precedent for taking the same course of action in this current study.</w:t>
      </w:r>
    </w:p>
    <w:p w14:paraId="312B221A" w14:textId="7E6A3820" w:rsidR="00061580" w:rsidRDefault="00061580" w:rsidP="004D1360">
      <w:pPr>
        <w:rPr>
          <w:rFonts w:eastAsia="Times New Roman"/>
          <w:lang w:eastAsia="en-GB"/>
        </w:rPr>
      </w:pPr>
      <w:r w:rsidRPr="00061580">
        <w:rPr>
          <w:rFonts w:eastAsia="Times New Roman"/>
          <w:lang w:eastAsia="en-GB"/>
        </w:rPr>
        <w:t>However, it also remain</w:t>
      </w:r>
      <w:r w:rsidR="007D221D">
        <w:rPr>
          <w:rFonts w:eastAsia="Times New Roman"/>
          <w:lang w:eastAsia="en-GB"/>
        </w:rPr>
        <w:t>ed</w:t>
      </w:r>
      <w:r w:rsidRPr="00061580">
        <w:rPr>
          <w:rFonts w:eastAsia="Times New Roman"/>
          <w:lang w:eastAsia="en-GB"/>
        </w:rPr>
        <w:t xml:space="preserve"> unclear from the Sander and Sanders original, and subsequent studies, whether the components analyses adopted for both the individual and the later, combined datasets, were</w:t>
      </w:r>
      <w:r w:rsidR="007D221D">
        <w:rPr>
          <w:rFonts w:eastAsia="Times New Roman"/>
          <w:lang w:eastAsia="en-GB"/>
        </w:rPr>
        <w:t xml:space="preserve"> </w:t>
      </w:r>
      <w:r w:rsidRPr="00061580">
        <w:rPr>
          <w:rFonts w:eastAsia="Times New Roman"/>
          <w:lang w:eastAsia="en-GB"/>
        </w:rPr>
        <w:t xml:space="preserve">compared with a factor structure that may have </w:t>
      </w:r>
      <w:r w:rsidR="00D9623C">
        <w:rPr>
          <w:rFonts w:eastAsia="Times New Roman"/>
          <w:lang w:eastAsia="en-GB"/>
        </w:rPr>
        <w:t xml:space="preserve">been just as likely to have </w:t>
      </w:r>
      <w:r w:rsidRPr="00061580">
        <w:rPr>
          <w:rFonts w:eastAsia="Times New Roman"/>
          <w:lang w:eastAsia="en-GB"/>
        </w:rPr>
        <w:t>occurred by chance. Indeed, from the body of literature examined where the ABC Scale has been used either as the principal metric or as an additional aspect</w:t>
      </w:r>
      <w:r w:rsidR="00D9623C">
        <w:rPr>
          <w:rFonts w:eastAsia="Times New Roman"/>
          <w:lang w:eastAsia="en-GB"/>
        </w:rPr>
        <w:t xml:space="preserve"> </w:t>
      </w:r>
      <w:r w:rsidRPr="00061580">
        <w:rPr>
          <w:rFonts w:eastAsia="Times New Roman"/>
          <w:lang w:eastAsia="en-GB"/>
        </w:rPr>
        <w:t>of the analysis processes, no studies' data analys</w:t>
      </w:r>
      <w:r w:rsidR="00A70722">
        <w:rPr>
          <w:rFonts w:eastAsia="Times New Roman"/>
          <w:lang w:eastAsia="en-GB"/>
        </w:rPr>
        <w:t>e</w:t>
      </w:r>
      <w:r w:rsidRPr="00061580">
        <w:rPr>
          <w:rFonts w:eastAsia="Times New Roman"/>
          <w:lang w:eastAsia="en-GB"/>
        </w:rPr>
        <w:t>s appear to suggest that</w:t>
      </w:r>
      <w:r w:rsidR="00D9623C">
        <w:rPr>
          <w:rFonts w:eastAsia="Times New Roman"/>
          <w:lang w:eastAsia="en-GB"/>
        </w:rPr>
        <w:t xml:space="preserve"> </w:t>
      </w:r>
      <w:r w:rsidRPr="00061580">
        <w:rPr>
          <w:rFonts w:eastAsia="Times New Roman"/>
          <w:lang w:eastAsia="en-GB"/>
        </w:rPr>
        <w:t>any comparisons with a</w:t>
      </w:r>
      <w:r w:rsidR="00D9623C">
        <w:rPr>
          <w:rFonts w:eastAsia="Times New Roman"/>
          <w:lang w:eastAsia="en-GB"/>
        </w:rPr>
        <w:t xml:space="preserve"> </w:t>
      </w:r>
      <w:r w:rsidRPr="00061580">
        <w:rPr>
          <w:rFonts w:eastAsia="Times New Roman"/>
          <w:lang w:eastAsia="en-GB"/>
        </w:rPr>
        <w:t>factor structure</w:t>
      </w:r>
      <w:r w:rsidR="00D9623C">
        <w:rPr>
          <w:rFonts w:eastAsia="Times New Roman"/>
          <w:lang w:eastAsia="en-GB"/>
        </w:rPr>
        <w:t xml:space="preserve"> </w:t>
      </w:r>
      <w:r w:rsidRPr="00061580">
        <w:rPr>
          <w:rFonts w:eastAsia="Times New Roman"/>
          <w:lang w:eastAsia="en-GB"/>
        </w:rPr>
        <w:t>which may have occurred randomly were</w:t>
      </w:r>
      <w:r w:rsidR="00D9623C">
        <w:rPr>
          <w:rFonts w:eastAsia="Times New Roman"/>
          <w:lang w:eastAsia="en-GB"/>
        </w:rPr>
        <w:t xml:space="preserve"> </w:t>
      </w:r>
      <w:r w:rsidRPr="00061580">
        <w:rPr>
          <w:rFonts w:eastAsia="Times New Roman"/>
          <w:lang w:eastAsia="en-GB"/>
        </w:rPr>
        <w:t>conducted. Common practice to determine the number of factors to retain in these, and in numerous other studies where component analysis has been applied</w:t>
      </w:r>
      <w:r w:rsidR="00D9623C">
        <w:rPr>
          <w:rFonts w:eastAsia="Times New Roman"/>
          <w:lang w:eastAsia="en-GB"/>
        </w:rPr>
        <w:t xml:space="preserve">, </w:t>
      </w:r>
      <w:r w:rsidRPr="00061580">
        <w:rPr>
          <w:rFonts w:eastAsia="Times New Roman"/>
          <w:lang w:eastAsia="en-GB"/>
        </w:rPr>
        <w:t>use either a visual inspection of the scree plot of eigenvalues against components (Cattell, 1996; Horn &amp; Engstrom, 1979) looking for the point where the slope changes markedly as a means to determine</w:t>
      </w:r>
      <w:r w:rsidR="00D9623C">
        <w:rPr>
          <w:rFonts w:eastAsia="Times New Roman"/>
          <w:lang w:eastAsia="en-GB"/>
        </w:rPr>
        <w:t xml:space="preserve"> </w:t>
      </w:r>
      <w:r w:rsidRPr="00061580">
        <w:rPr>
          <w:rFonts w:eastAsia="Times New Roman"/>
          <w:lang w:eastAsia="en-GB"/>
        </w:rPr>
        <w:t>the number of components to declare; or otherwise choose components which present initial eigenvalues &gt; 1 in the table of total variance explained, as those to be included in the final factor structure (Kaiser, 1960). Both processes are not without their difficulties: In the first instance, determining the the number of components to include from visual inspection of the scree plot relies on subjective judgement (e.g.: Zwick &amp; Velicer, 1982), despite common convention; and when relying on eigenvalues &gt; 1 in the table of total variance explained, when no clear distinction exists between two (or more) components that are very close to this critical value, it becomes difficult to decide which components to include and which to omit.</w:t>
      </w:r>
    </w:p>
    <w:p w14:paraId="3FA575FC" w14:textId="2027FBD2" w:rsidR="000D5003" w:rsidRPr="000D5003" w:rsidRDefault="00061580" w:rsidP="000D5003">
      <w:pPr>
        <w:rPr>
          <w:rFonts w:eastAsia="Times New Roman"/>
          <w:lang w:eastAsia="en-GB"/>
        </w:rPr>
      </w:pPr>
      <w:r w:rsidRPr="00061580">
        <w:rPr>
          <w:rFonts w:eastAsia="Times New Roman"/>
          <w:lang w:eastAsia="en-GB"/>
        </w:rPr>
        <w:t xml:space="preserve">In this current study, early iterations of the process suggested that solutions of four, five, or six factors for both ABC and for Dx could be reasonably supported, </w:t>
      </w:r>
      <w:r w:rsidR="00A07F8A">
        <w:rPr>
          <w:rFonts w:eastAsia="Times New Roman"/>
          <w:lang w:eastAsia="en-GB"/>
        </w:rPr>
        <w:t>determined from</w:t>
      </w:r>
      <w:r w:rsidRPr="00061580">
        <w:rPr>
          <w:rFonts w:eastAsia="Times New Roman"/>
          <w:lang w:eastAsia="en-GB"/>
        </w:rPr>
        <w:t xml:space="preserve"> both the eigenvalues &gt; 1, and visual interpretations of the scree plots criteria. In the event, five-factor solutions for both variables were initially adopted, based on realistically determining outcomes that could lead to a meaningful interpretation of the data. However, a </w:t>
      </w:r>
      <w:r w:rsidR="00670866">
        <w:rPr>
          <w:rFonts w:eastAsia="Times New Roman"/>
          <w:lang w:eastAsia="en-GB"/>
        </w:rPr>
        <w:t xml:space="preserve">parallel analysis of multiple randomized versions of the raw data (Eigenvalue </w:t>
      </w:r>
      <w:r w:rsidRPr="00061580">
        <w:rPr>
          <w:rFonts w:eastAsia="Times New Roman"/>
          <w:lang w:eastAsia="en-GB"/>
        </w:rPr>
        <w:t xml:space="preserve">Monte Carlo </w:t>
      </w:r>
      <w:r w:rsidR="00670866">
        <w:rPr>
          <w:rFonts w:eastAsia="Times New Roman"/>
          <w:lang w:eastAsia="en-GB"/>
        </w:rPr>
        <w:t>S</w:t>
      </w:r>
      <w:r w:rsidRPr="00061580">
        <w:rPr>
          <w:rFonts w:eastAsia="Times New Roman"/>
          <w:lang w:eastAsia="en-GB"/>
        </w:rPr>
        <w:t>imulation</w:t>
      </w:r>
      <w:r w:rsidR="00A07F8A">
        <w:rPr>
          <w:rFonts w:eastAsia="Times New Roman"/>
          <w:lang w:eastAsia="en-GB"/>
        </w:rPr>
        <w:t>s</w:t>
      </w:r>
      <w:r w:rsidR="00670866">
        <w:rPr>
          <w:rFonts w:eastAsia="Times New Roman"/>
          <w:lang w:eastAsia="en-GB"/>
        </w:rPr>
        <w:t>) was subsequently conducted</w:t>
      </w:r>
      <w:r w:rsidRPr="00061580">
        <w:rPr>
          <w:rFonts w:eastAsia="Times New Roman"/>
          <w:lang w:eastAsia="en-GB"/>
        </w:rPr>
        <w:t xml:space="preserve"> to examine a factor structure </w:t>
      </w:r>
      <w:r w:rsidR="00670866">
        <w:rPr>
          <w:rFonts w:eastAsia="Times New Roman"/>
          <w:lang w:eastAsia="en-GB"/>
        </w:rPr>
        <w:t xml:space="preserve">that </w:t>
      </w:r>
      <w:r w:rsidR="00C2298D">
        <w:rPr>
          <w:rFonts w:eastAsia="Times New Roman"/>
          <w:lang w:eastAsia="en-GB"/>
        </w:rPr>
        <w:t>could</w:t>
      </w:r>
      <w:r w:rsidR="00670866">
        <w:rPr>
          <w:rFonts w:eastAsia="Times New Roman"/>
          <w:lang w:eastAsia="en-GB"/>
        </w:rPr>
        <w:t xml:space="preserve"> have emerged by chance</w:t>
      </w:r>
      <w:r w:rsidR="00A07F8A">
        <w:rPr>
          <w:rFonts w:eastAsia="Times New Roman"/>
          <w:lang w:eastAsia="en-GB"/>
        </w:rPr>
        <w:t xml:space="preserve">, </w:t>
      </w:r>
      <w:r w:rsidR="00C2298D">
        <w:rPr>
          <w:rFonts w:eastAsia="Times New Roman"/>
          <w:lang w:eastAsia="en-GB"/>
        </w:rPr>
        <w:t xml:space="preserve">to </w:t>
      </w:r>
      <w:r w:rsidR="00A07F8A">
        <w:rPr>
          <w:rFonts w:eastAsia="Times New Roman"/>
          <w:lang w:eastAsia="en-GB"/>
        </w:rPr>
        <w:t xml:space="preserve">consider against the initial iterations of the PCA applied to the ABC and Dx Scales. This was </w:t>
      </w:r>
      <w:r w:rsidRPr="00061580">
        <w:rPr>
          <w:rFonts w:eastAsia="Times New Roman"/>
          <w:lang w:eastAsia="en-GB"/>
        </w:rPr>
        <w:t>conducted in SPSS according to the guidance provided by O'Connor (2000), and also</w:t>
      </w:r>
      <w:r w:rsidR="00670866">
        <w:rPr>
          <w:rFonts w:eastAsia="Times New Roman"/>
          <w:lang w:eastAsia="en-GB"/>
        </w:rPr>
        <w:t xml:space="preserve"> </w:t>
      </w:r>
      <w:r w:rsidR="00A07F8A">
        <w:rPr>
          <w:rFonts w:eastAsia="Times New Roman"/>
          <w:lang w:eastAsia="en-GB"/>
        </w:rPr>
        <w:t xml:space="preserve">served to take account of </w:t>
      </w:r>
      <w:r w:rsidRPr="00061580">
        <w:rPr>
          <w:rFonts w:eastAsia="Times New Roman"/>
          <w:lang w:eastAsia="en-GB"/>
        </w:rPr>
        <w:t xml:space="preserve">the likelihood of assumption violations unduly influencing solutions for retaining factors (Hutchinson &amp; </w:t>
      </w:r>
      <w:r w:rsidRPr="00061580">
        <w:rPr>
          <w:rFonts w:eastAsia="Times New Roman"/>
          <w:lang w:eastAsia="en-GB"/>
        </w:rPr>
        <w:lastRenderedPageBreak/>
        <w:t>Bandalos, 1997; Kanyongo, 2005)</w:t>
      </w:r>
      <w:r w:rsidR="00A07F8A">
        <w:rPr>
          <w:rFonts w:eastAsia="Times New Roman"/>
          <w:lang w:eastAsia="en-GB"/>
        </w:rPr>
        <w:t xml:space="preserve">. This </w:t>
      </w:r>
      <w:r w:rsidRPr="00061580">
        <w:rPr>
          <w:rFonts w:eastAsia="Times New Roman"/>
          <w:lang w:eastAsia="en-GB"/>
        </w:rPr>
        <w:t>later re-analysis of the data suggested that a three-factor solution may be a better model (sub-section 4.5).</w:t>
      </w:r>
      <w:r w:rsidR="00A07F8A">
        <w:rPr>
          <w:rFonts w:eastAsia="Times New Roman"/>
          <w:lang w:eastAsia="en-GB"/>
        </w:rPr>
        <w:t xml:space="preserve"> </w:t>
      </w:r>
      <w:r w:rsidRPr="00061580">
        <w:rPr>
          <w:rFonts w:eastAsia="Times New Roman"/>
          <w:lang w:eastAsia="en-GB"/>
        </w:rPr>
        <w:t>Whilst outcomes for the ABC Scale were robust, dimension reduction results for</w:t>
      </w:r>
      <w:r w:rsidR="00670866">
        <w:rPr>
          <w:rFonts w:eastAsia="Times New Roman"/>
          <w:lang w:eastAsia="en-GB"/>
        </w:rPr>
        <w:t xml:space="preserve"> </w:t>
      </w:r>
      <w:r w:rsidRPr="00061580">
        <w:rPr>
          <w:rFonts w:eastAsia="Times New Roman"/>
          <w:lang w:eastAsia="en-GB"/>
        </w:rPr>
        <w:t xml:space="preserve">the Dx Profiler Scales </w:t>
      </w:r>
      <w:r w:rsidR="00A07F8A">
        <w:rPr>
          <w:rFonts w:eastAsia="Times New Roman"/>
          <w:lang w:eastAsia="en-GB"/>
        </w:rPr>
        <w:t xml:space="preserve">were inconclusive and thus, </w:t>
      </w:r>
      <w:r w:rsidRPr="00061580">
        <w:rPr>
          <w:rFonts w:eastAsia="Times New Roman"/>
          <w:lang w:eastAsia="en-GB"/>
        </w:rPr>
        <w:t>speculative</w:t>
      </w:r>
      <w:r w:rsidR="000D5003">
        <w:rPr>
          <w:rFonts w:eastAsia="Times New Roman"/>
          <w:lang w:eastAsia="en-GB"/>
        </w:rPr>
        <w:t xml:space="preserve">. It is possible, if not likely, that this could be because </w:t>
      </w:r>
      <w:r w:rsidRPr="00061580">
        <w:rPr>
          <w:rFonts w:eastAsia="Times New Roman"/>
          <w:lang w:eastAsia="en-GB"/>
        </w:rPr>
        <w:t xml:space="preserve">the metric was developed especially for this current study, and hence, only the 166 datasets collected from participants were available. </w:t>
      </w:r>
      <w:r w:rsidR="000D5003" w:rsidRPr="000D5003">
        <w:rPr>
          <w:rFonts w:eastAsia="Times New Roman"/>
          <w:lang w:eastAsia="en-GB"/>
        </w:rPr>
        <w:t>Precedents for dimension reduction processes (i.e. for the ABC Scale), suggest that combining similar-source datasets from several studies is likely to increase confidence in the robustness of sub-scales that emerge, eventually leading to a more standardized scale and sub-scales which can be applied confidently to individual studies. Thus, application of the process to determine a possible sub-scale structure for the Dx Profiler would benefit from additional data from other studies before outcomes can be meaningful. Hence,</w:t>
      </w:r>
      <w:r w:rsidR="000D5003">
        <w:rPr>
          <w:rFonts w:eastAsia="Times New Roman"/>
          <w:lang w:eastAsia="en-GB"/>
        </w:rPr>
        <w:t xml:space="preserve"> </w:t>
      </w:r>
      <w:r w:rsidR="000D5003" w:rsidRPr="000D5003">
        <w:rPr>
          <w:rFonts w:eastAsia="Times New Roman"/>
          <w:lang w:eastAsia="en-GB"/>
        </w:rPr>
        <w:t>it was considered that a more nuanced, factorial analysis of the ABC data collected in this study could be confidently conducted. However, to apply unstable Dx Profiler factors to sub-divide</w:t>
      </w:r>
      <w:r w:rsidR="00A2703E">
        <w:rPr>
          <w:rFonts w:eastAsia="Times New Roman"/>
          <w:lang w:eastAsia="en-GB"/>
        </w:rPr>
        <w:t xml:space="preserve"> </w:t>
      </w:r>
      <w:r w:rsidR="000D5003" w:rsidRPr="000D5003">
        <w:rPr>
          <w:rFonts w:eastAsia="Times New Roman"/>
          <w:lang w:eastAsia="en-GB"/>
        </w:rPr>
        <w:t>outcomes further</w:t>
      </w:r>
      <w:r w:rsidR="00A2703E">
        <w:rPr>
          <w:rFonts w:eastAsia="Times New Roman"/>
          <w:lang w:eastAsia="en-GB"/>
        </w:rPr>
        <w:t xml:space="preserve"> </w:t>
      </w:r>
      <w:r w:rsidR="000D5003" w:rsidRPr="000D5003">
        <w:rPr>
          <w:rFonts w:eastAsia="Times New Roman"/>
          <w:lang w:eastAsia="en-GB"/>
        </w:rPr>
        <w:t>was considered unwise, and may</w:t>
      </w:r>
      <w:r w:rsidR="00A2703E">
        <w:rPr>
          <w:rFonts w:eastAsia="Times New Roman"/>
          <w:lang w:eastAsia="en-GB"/>
        </w:rPr>
        <w:t xml:space="preserve"> </w:t>
      </w:r>
      <w:r w:rsidR="000D5003" w:rsidRPr="000D5003">
        <w:rPr>
          <w:rFonts w:eastAsia="Times New Roman"/>
          <w:lang w:eastAsia="en-GB"/>
        </w:rPr>
        <w:t>lead to conclusions of dubious worth, not least due to the small sample sizes of the data subgroups. Development of this aspect of the enquiry will be a topic for subsequent study.</w:t>
      </w:r>
    </w:p>
    <w:p w14:paraId="0FF2B827" w14:textId="62A037E4" w:rsidR="004D1360" w:rsidRPr="004D1360" w:rsidRDefault="002B1A3A" w:rsidP="004D1360">
      <w:pPr>
        <w:pStyle w:val="Heading4"/>
        <w:rPr>
          <w:rFonts w:eastAsia="Times New Roman"/>
        </w:rPr>
      </w:pPr>
      <w:r>
        <w:rPr>
          <w:bdr w:val="none" w:sz="0" w:space="0" w:color="auto" w:frame="1"/>
        </w:rPr>
        <w:t>5</w:t>
      </w:r>
      <w:r w:rsidR="004D1360">
        <w:rPr>
          <w:bdr w:val="none" w:sz="0" w:space="0" w:color="auto" w:frame="1"/>
        </w:rPr>
        <w:t>. Multiple Regression Analysis</w:t>
      </w:r>
    </w:p>
    <w:p w14:paraId="4D916702" w14:textId="3AA6D24B" w:rsidR="0002518F" w:rsidRPr="0002518F" w:rsidRDefault="004D1360" w:rsidP="004D1360">
      <w:pPr>
        <w:rPr>
          <w:bdr w:val="none" w:sz="0" w:space="0" w:color="auto" w:frame="1"/>
        </w:rPr>
      </w:pPr>
      <w:r>
        <w:rPr>
          <w:bdr w:val="none" w:sz="0" w:space="0" w:color="auto" w:frame="1"/>
        </w:rPr>
        <w:t xml:space="preserve">Finally, </w:t>
      </w:r>
      <w:r w:rsidR="00F046BA" w:rsidRPr="00F046BA">
        <w:rPr>
          <w:rFonts w:eastAsia="Times New Roman"/>
          <w:lang w:eastAsia="en-GB"/>
        </w:rPr>
        <w:t>a tentative multiple regression analysis was conducted to add a</w:t>
      </w:r>
      <w:r w:rsidR="00A2703E">
        <w:rPr>
          <w:rFonts w:eastAsia="Times New Roman"/>
          <w:lang w:eastAsia="en-GB"/>
        </w:rPr>
        <w:t>n additional perspective</w:t>
      </w:r>
      <w:r w:rsidR="00F046BA" w:rsidRPr="00F046BA">
        <w:rPr>
          <w:rFonts w:eastAsia="Times New Roman"/>
          <w:lang w:eastAsia="en-GB"/>
        </w:rPr>
        <w:t xml:space="preserve"> to the statistical evidence </w:t>
      </w:r>
      <w:r w:rsidR="00A2703E">
        <w:rPr>
          <w:rFonts w:eastAsia="Times New Roman"/>
          <w:lang w:eastAsia="en-GB"/>
        </w:rPr>
        <w:t xml:space="preserve">generated thus far </w:t>
      </w:r>
      <w:r w:rsidR="00F046BA" w:rsidRPr="00F046BA">
        <w:rPr>
          <w:rFonts w:eastAsia="Times New Roman"/>
          <w:lang w:eastAsia="en-GB"/>
        </w:rPr>
        <w:t>to address the research hypotheses</w:t>
      </w:r>
      <w:r w:rsidR="00A2703E">
        <w:rPr>
          <w:rFonts w:eastAsia="Times New Roman"/>
          <w:lang w:eastAsia="en-GB"/>
        </w:rPr>
        <w:t xml:space="preserve">. </w:t>
      </w:r>
      <w:r w:rsidR="00F046BA" w:rsidRPr="00F046BA">
        <w:rPr>
          <w:rFonts w:eastAsia="Times New Roman"/>
          <w:lang w:eastAsia="en-GB"/>
        </w:rPr>
        <w:t>Precedents suggest that multi-variable regression analysis can be valuable in dyslexia research to add substance to</w:t>
      </w:r>
      <w:r w:rsidR="00A2703E">
        <w:rPr>
          <w:rFonts w:eastAsia="Times New Roman"/>
          <w:lang w:eastAsia="en-GB"/>
        </w:rPr>
        <w:t xml:space="preserve"> </w:t>
      </w:r>
      <w:r w:rsidR="00F046BA" w:rsidRPr="00F046BA">
        <w:rPr>
          <w:rFonts w:eastAsia="Times New Roman"/>
          <w:lang w:eastAsia="en-GB"/>
        </w:rPr>
        <w:t>the rationales</w:t>
      </w:r>
      <w:r w:rsidR="00A2703E">
        <w:rPr>
          <w:rFonts w:eastAsia="Times New Roman"/>
          <w:lang w:eastAsia="en-GB"/>
        </w:rPr>
        <w:t xml:space="preserve"> </w:t>
      </w:r>
      <w:r w:rsidR="00F046BA" w:rsidRPr="00F046BA">
        <w:rPr>
          <w:rFonts w:eastAsia="Times New Roman"/>
          <w:lang w:eastAsia="en-GB"/>
        </w:rPr>
        <w:t>which underpin</w:t>
      </w:r>
      <w:r w:rsidR="00A2703E">
        <w:rPr>
          <w:rFonts w:eastAsia="Times New Roman"/>
          <w:lang w:eastAsia="en-GB"/>
        </w:rPr>
        <w:t xml:space="preserve"> </w:t>
      </w:r>
      <w:r w:rsidR="00F046BA" w:rsidRPr="00F046BA">
        <w:rPr>
          <w:rFonts w:eastAsia="Times New Roman"/>
          <w:lang w:eastAsia="en-GB"/>
        </w:rPr>
        <w:t xml:space="preserve">the multi-factorial approaches to understanding dyslexia </w:t>
      </w:r>
      <w:r w:rsidR="00AE48D0">
        <w:rPr>
          <w:rFonts w:eastAsia="Times New Roman"/>
          <w:lang w:eastAsia="en-GB"/>
        </w:rPr>
        <w:t>(sub-s</w:t>
      </w:r>
      <w:r w:rsidR="00F046BA" w:rsidRPr="00F046BA">
        <w:rPr>
          <w:rFonts w:eastAsia="Times New Roman"/>
          <w:lang w:eastAsia="en-GB"/>
        </w:rPr>
        <w:t>ection 2.1(II/6)).</w:t>
      </w:r>
      <w:r w:rsidR="00A2703E">
        <w:rPr>
          <w:rFonts w:eastAsia="Times New Roman"/>
          <w:lang w:eastAsia="en-GB"/>
        </w:rPr>
        <w:t xml:space="preserve"> </w:t>
      </w:r>
      <w:r w:rsidR="00F046BA" w:rsidRPr="00F046BA">
        <w:rPr>
          <w:rFonts w:eastAsia="Times New Roman"/>
          <w:lang w:eastAsia="en-GB"/>
        </w:rPr>
        <w:t>Hence regression analysis was considered to have value in this current study where the objective</w:t>
      </w:r>
      <w:r w:rsidR="00A2703E">
        <w:rPr>
          <w:rFonts w:eastAsia="Times New Roman"/>
          <w:lang w:eastAsia="en-GB"/>
        </w:rPr>
        <w:t xml:space="preserve"> </w:t>
      </w:r>
      <w:r w:rsidR="00F046BA" w:rsidRPr="00F046BA">
        <w:rPr>
          <w:rFonts w:eastAsia="Times New Roman"/>
          <w:lang w:eastAsia="en-GB"/>
        </w:rPr>
        <w:t>was</w:t>
      </w:r>
      <w:r w:rsidR="00A2703E">
        <w:rPr>
          <w:rFonts w:eastAsia="Times New Roman"/>
          <w:lang w:eastAsia="en-GB"/>
        </w:rPr>
        <w:t xml:space="preserve"> to examine </w:t>
      </w:r>
      <w:r w:rsidR="00A2703E" w:rsidRPr="00F046BA">
        <w:rPr>
          <w:rFonts w:eastAsia="Times New Roman"/>
          <w:lang w:eastAsia="en-GB"/>
        </w:rPr>
        <w:t>differences between observed and expected ABC outcomes according to Dx inputs</w:t>
      </w:r>
      <w:r w:rsidR="00A2703E">
        <w:rPr>
          <w:rFonts w:eastAsia="Times New Roman"/>
          <w:lang w:eastAsia="en-GB"/>
        </w:rPr>
        <w:t>, rather than to suggest</w:t>
      </w:r>
      <w:r w:rsidR="00F046BA" w:rsidRPr="00F046BA">
        <w:rPr>
          <w:rFonts w:eastAsia="Times New Roman"/>
          <w:lang w:eastAsia="en-GB"/>
        </w:rPr>
        <w:t xml:space="preserve"> predictive </w:t>
      </w:r>
      <w:r w:rsidR="00A2703E">
        <w:rPr>
          <w:rFonts w:eastAsia="Times New Roman"/>
          <w:lang w:eastAsia="en-GB"/>
        </w:rPr>
        <w:t>models</w:t>
      </w:r>
      <w:r w:rsidR="00F046BA" w:rsidRPr="00F046BA">
        <w:rPr>
          <w:rFonts w:eastAsia="Times New Roman"/>
          <w:lang w:eastAsia="en-GB"/>
        </w:rPr>
        <w:t xml:space="preserve"> for indicating levels of ABC based on Dyslexia Index. </w:t>
      </w:r>
      <w:r w:rsidR="00A2703E">
        <w:rPr>
          <w:rFonts w:eastAsia="Times New Roman"/>
          <w:lang w:eastAsia="en-GB"/>
        </w:rPr>
        <w:t xml:space="preserve">The purpose </w:t>
      </w:r>
      <w:r w:rsidR="00F046BA" w:rsidRPr="00F046BA">
        <w:rPr>
          <w:rFonts w:eastAsia="Times New Roman"/>
          <w:lang w:eastAsia="en-GB"/>
        </w:rPr>
        <w:t xml:space="preserve">was to use the generated </w:t>
      </w:r>
      <w:r w:rsidR="00A2703E">
        <w:rPr>
          <w:rFonts w:eastAsia="Times New Roman"/>
          <w:lang w:eastAsia="en-GB"/>
        </w:rPr>
        <w:t xml:space="preserve">regression </w:t>
      </w:r>
      <w:r w:rsidR="00F046BA" w:rsidRPr="00F046BA">
        <w:rPr>
          <w:rFonts w:eastAsia="Times New Roman"/>
          <w:lang w:eastAsia="en-GB"/>
        </w:rPr>
        <w:t xml:space="preserve">equations to </w:t>
      </w:r>
      <w:r w:rsidR="00A2703E">
        <w:rPr>
          <w:rFonts w:eastAsia="Times New Roman"/>
          <w:lang w:eastAsia="en-GB"/>
        </w:rPr>
        <w:t xml:space="preserve">determine whether quasi-dyslexic students </w:t>
      </w:r>
      <w:r w:rsidR="00F046BA" w:rsidRPr="00F046BA">
        <w:rPr>
          <w:rFonts w:eastAsia="Times New Roman"/>
          <w:lang w:eastAsia="en-GB"/>
        </w:rPr>
        <w:t>return higher than expected levels of ABC than their dyslexia-identified peers.</w:t>
      </w:r>
    </w:p>
    <w:p w14:paraId="15F9CCEC" w14:textId="78850156" w:rsidR="00B75A85" w:rsidRPr="00B75A85" w:rsidRDefault="009D5419" w:rsidP="00B75A85">
      <w:pPr>
        <w:pStyle w:val="Heading3"/>
      </w:pPr>
      <w:bookmarkStart w:id="166" w:name="_Toc57035921"/>
      <w:r>
        <w:t>II</w:t>
      </w:r>
      <w:r w:rsidR="004D1360">
        <w:t>I</w:t>
      </w:r>
      <w:r w:rsidR="008F570A">
        <w:tab/>
      </w:r>
      <w:r>
        <w:t>Analysi</w:t>
      </w:r>
      <w:r w:rsidR="004D1360">
        <w:t>ng qualitative data -</w:t>
      </w:r>
      <w:r>
        <w:t xml:space="preserve"> rationales</w:t>
      </w:r>
      <w:bookmarkEnd w:id="166"/>
    </w:p>
    <w:p w14:paraId="0B31B7C3" w14:textId="623BE112" w:rsidR="00085E3D" w:rsidRDefault="0056263E" w:rsidP="00960559">
      <w:r>
        <w:t>Qualitative data w</w:t>
      </w:r>
      <w:r w:rsidR="00960559">
        <w:t>ere</w:t>
      </w:r>
      <w:r>
        <w:t xml:space="preserve"> not formally analysed, instead, elements of the</w:t>
      </w:r>
      <w:r w:rsidR="00A24F93">
        <w:t xml:space="preserve">se </w:t>
      </w:r>
      <w:r>
        <w:t>data were used to elaborate the discussion element of the thesis (see Section 5).</w:t>
      </w:r>
      <w:r>
        <w:rPr>
          <w:rFonts w:ascii="Times New Roman" w:eastAsia="Times New Roman" w:hAnsi="Times New Roman"/>
        </w:rPr>
        <w:t xml:space="preserve"> </w:t>
      </w:r>
      <w:r>
        <w:t>However, the principles for applying an Interpretative Phenomenological Analysis (IPA) to these</w:t>
      </w:r>
      <w:r w:rsidR="000838AA">
        <w:t xml:space="preserve"> </w:t>
      </w:r>
      <w:r>
        <w:t xml:space="preserve">data were considered, as IPA is typically used to explore, interpret and understand a phenomenon in people - dyslexia in students in this current study - from the perspectives of the lived-experiences of the individuals of interest (Reid et al., 2005). But an IPA </w:t>
      </w:r>
      <w:r>
        <w:lastRenderedPageBreak/>
        <w:t>approach was d</w:t>
      </w:r>
      <w:r w:rsidR="000838AA">
        <w:t>eferred</w:t>
      </w:r>
      <w:r>
        <w:t xml:space="preserve"> for three reasons: firstly, understanding how</w:t>
      </w:r>
      <w:r w:rsidR="000838AA">
        <w:t xml:space="preserve"> </w:t>
      </w:r>
      <w:r>
        <w:t>students with dyslexia make sense of their learning and study experiences at university</w:t>
      </w:r>
      <w:r w:rsidR="000838AA">
        <w:t xml:space="preserve"> </w:t>
      </w:r>
      <w:r>
        <w:t xml:space="preserve">and how they attach meaning to the life events that occur in this context (e.g.: Smith et al., 2009) was not the main focus of the research. Instead, the </w:t>
      </w:r>
      <w:r w:rsidR="000838AA">
        <w:t xml:space="preserve">research aim </w:t>
      </w:r>
      <w:r>
        <w:t xml:space="preserve">was quite specific, that is, </w:t>
      </w:r>
      <w:r w:rsidR="005347BE">
        <w:t>to use the dyslexia-ness continuum approach to examine how dyslexia-ness impacts on academic confidence.</w:t>
      </w:r>
      <w:r w:rsidR="005347BE">
        <w:rPr>
          <w:rFonts w:ascii="Times New Roman" w:eastAsia="Times New Roman" w:hAnsi="Times New Roman"/>
        </w:rPr>
        <w:t xml:space="preserve"> </w:t>
      </w:r>
      <w:r w:rsidR="004D1360">
        <w:rPr>
          <w:bdr w:val="none" w:sz="0" w:space="0" w:color="auto" w:frame="1"/>
        </w:rPr>
        <w:t xml:space="preserve">Secondly, these (qualitative) data were only </w:t>
      </w:r>
      <w:r w:rsidR="005347BE">
        <w:rPr>
          <w:bdr w:val="none" w:sz="0" w:space="0" w:color="auto" w:frame="1"/>
        </w:rPr>
        <w:t>acquired</w:t>
      </w:r>
      <w:r w:rsidR="004D1360">
        <w:rPr>
          <w:bdr w:val="none" w:sz="0" w:space="0" w:color="auto" w:frame="1"/>
        </w:rPr>
        <w:t xml:space="preserve"> from students in the dyslexic group. This was not by design, merely that no participants in the non-dyslexic group provided any</w:t>
      </w:r>
      <w:r w:rsidR="005347BE">
        <w:rPr>
          <w:bdr w:val="none" w:sz="0" w:space="0" w:color="auto" w:frame="1"/>
        </w:rPr>
        <w:t xml:space="preserve"> </w:t>
      </w:r>
      <w:r w:rsidR="004D1360">
        <w:rPr>
          <w:bdr w:val="none" w:sz="0" w:space="0" w:color="auto" w:frame="1"/>
        </w:rPr>
        <w:t>data in this form. Hence it was considered that</w:t>
      </w:r>
      <w:r w:rsidR="005347BE">
        <w:rPr>
          <w:bdr w:val="none" w:sz="0" w:space="0" w:color="auto" w:frame="1"/>
        </w:rPr>
        <w:t xml:space="preserve"> </w:t>
      </w:r>
      <w:r w:rsidR="004D1360">
        <w:rPr>
          <w:bdr w:val="none" w:sz="0" w:space="0" w:color="auto" w:frame="1"/>
        </w:rPr>
        <w:t>formal, qualitative analysis would have been skewed</w:t>
      </w:r>
      <w:r w:rsidR="005347BE">
        <w:rPr>
          <w:bdr w:val="none" w:sz="0" w:space="0" w:color="auto" w:frame="1"/>
        </w:rPr>
        <w:t>,</w:t>
      </w:r>
      <w:r w:rsidR="004D1360">
        <w:rPr>
          <w:bdr w:val="none" w:sz="0" w:space="0" w:color="auto" w:frame="1"/>
        </w:rPr>
        <w:t xml:space="preserve"> and not generalizable across the datapool</w:t>
      </w:r>
      <w:r w:rsidR="004D1360" w:rsidRPr="004F7BC5">
        <w:t xml:space="preserve">. </w:t>
      </w:r>
      <w:r w:rsidRPr="004F7BC5">
        <w:t>Lastly, although IPA attempts to uncover themes in qualitative data, it is conventionally</w:t>
      </w:r>
      <w:r w:rsidR="006F0841">
        <w:t xml:space="preserve"> </w:t>
      </w:r>
      <w:r w:rsidRPr="004F7BC5">
        <w:t xml:space="preserve">conducted with small, purposive samples of typically fewer than ten participants (Hefferon &amp; Gil-Rodriguez, 2011), </w:t>
      </w:r>
      <w:r w:rsidR="005347BE">
        <w:t>with analysis being overly</w:t>
      </w:r>
      <w:r w:rsidRPr="004F7BC5">
        <w:t xml:space="preserve"> descriptive rather than more deeply interpretative (ibid). In this study, the qualitative data w</w:t>
      </w:r>
      <w:r w:rsidR="00960559">
        <w:t>ere</w:t>
      </w:r>
      <w:r w:rsidRPr="004F7BC5">
        <w:t xml:space="preserve"> drawn from a moderately large dataset (n=68) rather than b</w:t>
      </w:r>
      <w:r w:rsidR="004F7BC5">
        <w:t>y</w:t>
      </w:r>
      <w:r w:rsidRPr="004F7BC5">
        <w:t xml:space="preserve"> selecting a small, representative </w:t>
      </w:r>
      <w:r w:rsidR="004F7BC5">
        <w:t>sample</w:t>
      </w:r>
      <w:r w:rsidRPr="004F7BC5">
        <w:t>. Hence, although some elements of</w:t>
      </w:r>
      <w:r w:rsidR="006F0841">
        <w:t xml:space="preserve"> </w:t>
      </w:r>
      <w:r w:rsidRPr="004F7BC5">
        <w:t>IPA are utilized, for example in identifying thematic narratives, these are used to support the quantitative outcomes of the data analysis, the formal process was not adopted. That said, the data provided an extensive representation of the challenges and difficulties faced by dyslexic</w:t>
      </w:r>
      <w:r w:rsidR="006F0841">
        <w:t xml:space="preserve"> </w:t>
      </w:r>
      <w:r w:rsidRPr="004F7BC5">
        <w:t>students at university, and hence may be used in a more focused study later.</w:t>
      </w:r>
    </w:p>
    <w:p w14:paraId="17E4A845" w14:textId="5C9BA493" w:rsidR="007B0625" w:rsidRDefault="007B0625" w:rsidP="007B0625">
      <w:pPr>
        <w:pStyle w:val="Heading2"/>
      </w:pPr>
      <w:bookmarkStart w:id="167" w:name="_Toc57035922"/>
      <w:r>
        <w:t>4.</w:t>
      </w:r>
      <w:r w:rsidR="009D5419">
        <w:t>2</w:t>
      </w:r>
      <w:r w:rsidR="008F570A">
        <w:tab/>
      </w:r>
      <w:r w:rsidRPr="00537A60">
        <w:t>Terminology</w:t>
      </w:r>
      <w:bookmarkEnd w:id="162"/>
      <w:bookmarkEnd w:id="167"/>
    </w:p>
    <w:p w14:paraId="377CD73F" w14:textId="1852BE22" w:rsidR="00085E3D" w:rsidRDefault="006F0841" w:rsidP="00960559">
      <w:r>
        <w:t xml:space="preserve">Refer to the List of Abbreviations for </w:t>
      </w:r>
      <w:r w:rsidR="007B0625">
        <w:t>t</w:t>
      </w:r>
      <w:r w:rsidR="007B0625" w:rsidRPr="00B25AAE">
        <w:t>he meanings of labels, terms, acronyms and designations used in the reporting and discussion of the data, results and anal</w:t>
      </w:r>
      <w:r>
        <w:t>ysis.</w:t>
      </w:r>
      <w:bookmarkStart w:id="168" w:name="_Toc9795760"/>
    </w:p>
    <w:p w14:paraId="669EE46F" w14:textId="77777777" w:rsidR="00AE48D0" w:rsidRDefault="00AE48D0">
      <w:pPr>
        <w:spacing w:before="0" w:after="160" w:line="259" w:lineRule="auto"/>
        <w:rPr>
          <w:b/>
          <w:smallCaps/>
          <w:color w:val="4472C4" w:themeColor="accent1"/>
          <w:spacing w:val="5"/>
          <w:sz w:val="26"/>
          <w:szCs w:val="28"/>
        </w:rPr>
      </w:pPr>
      <w:r>
        <w:br w:type="page"/>
      </w:r>
    </w:p>
    <w:p w14:paraId="7C8DAEDC" w14:textId="2CDE48E3" w:rsidR="006F0841" w:rsidRDefault="006F0841" w:rsidP="006F0841">
      <w:pPr>
        <w:pStyle w:val="Heading2"/>
      </w:pPr>
      <w:bookmarkStart w:id="169" w:name="_Toc57035923"/>
      <w:r>
        <w:lastRenderedPageBreak/>
        <w:t>4.3</w:t>
      </w:r>
      <w:r w:rsidR="008F570A">
        <w:tab/>
      </w:r>
      <w:r>
        <w:t>Results</w:t>
      </w:r>
      <w:bookmarkEnd w:id="168"/>
      <w:bookmarkEnd w:id="169"/>
    </w:p>
    <w:p w14:paraId="627A1D90" w14:textId="0A42680C" w:rsidR="006F0841" w:rsidRDefault="006F0841" w:rsidP="006F0841">
      <w:pPr>
        <w:pStyle w:val="Heading3"/>
      </w:pPr>
      <w:bookmarkStart w:id="170" w:name="_Toc9795761"/>
      <w:bookmarkStart w:id="171" w:name="_Toc57035924"/>
      <w:r>
        <w:t>I</w:t>
      </w:r>
      <w:r w:rsidR="008F570A">
        <w:tab/>
      </w:r>
      <w:r>
        <w:t>Demographics</w:t>
      </w:r>
      <w:bookmarkEnd w:id="170"/>
      <w:bookmarkEnd w:id="171"/>
    </w:p>
    <w:p w14:paraId="796C8C1E" w14:textId="3E2AEEED" w:rsidR="006F0841" w:rsidRDefault="006F0841" w:rsidP="007B0625">
      <w:r w:rsidRPr="00537A60">
        <w:t>A total of n=183 questionnaire</w:t>
      </w:r>
      <w:r w:rsidR="00960559">
        <w:t>s</w:t>
      </w:r>
      <w:r>
        <w:t xml:space="preserve"> were </w:t>
      </w:r>
      <w:r w:rsidRPr="00537A60">
        <w:t>re</w:t>
      </w:r>
      <w:r w:rsidR="00960559">
        <w:t>turned</w:t>
      </w:r>
      <w:r w:rsidRPr="00537A60">
        <w:t xml:space="preserve">. </w:t>
      </w:r>
      <w:r>
        <w:t xml:space="preserve">Seventeen </w:t>
      </w:r>
      <w:r w:rsidRPr="00537A60">
        <w:t>w</w:t>
      </w:r>
      <w:r>
        <w:t>ere discarded due to Dx Profiler data less than 50% complete</w:t>
      </w:r>
      <w:r w:rsidR="00DA006F">
        <w:t xml:space="preserve"> </w:t>
      </w:r>
      <w:r>
        <w:t>and so to determine these individuals' Dyslexia Index was considered unrealistic.</w:t>
      </w:r>
    </w:p>
    <w:p w14:paraId="51ACF978" w14:textId="70787376" w:rsidR="00F11160" w:rsidRDefault="006F0841" w:rsidP="006F0841">
      <w:r w:rsidRPr="00537A60">
        <w:t xml:space="preserve">The demographic distribution of </w:t>
      </w:r>
      <w:r>
        <w:t>the datapool according to dyslexia status, gender</w:t>
      </w:r>
      <w:r w:rsidR="00960559">
        <w:t>,</w:t>
      </w:r>
      <w:r>
        <w:t xml:space="preserve"> home</w:t>
      </w:r>
      <w:r w:rsidRPr="00537A60">
        <w:t xml:space="preserve"> re</w:t>
      </w:r>
      <w:r>
        <w:t xml:space="preserve">sidency, and study level is shown in Table </w:t>
      </w:r>
      <w:r w:rsidR="00AE48D0">
        <w:t>6</w:t>
      </w:r>
      <w:r>
        <w:t xml:space="preserve">. The equivalent distributions for the Test and the Base subgroups, which were both subsets of the non-dyslexic students’ group; and for the Control subgroup, which was a subset of the dyslexic students’ group, are presented in Table </w:t>
      </w:r>
      <w:r w:rsidR="00AE48D0">
        <w:t>7</w:t>
      </w:r>
      <w:r w:rsidR="00DA006F">
        <w:t>.</w:t>
      </w:r>
    </w:p>
    <w:p w14:paraId="37692156" w14:textId="06721BE0" w:rsidR="00DA006F" w:rsidRDefault="00DA006F" w:rsidP="00DA006F">
      <w:pPr>
        <w:pStyle w:val="Heading5"/>
        <w:rPr>
          <w:lang w:eastAsia="en-GB"/>
        </w:rPr>
      </w:pPr>
      <w:r>
        <w:rPr>
          <w:rFonts w:eastAsia="Times New Roman"/>
          <w:lang w:eastAsia="en-GB"/>
        </w:rPr>
        <w:t>Distribution by gender</w:t>
      </w:r>
    </w:p>
    <w:p w14:paraId="5AE103DE" w14:textId="3F342425" w:rsidR="004D5123" w:rsidRPr="004C6F89" w:rsidRDefault="004E595B" w:rsidP="004C6F89">
      <w:pPr>
        <w:rPr>
          <w:rFonts w:ascii="Times New Roman" w:eastAsia="Times New Roman" w:hAnsi="Times New Roman" w:cs="Times New Roman"/>
          <w:sz w:val="24"/>
          <w:szCs w:val="24"/>
          <w:lang w:eastAsia="en-GB"/>
        </w:rPr>
      </w:pPr>
      <w:r w:rsidRPr="004E595B">
        <w:rPr>
          <w:lang w:eastAsia="en-GB"/>
        </w:rPr>
        <w:t>Overall, female participants (n=113, 6</w:t>
      </w:r>
      <w:r w:rsidR="00960559">
        <w:rPr>
          <w:lang w:eastAsia="en-GB"/>
        </w:rPr>
        <w:t>8</w:t>
      </w:r>
      <w:r w:rsidRPr="004E595B">
        <w:rPr>
          <w:lang w:eastAsia="en-GB"/>
        </w:rPr>
        <w:t xml:space="preserve">%) outnumbered male participants </w:t>
      </w:r>
      <w:r>
        <w:rPr>
          <w:lang w:eastAsia="en-GB"/>
        </w:rPr>
        <w:t>(n=5</w:t>
      </w:r>
      <w:r w:rsidR="004C6F89">
        <w:rPr>
          <w:lang w:eastAsia="en-GB"/>
        </w:rPr>
        <w:t>3</w:t>
      </w:r>
      <w:r>
        <w:rPr>
          <w:lang w:eastAsia="en-GB"/>
        </w:rPr>
        <w:t>, 3</w:t>
      </w:r>
      <w:r w:rsidR="004C6F89">
        <w:rPr>
          <w:lang w:eastAsia="en-GB"/>
        </w:rPr>
        <w:t>2</w:t>
      </w:r>
      <w:r>
        <w:rPr>
          <w:lang w:eastAsia="en-GB"/>
        </w:rPr>
        <w:t xml:space="preserve">%) </w:t>
      </w:r>
      <w:r w:rsidRPr="004E595B">
        <w:rPr>
          <w:lang w:eastAsia="en-GB"/>
        </w:rPr>
        <w:t>by a factor of approximately 2 to 1. Amongst the dyslexic participants, females (n=53, 78%) outnumbered males (n=15, 22%) by more than 3 to 1. Of students</w:t>
      </w:r>
      <w:r w:rsidR="00DA006F">
        <w:rPr>
          <w:lang w:eastAsia="en-GB"/>
        </w:rPr>
        <w:t xml:space="preserve"> </w:t>
      </w:r>
      <w:r w:rsidRPr="004E595B">
        <w:rPr>
          <w:lang w:eastAsia="en-GB"/>
        </w:rPr>
        <w:t>recruited through the open invitation to all students</w:t>
      </w:r>
      <w:r w:rsidR="00DA006F">
        <w:rPr>
          <w:lang w:eastAsia="en-GB"/>
        </w:rPr>
        <w:t>,</w:t>
      </w:r>
      <w:r w:rsidRPr="004E595B">
        <w:rPr>
          <w:lang w:eastAsia="en-GB"/>
        </w:rPr>
        <w:t xml:space="preserve"> and who subsequently formed research group ND (n=98), the distribution by gender showed females (n=60</w:t>
      </w:r>
      <w:r w:rsidR="004C6F89">
        <w:rPr>
          <w:lang w:eastAsia="en-GB"/>
        </w:rPr>
        <w:t>, 61%</w:t>
      </w:r>
      <w:r w:rsidRPr="004E595B">
        <w:rPr>
          <w:lang w:eastAsia="en-GB"/>
        </w:rPr>
        <w:t>) substantially outnumber</w:t>
      </w:r>
      <w:r w:rsidR="00DA006F">
        <w:rPr>
          <w:lang w:eastAsia="en-GB"/>
        </w:rPr>
        <w:t>ed</w:t>
      </w:r>
      <w:r w:rsidRPr="004E595B">
        <w:rPr>
          <w:lang w:eastAsia="en-GB"/>
        </w:rPr>
        <w:t xml:space="preserve"> males (n=38) (39%). </w:t>
      </w:r>
    </w:p>
    <w:p w14:paraId="4FF09884" w14:textId="4EB04201" w:rsidR="00F11160" w:rsidRDefault="00F11160" w:rsidP="00F11160">
      <w:pPr>
        <w:pStyle w:val="Heading5"/>
        <w:rPr>
          <w:rFonts w:eastAsia="Times New Roman"/>
          <w:lang w:eastAsia="en-GB"/>
        </w:rPr>
      </w:pPr>
      <w:r>
        <w:rPr>
          <w:rFonts w:eastAsia="Times New Roman"/>
          <w:lang w:eastAsia="en-GB"/>
        </w:rPr>
        <w:t>Distribution by domicile</w:t>
      </w:r>
    </w:p>
    <w:p w14:paraId="3DD8D716" w14:textId="5079E8C9" w:rsidR="00F11160" w:rsidRDefault="00F11160" w:rsidP="004E595B">
      <w:pPr>
        <w:rPr>
          <w:rFonts w:eastAsia="Times New Roman"/>
          <w:lang w:eastAsia="en-GB"/>
        </w:rPr>
      </w:pPr>
      <w:r>
        <w:rPr>
          <w:rFonts w:eastAsia="Times New Roman"/>
          <w:lang w:eastAsia="en-GB"/>
        </w:rPr>
        <w:t>P</w:t>
      </w:r>
      <w:r w:rsidRPr="00F11160">
        <w:rPr>
          <w:rFonts w:eastAsia="Times New Roman"/>
          <w:lang w:eastAsia="en-GB"/>
        </w:rPr>
        <w:t>articipants were asked to declare whether they were a 'home</w:t>
      </w:r>
      <w:r w:rsidR="004C6F89">
        <w:rPr>
          <w:rFonts w:eastAsia="Times New Roman"/>
          <w:lang w:eastAsia="en-GB"/>
        </w:rPr>
        <w:t>/UK</w:t>
      </w:r>
      <w:r w:rsidRPr="00F11160">
        <w:rPr>
          <w:rFonts w:eastAsia="Times New Roman"/>
          <w:lang w:eastAsia="en-GB"/>
        </w:rPr>
        <w:t xml:space="preserve">' or an 'international/overseas' student. </w:t>
      </w:r>
      <w:r w:rsidR="004C6F89">
        <w:rPr>
          <w:rFonts w:eastAsia="Times New Roman"/>
          <w:lang w:eastAsia="en-GB"/>
        </w:rPr>
        <w:t>The majority of students in both groups were from the UK (dyslexic participants: 96%, non-dyslexic participants: 73%).</w:t>
      </w:r>
    </w:p>
    <w:p w14:paraId="5C54489A" w14:textId="2D3AC14B" w:rsidR="00F11160" w:rsidRDefault="00F11160" w:rsidP="00F11160">
      <w:pPr>
        <w:pStyle w:val="Heading5"/>
        <w:rPr>
          <w:rFonts w:eastAsia="Times New Roman"/>
          <w:lang w:eastAsia="en-GB"/>
        </w:rPr>
      </w:pPr>
      <w:r>
        <w:rPr>
          <w:rFonts w:eastAsia="Times New Roman"/>
          <w:lang w:eastAsia="en-GB"/>
        </w:rPr>
        <w:t>Distribution by study level</w:t>
      </w:r>
    </w:p>
    <w:p w14:paraId="2C6C6700" w14:textId="20CBDF4A" w:rsidR="00200C67" w:rsidRPr="00200C67" w:rsidRDefault="00200C67" w:rsidP="00200C67">
      <w:pPr>
        <w:rPr>
          <w:rFonts w:eastAsia="Times New Roman"/>
          <w:lang w:eastAsia="en-GB"/>
        </w:rPr>
      </w:pPr>
      <w:r w:rsidRPr="00200C67">
        <w:rPr>
          <w:rFonts w:eastAsia="Times New Roman"/>
          <w:lang w:eastAsia="en-GB"/>
        </w:rPr>
        <w:t>Data about level of study w</w:t>
      </w:r>
      <w:r w:rsidR="004C6F89">
        <w:rPr>
          <w:rFonts w:eastAsia="Times New Roman"/>
          <w:lang w:eastAsia="en-GB"/>
        </w:rPr>
        <w:t>ere</w:t>
      </w:r>
      <w:r w:rsidRPr="00200C67">
        <w:rPr>
          <w:rFonts w:eastAsia="Times New Roman"/>
          <w:lang w:eastAsia="en-GB"/>
        </w:rPr>
        <w:t xml:space="preserve"> collected to determine whether the datapool represented a reasonable cross-sectional match to</w:t>
      </w:r>
      <w:r w:rsidR="001574FC">
        <w:rPr>
          <w:rFonts w:eastAsia="Times New Roman"/>
          <w:lang w:eastAsia="en-GB"/>
        </w:rPr>
        <w:t xml:space="preserve"> </w:t>
      </w:r>
      <w:r w:rsidRPr="00200C67">
        <w:rPr>
          <w:rFonts w:eastAsia="Times New Roman"/>
          <w:lang w:eastAsia="en-GB"/>
        </w:rPr>
        <w:t>student</w:t>
      </w:r>
      <w:r w:rsidR="001574FC">
        <w:rPr>
          <w:rFonts w:eastAsia="Times New Roman"/>
          <w:lang w:eastAsia="en-GB"/>
        </w:rPr>
        <w:t xml:space="preserve"> communities</w:t>
      </w:r>
      <w:r w:rsidRPr="00200C67">
        <w:rPr>
          <w:rFonts w:eastAsia="Times New Roman"/>
          <w:lang w:eastAsia="en-GB"/>
        </w:rPr>
        <w:t xml:space="preserve"> attending UK universities more generally. Although a wider selection </w:t>
      </w:r>
      <w:r w:rsidR="001574FC">
        <w:rPr>
          <w:rFonts w:eastAsia="Times New Roman"/>
          <w:lang w:eastAsia="en-GB"/>
        </w:rPr>
        <w:t>was</w:t>
      </w:r>
      <w:r w:rsidRPr="00200C67">
        <w:rPr>
          <w:rFonts w:eastAsia="Times New Roman"/>
          <w:lang w:eastAsia="en-GB"/>
        </w:rPr>
        <w:t xml:space="preserve"> available in the questionnaire for participants to choose the level of study which most closely matched their own, these data were grouped as either study at up to</w:t>
      </w:r>
      <w:r w:rsidR="00DA006F">
        <w:rPr>
          <w:rFonts w:eastAsia="Times New Roman"/>
          <w:lang w:eastAsia="en-GB"/>
        </w:rPr>
        <w:t>,</w:t>
      </w:r>
      <w:r w:rsidRPr="00200C67">
        <w:rPr>
          <w:rFonts w:eastAsia="Times New Roman"/>
          <w:lang w:eastAsia="en-GB"/>
        </w:rPr>
        <w:t xml:space="preserve"> and including level 6 (equivalent to final-year undergraduate)</w:t>
      </w:r>
      <w:r w:rsidR="001574FC">
        <w:rPr>
          <w:rFonts w:eastAsia="Times New Roman"/>
          <w:lang w:eastAsia="en-GB"/>
        </w:rPr>
        <w:t>,</w:t>
      </w:r>
      <w:r w:rsidRPr="00200C67">
        <w:rPr>
          <w:rFonts w:eastAsia="Times New Roman"/>
          <w:lang w:eastAsia="en-GB"/>
        </w:rPr>
        <w:t xml:space="preserve"> or higher than level 6. Those participants who indicated study for professional or vocational qualifications were grouped with post-graduates, and that to be consistent with national levels, those studying at Foundation/Access level also include</w:t>
      </w:r>
      <w:r w:rsidR="00DA006F">
        <w:rPr>
          <w:rFonts w:eastAsia="Times New Roman"/>
          <w:lang w:eastAsia="en-GB"/>
        </w:rPr>
        <w:t>d</w:t>
      </w:r>
      <w:r w:rsidRPr="00200C67">
        <w:rPr>
          <w:rFonts w:eastAsia="Times New Roman"/>
          <w:lang w:eastAsia="en-GB"/>
        </w:rPr>
        <w:t xml:space="preserve"> those studying at pre-level 4 (pre-1st year undergraduate). National data for 2016/17 (HESA, 2018)</w:t>
      </w:r>
      <w:r w:rsidR="00DA006F">
        <w:rPr>
          <w:rFonts w:eastAsia="Times New Roman"/>
          <w:lang w:eastAsia="en-GB"/>
        </w:rPr>
        <w:t xml:space="preserve"> </w:t>
      </w:r>
      <w:r w:rsidRPr="00200C67">
        <w:rPr>
          <w:rFonts w:eastAsia="Times New Roman"/>
          <w:lang w:eastAsia="en-GB"/>
        </w:rPr>
        <w:t xml:space="preserve">showed that 54% of the UK student population were undergraduates, 12% were attending Foundation or Access courses, 31% were studying </w:t>
      </w:r>
      <w:r w:rsidRPr="00200C67">
        <w:rPr>
          <w:rFonts w:eastAsia="Times New Roman"/>
          <w:lang w:eastAsia="en-GB"/>
        </w:rPr>
        <w:lastRenderedPageBreak/>
        <w:t>on post-graduate taught programmes and 3% were post-graduate researchers. Hence, where study at level 6 or lower accounted for 66% of the student population nationally, undergraduate respondents in this study (n=124, 75%) are slightly over-represented, and that the proportion studying at post-graduate level is under-represented (n=42, 25%).</w:t>
      </w:r>
    </w:p>
    <w:p w14:paraId="24FFB519" w14:textId="4C07BC85" w:rsidR="007B0625" w:rsidRDefault="007B0625" w:rsidP="007B0625">
      <w:pPr>
        <w:sectPr w:rsidR="007B0625" w:rsidSect="00A2665A">
          <w:headerReference w:type="default" r:id="rId42"/>
          <w:type w:val="continuous"/>
          <w:pgSz w:w="11906" w:h="16838"/>
          <w:pgMar w:top="720" w:right="964" w:bottom="720" w:left="2268" w:header="708" w:footer="708" w:gutter="0"/>
          <w:cols w:space="708"/>
          <w:docGrid w:linePitch="360"/>
        </w:sectPr>
      </w:pPr>
    </w:p>
    <w:p w14:paraId="00D35880" w14:textId="77777777" w:rsidR="007B0625" w:rsidRDefault="007B0625" w:rsidP="007B0625">
      <w:pPr>
        <w:pStyle w:val="Tables"/>
      </w:pPr>
    </w:p>
    <w:tbl>
      <w:tblPr>
        <w:tblStyle w:val="GridTable1Light-Accent1"/>
        <w:tblW w:w="0" w:type="auto"/>
        <w:jc w:val="center"/>
        <w:tblLook w:val="04A0" w:firstRow="1" w:lastRow="0" w:firstColumn="1" w:lastColumn="0" w:noHBand="0" w:noVBand="1"/>
      </w:tblPr>
      <w:tblGrid>
        <w:gridCol w:w="1538"/>
        <w:gridCol w:w="1538"/>
        <w:gridCol w:w="1539"/>
        <w:gridCol w:w="1539"/>
        <w:gridCol w:w="1539"/>
        <w:gridCol w:w="1539"/>
        <w:gridCol w:w="1539"/>
        <w:gridCol w:w="1539"/>
        <w:gridCol w:w="1539"/>
      </w:tblGrid>
      <w:tr w:rsidR="007B0625" w:rsidRPr="00490004" w14:paraId="17343C62" w14:textId="77777777" w:rsidTr="007B0625">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538" w:type="dxa"/>
            <w:vAlign w:val="center"/>
          </w:tcPr>
          <w:p w14:paraId="46F6E6DD" w14:textId="77777777" w:rsidR="007B0625" w:rsidRPr="00490004" w:rsidRDefault="007B0625" w:rsidP="007B0625">
            <w:pPr>
              <w:spacing w:before="0" w:after="0" w:line="276" w:lineRule="auto"/>
              <w:jc w:val="center"/>
              <w:rPr>
                <w:rFonts w:ascii="Gill Sans MT" w:hAnsi="Gill Sans MT"/>
                <w:sz w:val="18"/>
                <w:szCs w:val="18"/>
              </w:rPr>
            </w:pPr>
            <w:r w:rsidRPr="00490004">
              <w:rPr>
                <w:rFonts w:ascii="Gill Sans MT" w:hAnsi="Gill Sans MT"/>
                <w:sz w:val="18"/>
                <w:szCs w:val="18"/>
              </w:rPr>
              <w:t>Datapool</w:t>
            </w:r>
          </w:p>
        </w:tc>
        <w:tc>
          <w:tcPr>
            <w:tcW w:w="3077" w:type="dxa"/>
            <w:gridSpan w:val="2"/>
            <w:vAlign w:val="center"/>
          </w:tcPr>
          <w:p w14:paraId="09038741" w14:textId="77777777" w:rsidR="007B0625" w:rsidRPr="00490004" w:rsidRDefault="007B0625" w:rsidP="007B0625">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Dyslexia status</w:t>
            </w:r>
          </w:p>
        </w:tc>
        <w:tc>
          <w:tcPr>
            <w:tcW w:w="3078" w:type="dxa"/>
            <w:gridSpan w:val="2"/>
            <w:vAlign w:val="center"/>
          </w:tcPr>
          <w:p w14:paraId="676874D2" w14:textId="77777777" w:rsidR="007B0625" w:rsidRPr="00490004" w:rsidRDefault="007B0625" w:rsidP="007B0625">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Home domicile</w:t>
            </w:r>
          </w:p>
        </w:tc>
        <w:tc>
          <w:tcPr>
            <w:tcW w:w="3078" w:type="dxa"/>
            <w:gridSpan w:val="2"/>
            <w:vAlign w:val="center"/>
          </w:tcPr>
          <w:p w14:paraId="2D567C93" w14:textId="77777777" w:rsidR="007B0625" w:rsidRPr="00490004" w:rsidRDefault="007B0625" w:rsidP="007B0625">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Gender</w:t>
            </w:r>
          </w:p>
        </w:tc>
        <w:tc>
          <w:tcPr>
            <w:tcW w:w="3078" w:type="dxa"/>
            <w:gridSpan w:val="2"/>
            <w:vAlign w:val="center"/>
          </w:tcPr>
          <w:p w14:paraId="69F5D689" w14:textId="77777777" w:rsidR="007B0625" w:rsidRPr="00490004" w:rsidRDefault="007B0625" w:rsidP="007B0625">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Study level</w:t>
            </w:r>
            <w:r w:rsidRPr="00490004">
              <w:rPr>
                <w:rFonts w:ascii="Gill Sans MT" w:hAnsi="Gill Sans MT"/>
                <w:b w:val="0"/>
                <w:sz w:val="18"/>
                <w:szCs w:val="18"/>
                <w:vertAlign w:val="superscript"/>
              </w:rPr>
              <w:t>‡</w:t>
            </w:r>
          </w:p>
        </w:tc>
      </w:tr>
      <w:tr w:rsidR="007B0625" w:rsidRPr="00490004" w14:paraId="70AAD854"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Align w:val="center"/>
          </w:tcPr>
          <w:p w14:paraId="49FD43AF" w14:textId="77777777" w:rsidR="007B0625" w:rsidRPr="00490004" w:rsidRDefault="007B0625" w:rsidP="007B0625">
            <w:pPr>
              <w:spacing w:before="0" w:after="0" w:line="276" w:lineRule="auto"/>
              <w:jc w:val="center"/>
              <w:rPr>
                <w:rFonts w:ascii="Gill Sans MT" w:hAnsi="Gill Sans MT"/>
                <w:sz w:val="18"/>
                <w:szCs w:val="18"/>
              </w:rPr>
            </w:pPr>
          </w:p>
        </w:tc>
        <w:tc>
          <w:tcPr>
            <w:tcW w:w="1538" w:type="dxa"/>
            <w:vAlign w:val="center"/>
          </w:tcPr>
          <w:p w14:paraId="141A6060"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Dyslexic</w:t>
            </w:r>
          </w:p>
        </w:tc>
        <w:tc>
          <w:tcPr>
            <w:tcW w:w="1539" w:type="dxa"/>
            <w:vAlign w:val="center"/>
          </w:tcPr>
          <w:p w14:paraId="52F00782"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Non-Dyslexic</w:t>
            </w:r>
          </w:p>
        </w:tc>
        <w:tc>
          <w:tcPr>
            <w:tcW w:w="1539" w:type="dxa"/>
            <w:vAlign w:val="center"/>
          </w:tcPr>
          <w:p w14:paraId="5D5CEEC0"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UK</w:t>
            </w:r>
          </w:p>
        </w:tc>
        <w:tc>
          <w:tcPr>
            <w:tcW w:w="1539" w:type="dxa"/>
            <w:vAlign w:val="center"/>
          </w:tcPr>
          <w:p w14:paraId="51402480"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Non-UK</w:t>
            </w:r>
          </w:p>
        </w:tc>
        <w:tc>
          <w:tcPr>
            <w:tcW w:w="1539" w:type="dxa"/>
            <w:vAlign w:val="center"/>
          </w:tcPr>
          <w:p w14:paraId="24C519CB"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M</w:t>
            </w:r>
          </w:p>
        </w:tc>
        <w:tc>
          <w:tcPr>
            <w:tcW w:w="1539" w:type="dxa"/>
            <w:vAlign w:val="center"/>
          </w:tcPr>
          <w:p w14:paraId="387B4BAD"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F</w:t>
            </w:r>
          </w:p>
        </w:tc>
        <w:tc>
          <w:tcPr>
            <w:tcW w:w="1539" w:type="dxa"/>
            <w:vAlign w:val="center"/>
          </w:tcPr>
          <w:p w14:paraId="6D12F7E6"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 L6</w:t>
            </w:r>
          </w:p>
        </w:tc>
        <w:tc>
          <w:tcPr>
            <w:tcW w:w="1539" w:type="dxa"/>
            <w:vAlign w:val="center"/>
          </w:tcPr>
          <w:p w14:paraId="0BBD1A69"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 xml:space="preserve"> &gt; L6</w:t>
            </w:r>
          </w:p>
        </w:tc>
      </w:tr>
      <w:tr w:rsidR="007B0625" w:rsidRPr="00490004" w14:paraId="1D919FEF"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restart"/>
            <w:vAlign w:val="center"/>
          </w:tcPr>
          <w:p w14:paraId="6539F278" w14:textId="77777777" w:rsidR="007B0625" w:rsidRPr="00490004" w:rsidRDefault="007B0625" w:rsidP="007B0625">
            <w:pPr>
              <w:spacing w:before="0" w:after="0" w:line="276" w:lineRule="auto"/>
              <w:jc w:val="center"/>
              <w:rPr>
                <w:rFonts w:ascii="Gill Sans MT" w:hAnsi="Gill Sans MT"/>
                <w:sz w:val="18"/>
                <w:szCs w:val="18"/>
              </w:rPr>
            </w:pPr>
            <w:r w:rsidRPr="00490004">
              <w:rPr>
                <w:rFonts w:ascii="Gill Sans MT" w:hAnsi="Gill Sans MT"/>
                <w:sz w:val="18"/>
                <w:szCs w:val="18"/>
              </w:rPr>
              <w:t>166</w:t>
            </w:r>
          </w:p>
        </w:tc>
        <w:tc>
          <w:tcPr>
            <w:tcW w:w="1538" w:type="dxa"/>
            <w:vMerge w:val="restart"/>
            <w:vAlign w:val="center"/>
          </w:tcPr>
          <w:p w14:paraId="7B17CB6B"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68</w:t>
            </w:r>
          </w:p>
        </w:tc>
        <w:tc>
          <w:tcPr>
            <w:tcW w:w="1539" w:type="dxa"/>
            <w:vMerge w:val="restart"/>
            <w:vAlign w:val="center"/>
          </w:tcPr>
          <w:p w14:paraId="5AE3C24D"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w:t>
            </w:r>
          </w:p>
        </w:tc>
        <w:tc>
          <w:tcPr>
            <w:tcW w:w="1539" w:type="dxa"/>
            <w:vMerge w:val="restart"/>
            <w:vAlign w:val="center"/>
          </w:tcPr>
          <w:p w14:paraId="6EA1FCAE"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65</w:t>
            </w:r>
          </w:p>
        </w:tc>
        <w:tc>
          <w:tcPr>
            <w:tcW w:w="1539" w:type="dxa"/>
            <w:vMerge w:val="restart"/>
            <w:vAlign w:val="center"/>
          </w:tcPr>
          <w:p w14:paraId="576790F3"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w:t>
            </w:r>
          </w:p>
        </w:tc>
        <w:tc>
          <w:tcPr>
            <w:tcW w:w="1539" w:type="dxa"/>
            <w:vAlign w:val="center"/>
          </w:tcPr>
          <w:p w14:paraId="3B30B04A"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15</w:t>
            </w:r>
          </w:p>
        </w:tc>
        <w:tc>
          <w:tcPr>
            <w:tcW w:w="1539" w:type="dxa"/>
            <w:vAlign w:val="center"/>
          </w:tcPr>
          <w:p w14:paraId="55E7E3F1"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w:t>
            </w:r>
          </w:p>
        </w:tc>
        <w:tc>
          <w:tcPr>
            <w:tcW w:w="1539" w:type="dxa"/>
            <w:vAlign w:val="center"/>
          </w:tcPr>
          <w:p w14:paraId="3C208552"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9</w:t>
            </w:r>
          </w:p>
        </w:tc>
        <w:tc>
          <w:tcPr>
            <w:tcW w:w="1539" w:type="dxa"/>
            <w:vAlign w:val="center"/>
          </w:tcPr>
          <w:p w14:paraId="46A75C6D"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5*</w:t>
            </w:r>
          </w:p>
        </w:tc>
      </w:tr>
      <w:tr w:rsidR="007B0625" w:rsidRPr="00490004" w14:paraId="097FE525"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ign w:val="center"/>
          </w:tcPr>
          <w:p w14:paraId="76B16199" w14:textId="77777777" w:rsidR="007B0625" w:rsidRPr="00490004" w:rsidRDefault="007B0625" w:rsidP="007B0625">
            <w:pPr>
              <w:spacing w:before="0" w:after="0" w:line="276" w:lineRule="auto"/>
              <w:jc w:val="center"/>
              <w:rPr>
                <w:rFonts w:ascii="Gill Sans MT" w:hAnsi="Gill Sans MT"/>
                <w:sz w:val="18"/>
                <w:szCs w:val="18"/>
              </w:rPr>
            </w:pPr>
          </w:p>
        </w:tc>
        <w:tc>
          <w:tcPr>
            <w:tcW w:w="1538" w:type="dxa"/>
            <w:vMerge/>
            <w:vAlign w:val="center"/>
          </w:tcPr>
          <w:p w14:paraId="0DFA1941"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4EA79107"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0D739F26"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27AD33F9"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Align w:val="center"/>
          </w:tcPr>
          <w:p w14:paraId="3AAF8FA7"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w:t>
            </w:r>
          </w:p>
        </w:tc>
        <w:tc>
          <w:tcPr>
            <w:tcW w:w="1539" w:type="dxa"/>
            <w:vAlign w:val="center"/>
          </w:tcPr>
          <w:p w14:paraId="7C26DC58"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50</w:t>
            </w:r>
          </w:p>
        </w:tc>
        <w:tc>
          <w:tcPr>
            <w:tcW w:w="1539" w:type="dxa"/>
            <w:vAlign w:val="center"/>
          </w:tcPr>
          <w:p w14:paraId="79E024A2"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42</w:t>
            </w:r>
          </w:p>
        </w:tc>
        <w:tc>
          <w:tcPr>
            <w:tcW w:w="1539" w:type="dxa"/>
            <w:vAlign w:val="center"/>
          </w:tcPr>
          <w:p w14:paraId="26EA670B"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7*</w:t>
            </w:r>
          </w:p>
        </w:tc>
      </w:tr>
      <w:tr w:rsidR="007B0625" w:rsidRPr="00490004" w14:paraId="73D56925"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ign w:val="center"/>
          </w:tcPr>
          <w:p w14:paraId="0A866F3F" w14:textId="77777777" w:rsidR="007B0625" w:rsidRPr="00490004" w:rsidRDefault="007B0625" w:rsidP="007B0625">
            <w:pPr>
              <w:spacing w:before="0" w:after="0" w:line="276" w:lineRule="auto"/>
              <w:jc w:val="center"/>
              <w:rPr>
                <w:rFonts w:ascii="Gill Sans MT" w:hAnsi="Gill Sans MT"/>
                <w:sz w:val="18"/>
                <w:szCs w:val="18"/>
              </w:rPr>
            </w:pPr>
          </w:p>
        </w:tc>
        <w:tc>
          <w:tcPr>
            <w:tcW w:w="1538" w:type="dxa"/>
            <w:vMerge/>
            <w:vAlign w:val="center"/>
          </w:tcPr>
          <w:p w14:paraId="62667D35"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10DE325F"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restart"/>
            <w:vAlign w:val="center"/>
          </w:tcPr>
          <w:p w14:paraId="373F315E"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w:t>
            </w:r>
          </w:p>
        </w:tc>
        <w:tc>
          <w:tcPr>
            <w:tcW w:w="1539" w:type="dxa"/>
            <w:vMerge w:val="restart"/>
            <w:vAlign w:val="center"/>
          </w:tcPr>
          <w:p w14:paraId="0E55A83C"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3</w:t>
            </w:r>
          </w:p>
        </w:tc>
        <w:tc>
          <w:tcPr>
            <w:tcW w:w="1539" w:type="dxa"/>
            <w:vAlign w:val="center"/>
          </w:tcPr>
          <w:p w14:paraId="0723CB69"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0</w:t>
            </w:r>
          </w:p>
        </w:tc>
        <w:tc>
          <w:tcPr>
            <w:tcW w:w="1539" w:type="dxa"/>
            <w:vAlign w:val="center"/>
          </w:tcPr>
          <w:p w14:paraId="033F24CF"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w:t>
            </w:r>
          </w:p>
        </w:tc>
        <w:tc>
          <w:tcPr>
            <w:tcW w:w="1539" w:type="dxa"/>
            <w:vAlign w:val="center"/>
          </w:tcPr>
          <w:p w14:paraId="2873CC61"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0</w:t>
            </w:r>
          </w:p>
        </w:tc>
        <w:tc>
          <w:tcPr>
            <w:tcW w:w="1539" w:type="dxa"/>
            <w:vAlign w:val="center"/>
          </w:tcPr>
          <w:p w14:paraId="7D745B09"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0</w:t>
            </w:r>
          </w:p>
        </w:tc>
      </w:tr>
      <w:tr w:rsidR="007B0625" w:rsidRPr="00490004" w14:paraId="4DE5DA19"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ign w:val="center"/>
          </w:tcPr>
          <w:p w14:paraId="5D2F9A77" w14:textId="77777777" w:rsidR="007B0625" w:rsidRPr="00490004" w:rsidRDefault="007B0625" w:rsidP="007B0625">
            <w:pPr>
              <w:spacing w:before="0" w:after="0" w:line="276" w:lineRule="auto"/>
              <w:jc w:val="center"/>
              <w:rPr>
                <w:rFonts w:ascii="Gill Sans MT" w:hAnsi="Gill Sans MT"/>
                <w:sz w:val="18"/>
                <w:szCs w:val="18"/>
              </w:rPr>
            </w:pPr>
          </w:p>
        </w:tc>
        <w:tc>
          <w:tcPr>
            <w:tcW w:w="1538" w:type="dxa"/>
            <w:vMerge/>
            <w:vAlign w:val="center"/>
          </w:tcPr>
          <w:p w14:paraId="0645A1F9"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38637FA9"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5C2544B1"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1CC93363"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Align w:val="center"/>
          </w:tcPr>
          <w:p w14:paraId="6DC524D2"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w:t>
            </w:r>
          </w:p>
        </w:tc>
        <w:tc>
          <w:tcPr>
            <w:tcW w:w="1539" w:type="dxa"/>
            <w:vAlign w:val="center"/>
          </w:tcPr>
          <w:p w14:paraId="3F226D8C"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3</w:t>
            </w:r>
          </w:p>
        </w:tc>
        <w:tc>
          <w:tcPr>
            <w:tcW w:w="1539" w:type="dxa"/>
            <w:vAlign w:val="center"/>
          </w:tcPr>
          <w:p w14:paraId="26D16502"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0</w:t>
            </w:r>
          </w:p>
        </w:tc>
        <w:tc>
          <w:tcPr>
            <w:tcW w:w="1539" w:type="dxa"/>
            <w:vAlign w:val="center"/>
          </w:tcPr>
          <w:p w14:paraId="4A1CCCB3"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3</w:t>
            </w:r>
          </w:p>
        </w:tc>
      </w:tr>
      <w:tr w:rsidR="007B0625" w:rsidRPr="00490004" w14:paraId="4E21A692"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ign w:val="center"/>
          </w:tcPr>
          <w:p w14:paraId="05ECE094" w14:textId="77777777" w:rsidR="007B0625" w:rsidRPr="00490004" w:rsidRDefault="007B0625" w:rsidP="007B0625">
            <w:pPr>
              <w:spacing w:before="0" w:after="0" w:line="276" w:lineRule="auto"/>
              <w:jc w:val="center"/>
              <w:rPr>
                <w:rFonts w:ascii="Gill Sans MT" w:hAnsi="Gill Sans MT"/>
                <w:sz w:val="18"/>
                <w:szCs w:val="18"/>
              </w:rPr>
            </w:pPr>
          </w:p>
        </w:tc>
        <w:tc>
          <w:tcPr>
            <w:tcW w:w="12311" w:type="dxa"/>
            <w:gridSpan w:val="8"/>
            <w:vAlign w:val="center"/>
          </w:tcPr>
          <w:p w14:paraId="6B704C07"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7B0625" w:rsidRPr="00490004" w14:paraId="030CABCD"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ign w:val="center"/>
          </w:tcPr>
          <w:p w14:paraId="7C001CF5" w14:textId="77777777" w:rsidR="007B0625" w:rsidRPr="00490004" w:rsidRDefault="007B0625" w:rsidP="007B0625">
            <w:pPr>
              <w:spacing w:before="0" w:after="0" w:line="276" w:lineRule="auto"/>
              <w:jc w:val="center"/>
              <w:rPr>
                <w:rFonts w:ascii="Gill Sans MT" w:hAnsi="Gill Sans MT"/>
                <w:sz w:val="18"/>
                <w:szCs w:val="18"/>
              </w:rPr>
            </w:pPr>
          </w:p>
        </w:tc>
        <w:tc>
          <w:tcPr>
            <w:tcW w:w="1538" w:type="dxa"/>
            <w:vMerge w:val="restart"/>
            <w:vAlign w:val="center"/>
          </w:tcPr>
          <w:p w14:paraId="2B63CEC1"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w:t>
            </w:r>
          </w:p>
        </w:tc>
        <w:tc>
          <w:tcPr>
            <w:tcW w:w="1539" w:type="dxa"/>
            <w:vMerge w:val="restart"/>
            <w:vAlign w:val="center"/>
          </w:tcPr>
          <w:p w14:paraId="2EFF7D62"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98</w:t>
            </w:r>
          </w:p>
        </w:tc>
        <w:tc>
          <w:tcPr>
            <w:tcW w:w="1539" w:type="dxa"/>
            <w:vMerge w:val="restart"/>
            <w:vAlign w:val="center"/>
          </w:tcPr>
          <w:p w14:paraId="1A79E614"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72</w:t>
            </w:r>
          </w:p>
        </w:tc>
        <w:tc>
          <w:tcPr>
            <w:tcW w:w="1539" w:type="dxa"/>
            <w:vMerge w:val="restart"/>
            <w:vAlign w:val="center"/>
          </w:tcPr>
          <w:p w14:paraId="517C6010"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w:t>
            </w:r>
          </w:p>
        </w:tc>
        <w:tc>
          <w:tcPr>
            <w:tcW w:w="1539" w:type="dxa"/>
            <w:vAlign w:val="center"/>
          </w:tcPr>
          <w:p w14:paraId="2B7E14A3"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29</w:t>
            </w:r>
          </w:p>
        </w:tc>
        <w:tc>
          <w:tcPr>
            <w:tcW w:w="1539" w:type="dxa"/>
            <w:vAlign w:val="center"/>
          </w:tcPr>
          <w:p w14:paraId="1EEA8E5A"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w:t>
            </w:r>
          </w:p>
        </w:tc>
        <w:tc>
          <w:tcPr>
            <w:tcW w:w="1539" w:type="dxa"/>
            <w:vAlign w:val="center"/>
          </w:tcPr>
          <w:p w14:paraId="2763E412"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23</w:t>
            </w:r>
          </w:p>
        </w:tc>
        <w:tc>
          <w:tcPr>
            <w:tcW w:w="1539" w:type="dxa"/>
            <w:vAlign w:val="center"/>
          </w:tcPr>
          <w:p w14:paraId="3E31440E"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6</w:t>
            </w:r>
          </w:p>
        </w:tc>
      </w:tr>
      <w:tr w:rsidR="007B0625" w:rsidRPr="00490004" w14:paraId="2C194072"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ign w:val="center"/>
          </w:tcPr>
          <w:p w14:paraId="18277B5E" w14:textId="77777777" w:rsidR="007B0625" w:rsidRPr="00490004" w:rsidRDefault="007B0625" w:rsidP="007B0625">
            <w:pPr>
              <w:spacing w:before="0" w:after="0" w:line="276" w:lineRule="auto"/>
              <w:jc w:val="center"/>
              <w:rPr>
                <w:rFonts w:ascii="Gill Sans MT" w:hAnsi="Gill Sans MT"/>
                <w:sz w:val="18"/>
                <w:szCs w:val="18"/>
              </w:rPr>
            </w:pPr>
          </w:p>
        </w:tc>
        <w:tc>
          <w:tcPr>
            <w:tcW w:w="1538" w:type="dxa"/>
            <w:vMerge/>
            <w:vAlign w:val="center"/>
          </w:tcPr>
          <w:p w14:paraId="3DB478DA"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4F8D1A69"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733B1877"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3D2683C4"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Align w:val="center"/>
          </w:tcPr>
          <w:p w14:paraId="0999DDD5"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Align w:val="center"/>
          </w:tcPr>
          <w:p w14:paraId="6EDFEFDF"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43</w:t>
            </w:r>
          </w:p>
        </w:tc>
        <w:tc>
          <w:tcPr>
            <w:tcW w:w="1539" w:type="dxa"/>
            <w:vAlign w:val="center"/>
          </w:tcPr>
          <w:p w14:paraId="20022065"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34</w:t>
            </w:r>
          </w:p>
        </w:tc>
        <w:tc>
          <w:tcPr>
            <w:tcW w:w="1539" w:type="dxa"/>
            <w:vAlign w:val="center"/>
          </w:tcPr>
          <w:p w14:paraId="0CA18934"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8</w:t>
            </w:r>
            <w:r w:rsidRPr="00490004">
              <w:rPr>
                <w:rFonts w:ascii="Segoe UI Symbol" w:hAnsi="Segoe UI Symbol" w:cs="Segoe UI Symbol"/>
                <w:sz w:val="18"/>
                <w:szCs w:val="18"/>
                <w:vertAlign w:val="superscript"/>
              </w:rPr>
              <w:t>✟</w:t>
            </w:r>
          </w:p>
        </w:tc>
      </w:tr>
      <w:tr w:rsidR="007B0625" w:rsidRPr="00490004" w14:paraId="26EF9727"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ign w:val="center"/>
          </w:tcPr>
          <w:p w14:paraId="5FCA23DD" w14:textId="77777777" w:rsidR="007B0625" w:rsidRPr="00490004" w:rsidRDefault="007B0625" w:rsidP="007B0625">
            <w:pPr>
              <w:spacing w:before="0" w:after="0" w:line="276" w:lineRule="auto"/>
              <w:jc w:val="center"/>
              <w:rPr>
                <w:rFonts w:ascii="Gill Sans MT" w:hAnsi="Gill Sans MT"/>
                <w:sz w:val="18"/>
                <w:szCs w:val="18"/>
              </w:rPr>
            </w:pPr>
          </w:p>
        </w:tc>
        <w:tc>
          <w:tcPr>
            <w:tcW w:w="1538" w:type="dxa"/>
            <w:vMerge/>
            <w:vAlign w:val="center"/>
          </w:tcPr>
          <w:p w14:paraId="68CEB5F1"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5D26C487"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restart"/>
            <w:vAlign w:val="center"/>
          </w:tcPr>
          <w:p w14:paraId="334E510D"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w:t>
            </w:r>
          </w:p>
        </w:tc>
        <w:tc>
          <w:tcPr>
            <w:tcW w:w="1539" w:type="dxa"/>
            <w:vMerge w:val="restart"/>
            <w:vAlign w:val="center"/>
          </w:tcPr>
          <w:p w14:paraId="5E8829AD"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26</w:t>
            </w:r>
          </w:p>
        </w:tc>
        <w:tc>
          <w:tcPr>
            <w:tcW w:w="1539" w:type="dxa"/>
            <w:vAlign w:val="center"/>
          </w:tcPr>
          <w:p w14:paraId="28B3B667"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9</w:t>
            </w:r>
          </w:p>
        </w:tc>
        <w:tc>
          <w:tcPr>
            <w:tcW w:w="1539" w:type="dxa"/>
            <w:vAlign w:val="center"/>
          </w:tcPr>
          <w:p w14:paraId="11695E1E"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w:t>
            </w:r>
          </w:p>
        </w:tc>
        <w:tc>
          <w:tcPr>
            <w:tcW w:w="1539" w:type="dxa"/>
            <w:vAlign w:val="center"/>
          </w:tcPr>
          <w:p w14:paraId="124C706E"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8</w:t>
            </w:r>
          </w:p>
        </w:tc>
        <w:tc>
          <w:tcPr>
            <w:tcW w:w="1539" w:type="dxa"/>
            <w:vAlign w:val="center"/>
          </w:tcPr>
          <w:p w14:paraId="1981E309"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1</w:t>
            </w:r>
          </w:p>
        </w:tc>
      </w:tr>
      <w:tr w:rsidR="007B0625" w:rsidRPr="00490004" w14:paraId="1A49ADC5"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ign w:val="center"/>
          </w:tcPr>
          <w:p w14:paraId="50868690" w14:textId="77777777" w:rsidR="007B0625" w:rsidRPr="00490004" w:rsidRDefault="007B0625" w:rsidP="007B0625">
            <w:pPr>
              <w:spacing w:before="0" w:after="0" w:line="276" w:lineRule="auto"/>
              <w:jc w:val="center"/>
              <w:rPr>
                <w:rFonts w:ascii="Gill Sans MT" w:hAnsi="Gill Sans MT"/>
                <w:sz w:val="18"/>
                <w:szCs w:val="18"/>
              </w:rPr>
            </w:pPr>
          </w:p>
        </w:tc>
        <w:tc>
          <w:tcPr>
            <w:tcW w:w="1538" w:type="dxa"/>
            <w:vMerge/>
            <w:vAlign w:val="center"/>
          </w:tcPr>
          <w:p w14:paraId="53E52285"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186A2ADA"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3BFA9B34"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1820E19A"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Align w:val="center"/>
          </w:tcPr>
          <w:p w14:paraId="407B7DE7"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w:t>
            </w:r>
          </w:p>
        </w:tc>
        <w:tc>
          <w:tcPr>
            <w:tcW w:w="1539" w:type="dxa"/>
            <w:vAlign w:val="center"/>
          </w:tcPr>
          <w:p w14:paraId="5C99E028"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17</w:t>
            </w:r>
          </w:p>
        </w:tc>
        <w:tc>
          <w:tcPr>
            <w:tcW w:w="1539" w:type="dxa"/>
            <w:vAlign w:val="center"/>
          </w:tcPr>
          <w:p w14:paraId="16394530"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8</w:t>
            </w:r>
          </w:p>
        </w:tc>
        <w:tc>
          <w:tcPr>
            <w:tcW w:w="1539" w:type="dxa"/>
            <w:vAlign w:val="center"/>
          </w:tcPr>
          <w:p w14:paraId="2E1FF012"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9</w:t>
            </w:r>
          </w:p>
        </w:tc>
      </w:tr>
      <w:tr w:rsidR="007B0625" w:rsidRPr="00490004" w14:paraId="772CD56C"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Align w:val="center"/>
          </w:tcPr>
          <w:p w14:paraId="179C2022" w14:textId="77777777" w:rsidR="007B0625" w:rsidRPr="00490004" w:rsidRDefault="007B0625" w:rsidP="007B0625">
            <w:pPr>
              <w:spacing w:before="0" w:after="0" w:line="276" w:lineRule="auto"/>
              <w:jc w:val="center"/>
              <w:rPr>
                <w:rFonts w:ascii="Gill Sans MT" w:hAnsi="Gill Sans MT"/>
                <w:sz w:val="18"/>
                <w:szCs w:val="18"/>
              </w:rPr>
            </w:pPr>
          </w:p>
        </w:tc>
        <w:tc>
          <w:tcPr>
            <w:tcW w:w="1538" w:type="dxa"/>
            <w:vAlign w:val="center"/>
          </w:tcPr>
          <w:p w14:paraId="5B89695A"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Align w:val="center"/>
          </w:tcPr>
          <w:p w14:paraId="419B99F5"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Align w:val="center"/>
          </w:tcPr>
          <w:p w14:paraId="096E13F0"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Align w:val="center"/>
          </w:tcPr>
          <w:p w14:paraId="5EFFA00C"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Align w:val="center"/>
          </w:tcPr>
          <w:p w14:paraId="0FABDF9A"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Align w:val="center"/>
          </w:tcPr>
          <w:p w14:paraId="4FADD85B"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Align w:val="center"/>
          </w:tcPr>
          <w:p w14:paraId="5B520ADA"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Align w:val="center"/>
          </w:tcPr>
          <w:p w14:paraId="75772755"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7B0625" w:rsidRPr="00490004" w14:paraId="49822A73"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Align w:val="center"/>
          </w:tcPr>
          <w:p w14:paraId="0E047FA8" w14:textId="77777777" w:rsidR="007B0625" w:rsidRPr="00490004" w:rsidRDefault="007B0625" w:rsidP="007B0625">
            <w:pPr>
              <w:spacing w:before="0" w:after="0" w:line="276" w:lineRule="auto"/>
              <w:jc w:val="center"/>
              <w:rPr>
                <w:rFonts w:ascii="Gill Sans MT" w:hAnsi="Gill Sans MT"/>
                <w:b w:val="0"/>
                <w:i/>
                <w:sz w:val="18"/>
                <w:szCs w:val="18"/>
              </w:rPr>
            </w:pPr>
            <w:r w:rsidRPr="00490004">
              <w:rPr>
                <w:rFonts w:ascii="Gill Sans MT" w:hAnsi="Gill Sans MT"/>
                <w:b w:val="0"/>
                <w:i/>
                <w:sz w:val="18"/>
                <w:szCs w:val="18"/>
              </w:rPr>
              <w:t>subtotals</w:t>
            </w:r>
          </w:p>
        </w:tc>
        <w:tc>
          <w:tcPr>
            <w:tcW w:w="1538" w:type="dxa"/>
            <w:vAlign w:val="center"/>
          </w:tcPr>
          <w:p w14:paraId="5DA20767"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68</w:t>
            </w:r>
          </w:p>
        </w:tc>
        <w:tc>
          <w:tcPr>
            <w:tcW w:w="1539" w:type="dxa"/>
            <w:vAlign w:val="center"/>
          </w:tcPr>
          <w:p w14:paraId="2C02DD2D"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98</w:t>
            </w:r>
          </w:p>
        </w:tc>
        <w:tc>
          <w:tcPr>
            <w:tcW w:w="1539" w:type="dxa"/>
            <w:vAlign w:val="center"/>
          </w:tcPr>
          <w:p w14:paraId="04EBCA43"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137</w:t>
            </w:r>
          </w:p>
        </w:tc>
        <w:tc>
          <w:tcPr>
            <w:tcW w:w="1539" w:type="dxa"/>
            <w:vAlign w:val="center"/>
          </w:tcPr>
          <w:p w14:paraId="64BB27AE"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29</w:t>
            </w:r>
          </w:p>
        </w:tc>
        <w:tc>
          <w:tcPr>
            <w:tcW w:w="1539" w:type="dxa"/>
            <w:vAlign w:val="center"/>
          </w:tcPr>
          <w:p w14:paraId="7AEE3904"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53</w:t>
            </w:r>
          </w:p>
        </w:tc>
        <w:tc>
          <w:tcPr>
            <w:tcW w:w="1539" w:type="dxa"/>
            <w:vAlign w:val="center"/>
          </w:tcPr>
          <w:p w14:paraId="200E437E"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113</w:t>
            </w:r>
          </w:p>
        </w:tc>
        <w:tc>
          <w:tcPr>
            <w:tcW w:w="1539" w:type="dxa"/>
            <w:vAlign w:val="center"/>
          </w:tcPr>
          <w:p w14:paraId="5E40081F"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124</w:t>
            </w:r>
          </w:p>
        </w:tc>
        <w:tc>
          <w:tcPr>
            <w:tcW w:w="1539" w:type="dxa"/>
            <w:vAlign w:val="center"/>
          </w:tcPr>
          <w:p w14:paraId="598474D0" w14:textId="383D9CC3"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39</w:t>
            </w:r>
            <w:r w:rsidR="00F11160">
              <w:rPr>
                <w:rFonts w:ascii="Gill Sans MT" w:hAnsi="Gill Sans MT"/>
                <w:sz w:val="18"/>
                <w:szCs w:val="18"/>
              </w:rPr>
              <w:t xml:space="preserve"> </w:t>
            </w:r>
            <w:r w:rsidR="00F11160" w:rsidRPr="00200C67">
              <w:rPr>
                <w:rFonts w:ascii="Gill Sans MT" w:hAnsi="Gill Sans MT"/>
                <w:sz w:val="16"/>
                <w:szCs w:val="16"/>
              </w:rPr>
              <w:t xml:space="preserve">(42, see </w:t>
            </w:r>
            <w:r w:rsidR="00200C67" w:rsidRPr="00200C67">
              <w:rPr>
                <w:rFonts w:ascii="Gill Sans MT" w:hAnsi="Gill Sans MT"/>
                <w:sz w:val="16"/>
                <w:szCs w:val="16"/>
              </w:rPr>
              <w:t>notes</w:t>
            </w:r>
            <w:r w:rsidR="00F11160" w:rsidRPr="00200C67">
              <w:rPr>
                <w:rFonts w:ascii="Gill Sans MT" w:hAnsi="Gill Sans MT"/>
                <w:sz w:val="16"/>
                <w:szCs w:val="16"/>
              </w:rPr>
              <w:t>)</w:t>
            </w:r>
          </w:p>
        </w:tc>
      </w:tr>
      <w:tr w:rsidR="007B0625" w:rsidRPr="00490004" w14:paraId="6CD24577"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Align w:val="center"/>
          </w:tcPr>
          <w:p w14:paraId="21A36448" w14:textId="77777777" w:rsidR="007B0625" w:rsidRPr="00490004" w:rsidRDefault="007B0625" w:rsidP="007B0625">
            <w:pPr>
              <w:spacing w:before="0" w:after="0" w:line="276" w:lineRule="auto"/>
              <w:jc w:val="center"/>
              <w:rPr>
                <w:rFonts w:ascii="Gill Sans MT" w:hAnsi="Gill Sans MT"/>
                <w:b w:val="0"/>
                <w:i/>
                <w:sz w:val="18"/>
                <w:szCs w:val="18"/>
              </w:rPr>
            </w:pPr>
            <w:r w:rsidRPr="00490004">
              <w:rPr>
                <w:rFonts w:ascii="Gill Sans MT" w:hAnsi="Gill Sans MT"/>
                <w:b w:val="0"/>
                <w:i/>
                <w:sz w:val="18"/>
                <w:szCs w:val="18"/>
              </w:rPr>
              <w:t>totals</w:t>
            </w:r>
          </w:p>
        </w:tc>
        <w:tc>
          <w:tcPr>
            <w:tcW w:w="3077" w:type="dxa"/>
            <w:gridSpan w:val="2"/>
            <w:vAlign w:val="center"/>
          </w:tcPr>
          <w:p w14:paraId="144AE438"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166</w:t>
            </w:r>
          </w:p>
        </w:tc>
        <w:tc>
          <w:tcPr>
            <w:tcW w:w="3078" w:type="dxa"/>
            <w:gridSpan w:val="2"/>
            <w:vAlign w:val="center"/>
          </w:tcPr>
          <w:p w14:paraId="1821E574"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166</w:t>
            </w:r>
          </w:p>
        </w:tc>
        <w:tc>
          <w:tcPr>
            <w:tcW w:w="3078" w:type="dxa"/>
            <w:gridSpan w:val="2"/>
            <w:vAlign w:val="center"/>
          </w:tcPr>
          <w:p w14:paraId="676C53F4"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166</w:t>
            </w:r>
          </w:p>
        </w:tc>
        <w:tc>
          <w:tcPr>
            <w:tcW w:w="3078" w:type="dxa"/>
            <w:gridSpan w:val="2"/>
            <w:vAlign w:val="center"/>
          </w:tcPr>
          <w:p w14:paraId="41DD960D"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166</w:t>
            </w:r>
          </w:p>
        </w:tc>
      </w:tr>
    </w:tbl>
    <w:p w14:paraId="59BFD0C7" w14:textId="77777777" w:rsidR="007B0625" w:rsidRDefault="007B0625" w:rsidP="007B0625">
      <w:pPr>
        <w:spacing w:before="0" w:after="200" w:line="276" w:lineRule="auto"/>
        <w:jc w:val="both"/>
        <w:rPr>
          <w:rFonts w:ascii="Gill Sans MT" w:hAnsi="Gill Sans MT"/>
          <w:sz w:val="18"/>
          <w:szCs w:val="18"/>
        </w:rPr>
      </w:pPr>
    </w:p>
    <w:p w14:paraId="2EB94786" w14:textId="07A91054" w:rsidR="007B0625" w:rsidRPr="00490004" w:rsidRDefault="007B0625" w:rsidP="00720890">
      <w:pPr>
        <w:pStyle w:val="Tables"/>
        <w:rPr>
          <w:szCs w:val="18"/>
        </w:rPr>
      </w:pPr>
      <w:bookmarkStart w:id="172" w:name="_Toc9796159"/>
      <w:bookmarkStart w:id="173" w:name="_Toc9796237"/>
      <w:bookmarkStart w:id="174" w:name="_Toc57033185"/>
      <w:r>
        <w:t xml:space="preserve">Table </w:t>
      </w:r>
      <w:r w:rsidR="00AE48D0">
        <w:t>6</w:t>
      </w:r>
      <w:r>
        <w:t>:</w:t>
      </w:r>
      <w:r w:rsidR="00720890">
        <w:tab/>
      </w:r>
      <w:r>
        <w:t>Demographic distribution of the datapool by dyslexia status, home domicile, gender and study level</w:t>
      </w:r>
      <w:bookmarkEnd w:id="172"/>
      <w:bookmarkEnd w:id="173"/>
      <w:bookmarkEnd w:id="174"/>
    </w:p>
    <w:p w14:paraId="14F9A25E" w14:textId="72624E41" w:rsidR="007B0625" w:rsidRPr="00490004" w:rsidRDefault="007B0625" w:rsidP="00085E3D">
      <w:pPr>
        <w:spacing w:before="0" w:after="200" w:line="276" w:lineRule="auto"/>
        <w:jc w:val="right"/>
        <w:rPr>
          <w:rFonts w:ascii="Gill Sans MT" w:hAnsi="Gill Sans MT"/>
          <w:sz w:val="18"/>
          <w:szCs w:val="18"/>
        </w:rPr>
      </w:pPr>
      <w:r w:rsidRPr="00490004">
        <w:rPr>
          <w:rFonts w:ascii="Gill Sans MT" w:hAnsi="Gill Sans MT"/>
          <w:b/>
          <w:sz w:val="18"/>
          <w:szCs w:val="18"/>
          <w:vertAlign w:val="superscript"/>
        </w:rPr>
        <w:t>‡</w:t>
      </w:r>
      <w:r>
        <w:rPr>
          <w:rFonts w:ascii="Gill Sans MT" w:hAnsi="Gill Sans MT"/>
          <w:b/>
          <w:sz w:val="18"/>
          <w:szCs w:val="18"/>
          <w:vertAlign w:val="superscript"/>
        </w:rPr>
        <w:t xml:space="preserve"> </w:t>
      </w:r>
      <w:r>
        <w:rPr>
          <w:rFonts w:ascii="Gill Sans MT" w:hAnsi="Gill Sans MT"/>
          <w:sz w:val="18"/>
          <w:szCs w:val="18"/>
        </w:rPr>
        <w:t xml:space="preserve">Study level according to the Regulated Qualifications Framework for England and Wales (Ofqual, 2015) </w:t>
      </w:r>
      <w:r w:rsidRPr="00490004">
        <w:rPr>
          <w:rFonts w:ascii="Gill Sans MT" w:hAnsi="Gill Sans MT"/>
          <w:sz w:val="18"/>
          <w:szCs w:val="18"/>
        </w:rPr>
        <w:t xml:space="preserve">* +1 respondent study level not disclosed; </w:t>
      </w:r>
      <w:r w:rsidRPr="00490004">
        <w:rPr>
          <w:rFonts w:ascii="Segoe UI Symbol" w:hAnsi="Segoe UI Symbol" w:cs="Segoe UI Symbol"/>
          <w:sz w:val="18"/>
          <w:szCs w:val="18"/>
          <w:vertAlign w:val="superscript"/>
        </w:rPr>
        <w:t>✟</w:t>
      </w:r>
      <w:r w:rsidRPr="00490004">
        <w:rPr>
          <w:rFonts w:ascii="Gill Sans MT" w:hAnsi="Gill Sans MT"/>
          <w:sz w:val="18"/>
          <w:szCs w:val="18"/>
        </w:rPr>
        <w:t xml:space="preserve"> +1 study</w:t>
      </w:r>
      <w:r w:rsidR="00D42029">
        <w:rPr>
          <w:rFonts w:ascii="Gill Sans MT" w:hAnsi="Gill Sans MT"/>
          <w:sz w:val="18"/>
          <w:szCs w:val="18"/>
        </w:rPr>
        <w:t xml:space="preserve">ing </w:t>
      </w:r>
      <w:r w:rsidRPr="00490004">
        <w:rPr>
          <w:rFonts w:ascii="Gill Sans MT" w:hAnsi="Gill Sans MT"/>
          <w:sz w:val="18"/>
          <w:szCs w:val="18"/>
        </w:rPr>
        <w:t>for Professional or Vocational qualification</w:t>
      </w:r>
    </w:p>
    <w:p w14:paraId="47D6BCF3" w14:textId="77777777" w:rsidR="007B0625" w:rsidRDefault="007B0625" w:rsidP="007B0625">
      <w:pPr>
        <w:spacing w:before="0" w:after="200" w:line="276" w:lineRule="auto"/>
        <w:jc w:val="both"/>
        <w:rPr>
          <w:rFonts w:ascii="Segoe UI Symbol" w:hAnsi="Segoe UI Symbol"/>
        </w:rPr>
      </w:pPr>
    </w:p>
    <w:p w14:paraId="141B9716" w14:textId="77777777" w:rsidR="007B0625" w:rsidRPr="0064383E" w:rsidRDefault="007B0625" w:rsidP="007B0625">
      <w:pPr>
        <w:spacing w:before="0" w:after="200" w:line="276" w:lineRule="auto"/>
        <w:jc w:val="both"/>
        <w:rPr>
          <w:rFonts w:ascii="Segoe UI Symbol" w:hAnsi="Segoe UI Symbol"/>
        </w:rPr>
      </w:pPr>
      <w:r>
        <w:rPr>
          <w:rFonts w:ascii="Segoe UI Symbol" w:hAnsi="Segoe UI Symbol"/>
        </w:rPr>
        <w:br w:type="page"/>
      </w:r>
    </w:p>
    <w:tbl>
      <w:tblPr>
        <w:tblStyle w:val="GridTable1Light-Accent1"/>
        <w:tblW w:w="0" w:type="auto"/>
        <w:jc w:val="center"/>
        <w:tblLook w:val="04A0" w:firstRow="1" w:lastRow="0" w:firstColumn="1" w:lastColumn="0" w:noHBand="0" w:noVBand="1"/>
      </w:tblPr>
      <w:tblGrid>
        <w:gridCol w:w="1538"/>
        <w:gridCol w:w="1538"/>
        <w:gridCol w:w="1539"/>
        <w:gridCol w:w="1539"/>
        <w:gridCol w:w="1539"/>
        <w:gridCol w:w="1539"/>
        <w:gridCol w:w="1539"/>
        <w:gridCol w:w="1539"/>
        <w:gridCol w:w="1539"/>
      </w:tblGrid>
      <w:tr w:rsidR="007B0625" w:rsidRPr="0064383E" w14:paraId="24F4C7DF" w14:textId="77777777" w:rsidTr="007B062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8" w:type="dxa"/>
            <w:vAlign w:val="center"/>
          </w:tcPr>
          <w:p w14:paraId="017FF48C" w14:textId="77777777" w:rsidR="007B0625" w:rsidRPr="0064383E" w:rsidRDefault="007B0625" w:rsidP="007B0625">
            <w:pPr>
              <w:spacing w:before="0" w:after="0" w:line="276" w:lineRule="auto"/>
              <w:jc w:val="center"/>
              <w:rPr>
                <w:rFonts w:ascii="Gill Sans MT" w:hAnsi="Gill Sans MT"/>
                <w:sz w:val="18"/>
                <w:szCs w:val="18"/>
              </w:rPr>
            </w:pPr>
            <w:r w:rsidRPr="0064383E">
              <w:rPr>
                <w:rFonts w:ascii="Gill Sans MT" w:hAnsi="Gill Sans MT"/>
                <w:sz w:val="18"/>
                <w:szCs w:val="18"/>
              </w:rPr>
              <w:lastRenderedPageBreak/>
              <w:t>Research Group</w:t>
            </w:r>
          </w:p>
        </w:tc>
        <w:tc>
          <w:tcPr>
            <w:tcW w:w="3077" w:type="dxa"/>
            <w:gridSpan w:val="2"/>
            <w:vAlign w:val="center"/>
          </w:tcPr>
          <w:p w14:paraId="24D55243" w14:textId="77777777" w:rsidR="007B0625" w:rsidRPr="0064383E" w:rsidRDefault="007B0625" w:rsidP="007B0625">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Research Subgroup</w:t>
            </w:r>
          </w:p>
        </w:tc>
        <w:tc>
          <w:tcPr>
            <w:tcW w:w="3078" w:type="dxa"/>
            <w:gridSpan w:val="2"/>
            <w:vAlign w:val="center"/>
          </w:tcPr>
          <w:p w14:paraId="26C19F0C" w14:textId="77777777" w:rsidR="007B0625" w:rsidRPr="0064383E" w:rsidRDefault="007B0625" w:rsidP="007B0625">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Home domicile</w:t>
            </w:r>
          </w:p>
        </w:tc>
        <w:tc>
          <w:tcPr>
            <w:tcW w:w="3078" w:type="dxa"/>
            <w:gridSpan w:val="2"/>
            <w:vAlign w:val="center"/>
          </w:tcPr>
          <w:p w14:paraId="6CFF5201" w14:textId="77777777" w:rsidR="007B0625" w:rsidRPr="0064383E" w:rsidRDefault="007B0625" w:rsidP="007B0625">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Gender</w:t>
            </w:r>
          </w:p>
        </w:tc>
        <w:tc>
          <w:tcPr>
            <w:tcW w:w="3078" w:type="dxa"/>
            <w:gridSpan w:val="2"/>
            <w:vAlign w:val="center"/>
          </w:tcPr>
          <w:p w14:paraId="19F9F33A" w14:textId="77777777" w:rsidR="007B0625" w:rsidRPr="0064383E" w:rsidRDefault="007B0625" w:rsidP="007B0625">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Study level</w:t>
            </w:r>
            <w:r w:rsidRPr="00490004">
              <w:rPr>
                <w:rFonts w:ascii="Gill Sans MT" w:hAnsi="Gill Sans MT"/>
                <w:b w:val="0"/>
                <w:sz w:val="18"/>
                <w:szCs w:val="18"/>
                <w:vertAlign w:val="superscript"/>
              </w:rPr>
              <w:t>‡</w:t>
            </w:r>
          </w:p>
        </w:tc>
      </w:tr>
      <w:tr w:rsidR="007B0625" w:rsidRPr="0064383E" w14:paraId="3BD935CF" w14:textId="77777777" w:rsidTr="007B0625">
        <w:trPr>
          <w:jc w:val="center"/>
        </w:trPr>
        <w:tc>
          <w:tcPr>
            <w:cnfStyle w:val="001000000000" w:firstRow="0" w:lastRow="0" w:firstColumn="1" w:lastColumn="0" w:oddVBand="0" w:evenVBand="0" w:oddHBand="0" w:evenHBand="0" w:firstRowFirstColumn="0" w:firstRowLastColumn="0" w:lastRowFirstColumn="0" w:lastRowLastColumn="0"/>
            <w:tcW w:w="1538" w:type="dxa"/>
            <w:vAlign w:val="center"/>
          </w:tcPr>
          <w:p w14:paraId="5DA47AA5" w14:textId="77777777" w:rsidR="007B0625" w:rsidRPr="0064383E" w:rsidRDefault="007B0625" w:rsidP="007B0625">
            <w:pPr>
              <w:spacing w:before="0" w:after="0" w:line="276" w:lineRule="auto"/>
              <w:jc w:val="center"/>
              <w:rPr>
                <w:rFonts w:ascii="Gill Sans MT" w:hAnsi="Gill Sans MT"/>
                <w:sz w:val="18"/>
                <w:szCs w:val="18"/>
              </w:rPr>
            </w:pPr>
            <w:r w:rsidRPr="0064383E">
              <w:rPr>
                <w:rFonts w:ascii="Gill Sans MT" w:hAnsi="Gill Sans MT"/>
                <w:sz w:val="18"/>
                <w:szCs w:val="18"/>
              </w:rPr>
              <w:t>ND</w:t>
            </w:r>
          </w:p>
        </w:tc>
        <w:tc>
          <w:tcPr>
            <w:tcW w:w="1538" w:type="dxa"/>
            <w:vAlign w:val="center"/>
          </w:tcPr>
          <w:p w14:paraId="080C61FC" w14:textId="59C5A0AB"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 xml:space="preserve">Test </w:t>
            </w:r>
          </w:p>
        </w:tc>
        <w:tc>
          <w:tcPr>
            <w:tcW w:w="1539" w:type="dxa"/>
            <w:vAlign w:val="center"/>
          </w:tcPr>
          <w:p w14:paraId="4E006040" w14:textId="596492DC"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Base</w:t>
            </w:r>
          </w:p>
        </w:tc>
        <w:tc>
          <w:tcPr>
            <w:tcW w:w="1539" w:type="dxa"/>
            <w:vAlign w:val="center"/>
          </w:tcPr>
          <w:p w14:paraId="7F79434C"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UK</w:t>
            </w:r>
          </w:p>
        </w:tc>
        <w:tc>
          <w:tcPr>
            <w:tcW w:w="1539" w:type="dxa"/>
            <w:vAlign w:val="center"/>
          </w:tcPr>
          <w:p w14:paraId="6A17C8D2"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Non-UK</w:t>
            </w:r>
          </w:p>
        </w:tc>
        <w:tc>
          <w:tcPr>
            <w:tcW w:w="1539" w:type="dxa"/>
            <w:vAlign w:val="center"/>
          </w:tcPr>
          <w:p w14:paraId="2D801734"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M</w:t>
            </w:r>
          </w:p>
        </w:tc>
        <w:tc>
          <w:tcPr>
            <w:tcW w:w="1539" w:type="dxa"/>
            <w:vAlign w:val="center"/>
          </w:tcPr>
          <w:p w14:paraId="2606E37C"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F</w:t>
            </w:r>
          </w:p>
        </w:tc>
        <w:tc>
          <w:tcPr>
            <w:tcW w:w="1539" w:type="dxa"/>
            <w:vAlign w:val="center"/>
          </w:tcPr>
          <w:p w14:paraId="7151CB5C"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 L6</w:t>
            </w:r>
          </w:p>
        </w:tc>
        <w:tc>
          <w:tcPr>
            <w:tcW w:w="1539" w:type="dxa"/>
            <w:vAlign w:val="center"/>
          </w:tcPr>
          <w:p w14:paraId="69F374EA"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&gt; L6</w:t>
            </w:r>
          </w:p>
        </w:tc>
      </w:tr>
      <w:tr w:rsidR="007B0625" w:rsidRPr="0064383E" w14:paraId="0533783E"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restart"/>
            <w:vAlign w:val="center"/>
          </w:tcPr>
          <w:p w14:paraId="16F22942" w14:textId="77777777" w:rsidR="007B0625" w:rsidRPr="0064383E" w:rsidRDefault="007B0625" w:rsidP="007B0625">
            <w:pPr>
              <w:spacing w:before="0" w:after="0" w:line="276" w:lineRule="auto"/>
              <w:jc w:val="center"/>
              <w:rPr>
                <w:rFonts w:ascii="Gill Sans MT" w:hAnsi="Gill Sans MT"/>
                <w:sz w:val="18"/>
                <w:szCs w:val="18"/>
              </w:rPr>
            </w:pPr>
            <w:r w:rsidRPr="0064383E">
              <w:rPr>
                <w:rFonts w:ascii="Gill Sans MT" w:hAnsi="Gill Sans MT"/>
                <w:sz w:val="18"/>
                <w:szCs w:val="18"/>
              </w:rPr>
              <w:t>98</w:t>
            </w:r>
          </w:p>
        </w:tc>
        <w:tc>
          <w:tcPr>
            <w:tcW w:w="1538" w:type="dxa"/>
            <w:vMerge w:val="restart"/>
            <w:vAlign w:val="center"/>
          </w:tcPr>
          <w:p w14:paraId="63258165"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18</w:t>
            </w:r>
          </w:p>
        </w:tc>
        <w:tc>
          <w:tcPr>
            <w:tcW w:w="1539" w:type="dxa"/>
            <w:vMerge w:val="restart"/>
            <w:vAlign w:val="center"/>
          </w:tcPr>
          <w:p w14:paraId="30E1F747"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w:t>
            </w:r>
          </w:p>
        </w:tc>
        <w:tc>
          <w:tcPr>
            <w:tcW w:w="1539" w:type="dxa"/>
            <w:vMerge w:val="restart"/>
            <w:vAlign w:val="center"/>
          </w:tcPr>
          <w:p w14:paraId="67D834BC"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16</w:t>
            </w:r>
          </w:p>
        </w:tc>
        <w:tc>
          <w:tcPr>
            <w:tcW w:w="1539" w:type="dxa"/>
            <w:vMerge w:val="restart"/>
            <w:vAlign w:val="center"/>
          </w:tcPr>
          <w:p w14:paraId="6C6BF73F"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w:t>
            </w:r>
          </w:p>
        </w:tc>
        <w:tc>
          <w:tcPr>
            <w:tcW w:w="1539" w:type="dxa"/>
            <w:vAlign w:val="center"/>
          </w:tcPr>
          <w:p w14:paraId="04F91BC2"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9</w:t>
            </w:r>
          </w:p>
        </w:tc>
        <w:tc>
          <w:tcPr>
            <w:tcW w:w="1539" w:type="dxa"/>
            <w:vAlign w:val="center"/>
          </w:tcPr>
          <w:p w14:paraId="63AA9C4B"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w:t>
            </w:r>
          </w:p>
        </w:tc>
        <w:tc>
          <w:tcPr>
            <w:tcW w:w="1539" w:type="dxa"/>
            <w:vAlign w:val="center"/>
          </w:tcPr>
          <w:p w14:paraId="233AD9A4"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6</w:t>
            </w:r>
          </w:p>
        </w:tc>
        <w:tc>
          <w:tcPr>
            <w:tcW w:w="1539" w:type="dxa"/>
            <w:vAlign w:val="center"/>
          </w:tcPr>
          <w:p w14:paraId="23BC2DBD"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3</w:t>
            </w:r>
          </w:p>
        </w:tc>
      </w:tr>
      <w:tr w:rsidR="007B0625" w:rsidRPr="0064383E" w14:paraId="276A5F6F"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ign w:val="center"/>
          </w:tcPr>
          <w:p w14:paraId="22988811" w14:textId="77777777" w:rsidR="007B0625" w:rsidRPr="0064383E" w:rsidRDefault="007B0625" w:rsidP="007B0625">
            <w:pPr>
              <w:spacing w:before="0" w:after="0" w:line="276" w:lineRule="auto"/>
              <w:jc w:val="center"/>
              <w:rPr>
                <w:rFonts w:ascii="Gill Sans MT" w:hAnsi="Gill Sans MT"/>
                <w:sz w:val="18"/>
                <w:szCs w:val="18"/>
              </w:rPr>
            </w:pPr>
          </w:p>
        </w:tc>
        <w:tc>
          <w:tcPr>
            <w:tcW w:w="1538" w:type="dxa"/>
            <w:vMerge/>
            <w:vAlign w:val="center"/>
          </w:tcPr>
          <w:p w14:paraId="50A8A7BA"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71376335"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74E5E3E2"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32644A37"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Align w:val="center"/>
          </w:tcPr>
          <w:p w14:paraId="4C7FF639"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w:t>
            </w:r>
          </w:p>
        </w:tc>
        <w:tc>
          <w:tcPr>
            <w:tcW w:w="1539" w:type="dxa"/>
            <w:vAlign w:val="center"/>
          </w:tcPr>
          <w:p w14:paraId="6415C52B"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7</w:t>
            </w:r>
          </w:p>
        </w:tc>
        <w:tc>
          <w:tcPr>
            <w:tcW w:w="1539" w:type="dxa"/>
            <w:vAlign w:val="center"/>
          </w:tcPr>
          <w:p w14:paraId="3239E202"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4</w:t>
            </w:r>
          </w:p>
        </w:tc>
        <w:tc>
          <w:tcPr>
            <w:tcW w:w="1539" w:type="dxa"/>
            <w:vAlign w:val="center"/>
          </w:tcPr>
          <w:p w14:paraId="71A022F7"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3</w:t>
            </w:r>
          </w:p>
        </w:tc>
      </w:tr>
      <w:tr w:rsidR="007B0625" w:rsidRPr="0064383E" w14:paraId="51346F76"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ign w:val="center"/>
          </w:tcPr>
          <w:p w14:paraId="36DBE8FC" w14:textId="77777777" w:rsidR="007B0625" w:rsidRPr="0064383E" w:rsidRDefault="007B0625" w:rsidP="007B0625">
            <w:pPr>
              <w:spacing w:before="0" w:after="0" w:line="276" w:lineRule="auto"/>
              <w:jc w:val="center"/>
              <w:rPr>
                <w:rFonts w:ascii="Gill Sans MT" w:hAnsi="Gill Sans MT"/>
                <w:sz w:val="18"/>
                <w:szCs w:val="18"/>
              </w:rPr>
            </w:pPr>
          </w:p>
        </w:tc>
        <w:tc>
          <w:tcPr>
            <w:tcW w:w="1538" w:type="dxa"/>
            <w:vMerge/>
            <w:vAlign w:val="center"/>
          </w:tcPr>
          <w:p w14:paraId="2D85E636"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04DD7738"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restart"/>
            <w:vAlign w:val="center"/>
          </w:tcPr>
          <w:p w14:paraId="3F334B67"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w:t>
            </w:r>
          </w:p>
        </w:tc>
        <w:tc>
          <w:tcPr>
            <w:tcW w:w="1539" w:type="dxa"/>
            <w:vMerge w:val="restart"/>
            <w:vAlign w:val="center"/>
          </w:tcPr>
          <w:p w14:paraId="2DE080C4"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2</w:t>
            </w:r>
          </w:p>
        </w:tc>
        <w:tc>
          <w:tcPr>
            <w:tcW w:w="1539" w:type="dxa"/>
            <w:vAlign w:val="center"/>
          </w:tcPr>
          <w:p w14:paraId="18B8AA95"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0</w:t>
            </w:r>
          </w:p>
        </w:tc>
        <w:tc>
          <w:tcPr>
            <w:tcW w:w="1539" w:type="dxa"/>
            <w:vAlign w:val="center"/>
          </w:tcPr>
          <w:p w14:paraId="7F74E5A0"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w:t>
            </w:r>
          </w:p>
        </w:tc>
        <w:tc>
          <w:tcPr>
            <w:tcW w:w="1539" w:type="dxa"/>
            <w:vAlign w:val="center"/>
          </w:tcPr>
          <w:p w14:paraId="429A209D"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0</w:t>
            </w:r>
          </w:p>
        </w:tc>
        <w:tc>
          <w:tcPr>
            <w:tcW w:w="1539" w:type="dxa"/>
            <w:vAlign w:val="center"/>
          </w:tcPr>
          <w:p w14:paraId="2DE1F9AF"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0</w:t>
            </w:r>
          </w:p>
        </w:tc>
      </w:tr>
      <w:tr w:rsidR="007B0625" w:rsidRPr="0064383E" w14:paraId="4FD11544"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ign w:val="center"/>
          </w:tcPr>
          <w:p w14:paraId="63A4E73E" w14:textId="77777777" w:rsidR="007B0625" w:rsidRPr="0064383E" w:rsidRDefault="007B0625" w:rsidP="007B0625">
            <w:pPr>
              <w:spacing w:before="0" w:after="0" w:line="276" w:lineRule="auto"/>
              <w:jc w:val="center"/>
              <w:rPr>
                <w:rFonts w:ascii="Gill Sans MT" w:hAnsi="Gill Sans MT"/>
                <w:sz w:val="18"/>
                <w:szCs w:val="18"/>
              </w:rPr>
            </w:pPr>
          </w:p>
        </w:tc>
        <w:tc>
          <w:tcPr>
            <w:tcW w:w="1538" w:type="dxa"/>
            <w:vMerge/>
            <w:tcBorders>
              <w:bottom w:val="single" w:sz="4" w:space="0" w:color="B4C6E7" w:themeColor="accent1" w:themeTint="66"/>
            </w:tcBorders>
            <w:vAlign w:val="center"/>
          </w:tcPr>
          <w:p w14:paraId="48482C82"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tcBorders>
              <w:bottom w:val="single" w:sz="4" w:space="0" w:color="B4C6E7" w:themeColor="accent1" w:themeTint="66"/>
            </w:tcBorders>
            <w:vAlign w:val="center"/>
          </w:tcPr>
          <w:p w14:paraId="13E06227"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tcBorders>
              <w:bottom w:val="single" w:sz="4" w:space="0" w:color="B4C6E7" w:themeColor="accent1" w:themeTint="66"/>
            </w:tcBorders>
            <w:vAlign w:val="center"/>
          </w:tcPr>
          <w:p w14:paraId="22222D5D"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tcBorders>
              <w:bottom w:val="single" w:sz="4" w:space="0" w:color="B4C6E7" w:themeColor="accent1" w:themeTint="66"/>
            </w:tcBorders>
            <w:vAlign w:val="center"/>
          </w:tcPr>
          <w:p w14:paraId="14330F4C"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tcBorders>
              <w:bottom w:val="single" w:sz="4" w:space="0" w:color="B4C6E7" w:themeColor="accent1" w:themeTint="66"/>
            </w:tcBorders>
            <w:vAlign w:val="center"/>
          </w:tcPr>
          <w:p w14:paraId="05DE872B"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w:t>
            </w:r>
          </w:p>
        </w:tc>
        <w:tc>
          <w:tcPr>
            <w:tcW w:w="1539" w:type="dxa"/>
            <w:tcBorders>
              <w:bottom w:val="single" w:sz="4" w:space="0" w:color="B4C6E7" w:themeColor="accent1" w:themeTint="66"/>
            </w:tcBorders>
            <w:vAlign w:val="center"/>
          </w:tcPr>
          <w:p w14:paraId="44F424B5"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2</w:t>
            </w:r>
          </w:p>
        </w:tc>
        <w:tc>
          <w:tcPr>
            <w:tcW w:w="1539" w:type="dxa"/>
            <w:tcBorders>
              <w:bottom w:val="single" w:sz="4" w:space="0" w:color="B4C6E7" w:themeColor="accent1" w:themeTint="66"/>
            </w:tcBorders>
            <w:vAlign w:val="center"/>
          </w:tcPr>
          <w:p w14:paraId="65311469"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1</w:t>
            </w:r>
          </w:p>
        </w:tc>
        <w:tc>
          <w:tcPr>
            <w:tcW w:w="1539" w:type="dxa"/>
            <w:tcBorders>
              <w:bottom w:val="single" w:sz="4" w:space="0" w:color="B4C6E7" w:themeColor="accent1" w:themeTint="66"/>
            </w:tcBorders>
            <w:vAlign w:val="center"/>
          </w:tcPr>
          <w:p w14:paraId="26E8E620"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1</w:t>
            </w:r>
          </w:p>
        </w:tc>
      </w:tr>
      <w:tr w:rsidR="007B0625" w:rsidRPr="0064383E" w14:paraId="403A409F"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ign w:val="center"/>
          </w:tcPr>
          <w:p w14:paraId="2329C206" w14:textId="77777777" w:rsidR="007B0625" w:rsidRPr="0064383E" w:rsidRDefault="007B0625" w:rsidP="007B0625">
            <w:pPr>
              <w:spacing w:before="0" w:after="0" w:line="276" w:lineRule="auto"/>
              <w:jc w:val="center"/>
              <w:rPr>
                <w:rFonts w:ascii="Gill Sans MT" w:hAnsi="Gill Sans MT"/>
                <w:sz w:val="18"/>
                <w:szCs w:val="18"/>
              </w:rPr>
            </w:pPr>
          </w:p>
        </w:tc>
        <w:tc>
          <w:tcPr>
            <w:tcW w:w="3077" w:type="dxa"/>
            <w:gridSpan w:val="2"/>
            <w:tcBorders>
              <w:bottom w:val="single" w:sz="12" w:space="0" w:color="B4C6E7" w:themeColor="accent1" w:themeTint="66"/>
            </w:tcBorders>
            <w:vAlign w:val="center"/>
          </w:tcPr>
          <w:p w14:paraId="14051E60" w14:textId="77777777" w:rsidR="007B0625" w:rsidRPr="0064383E" w:rsidRDefault="007B0625" w:rsidP="007B0625">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i/>
                <w:color w:val="8EAADB" w:themeColor="accent1" w:themeTint="99"/>
                <w:sz w:val="18"/>
                <w:szCs w:val="18"/>
              </w:rPr>
            </w:pPr>
            <w:r w:rsidRPr="0064383E">
              <w:rPr>
                <w:rFonts w:ascii="Gill Sans MT" w:hAnsi="Gill Sans MT"/>
                <w:i/>
                <w:color w:val="8EAADB" w:themeColor="accent1" w:themeTint="99"/>
                <w:sz w:val="18"/>
                <w:szCs w:val="18"/>
              </w:rPr>
              <w:t>check totals:</w:t>
            </w:r>
          </w:p>
        </w:tc>
        <w:tc>
          <w:tcPr>
            <w:tcW w:w="3078" w:type="dxa"/>
            <w:gridSpan w:val="2"/>
            <w:tcBorders>
              <w:bottom w:val="single" w:sz="12" w:space="0" w:color="B4C6E7" w:themeColor="accent1" w:themeTint="66"/>
            </w:tcBorders>
            <w:vAlign w:val="center"/>
          </w:tcPr>
          <w:p w14:paraId="236AF336"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i/>
                <w:color w:val="8EAADB" w:themeColor="accent1" w:themeTint="99"/>
                <w:sz w:val="18"/>
                <w:szCs w:val="18"/>
              </w:rPr>
            </w:pPr>
            <w:r w:rsidRPr="0064383E">
              <w:rPr>
                <w:rFonts w:ascii="Gill Sans MT" w:hAnsi="Gill Sans MT"/>
                <w:i/>
                <w:color w:val="8EAADB" w:themeColor="accent1" w:themeTint="99"/>
                <w:sz w:val="18"/>
                <w:szCs w:val="18"/>
              </w:rPr>
              <w:t>18</w:t>
            </w:r>
          </w:p>
        </w:tc>
        <w:tc>
          <w:tcPr>
            <w:tcW w:w="3078" w:type="dxa"/>
            <w:gridSpan w:val="2"/>
            <w:tcBorders>
              <w:bottom w:val="single" w:sz="12" w:space="0" w:color="B4C6E7" w:themeColor="accent1" w:themeTint="66"/>
            </w:tcBorders>
            <w:vAlign w:val="center"/>
          </w:tcPr>
          <w:p w14:paraId="59012A25"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i/>
                <w:color w:val="8EAADB" w:themeColor="accent1" w:themeTint="99"/>
                <w:sz w:val="18"/>
                <w:szCs w:val="18"/>
              </w:rPr>
            </w:pPr>
            <w:r w:rsidRPr="0064383E">
              <w:rPr>
                <w:rFonts w:ascii="Gill Sans MT" w:hAnsi="Gill Sans MT"/>
                <w:i/>
                <w:color w:val="8EAADB" w:themeColor="accent1" w:themeTint="99"/>
                <w:sz w:val="18"/>
                <w:szCs w:val="18"/>
              </w:rPr>
              <w:t>18</w:t>
            </w:r>
          </w:p>
        </w:tc>
        <w:tc>
          <w:tcPr>
            <w:tcW w:w="3078" w:type="dxa"/>
            <w:gridSpan w:val="2"/>
            <w:tcBorders>
              <w:bottom w:val="single" w:sz="12" w:space="0" w:color="B4C6E7" w:themeColor="accent1" w:themeTint="66"/>
            </w:tcBorders>
            <w:vAlign w:val="center"/>
          </w:tcPr>
          <w:p w14:paraId="1CBAAAE1"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i/>
                <w:color w:val="8EAADB" w:themeColor="accent1" w:themeTint="99"/>
                <w:sz w:val="18"/>
                <w:szCs w:val="18"/>
              </w:rPr>
            </w:pPr>
            <w:r w:rsidRPr="0064383E">
              <w:rPr>
                <w:rFonts w:ascii="Gill Sans MT" w:hAnsi="Gill Sans MT"/>
                <w:i/>
                <w:color w:val="8EAADB" w:themeColor="accent1" w:themeTint="99"/>
                <w:sz w:val="18"/>
                <w:szCs w:val="18"/>
              </w:rPr>
              <w:t>18</w:t>
            </w:r>
          </w:p>
        </w:tc>
      </w:tr>
      <w:tr w:rsidR="007B0625" w:rsidRPr="0064383E" w14:paraId="400BD7CD"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ign w:val="center"/>
          </w:tcPr>
          <w:p w14:paraId="15CDE729" w14:textId="77777777" w:rsidR="007B0625" w:rsidRPr="0064383E" w:rsidRDefault="007B0625" w:rsidP="007B0625">
            <w:pPr>
              <w:spacing w:before="0" w:after="0" w:line="276" w:lineRule="auto"/>
              <w:jc w:val="center"/>
              <w:rPr>
                <w:rFonts w:ascii="Gill Sans MT" w:hAnsi="Gill Sans MT"/>
                <w:sz w:val="18"/>
                <w:szCs w:val="18"/>
              </w:rPr>
            </w:pPr>
          </w:p>
        </w:tc>
        <w:tc>
          <w:tcPr>
            <w:tcW w:w="1538" w:type="dxa"/>
            <w:vMerge w:val="restart"/>
            <w:tcBorders>
              <w:top w:val="single" w:sz="12" w:space="0" w:color="B4C6E7" w:themeColor="accent1" w:themeTint="66"/>
            </w:tcBorders>
            <w:vAlign w:val="center"/>
          </w:tcPr>
          <w:p w14:paraId="1729C9BE"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w:t>
            </w:r>
          </w:p>
        </w:tc>
        <w:tc>
          <w:tcPr>
            <w:tcW w:w="1539" w:type="dxa"/>
            <w:vMerge w:val="restart"/>
            <w:tcBorders>
              <w:top w:val="single" w:sz="12" w:space="0" w:color="B4C6E7" w:themeColor="accent1" w:themeTint="66"/>
            </w:tcBorders>
            <w:vAlign w:val="center"/>
          </w:tcPr>
          <w:p w14:paraId="392D3A31"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44</w:t>
            </w:r>
          </w:p>
        </w:tc>
        <w:tc>
          <w:tcPr>
            <w:tcW w:w="1539" w:type="dxa"/>
            <w:vMerge w:val="restart"/>
            <w:tcBorders>
              <w:top w:val="single" w:sz="12" w:space="0" w:color="B4C6E7" w:themeColor="accent1" w:themeTint="66"/>
            </w:tcBorders>
            <w:vAlign w:val="center"/>
          </w:tcPr>
          <w:p w14:paraId="171E3E2C"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27</w:t>
            </w:r>
          </w:p>
        </w:tc>
        <w:tc>
          <w:tcPr>
            <w:tcW w:w="1539" w:type="dxa"/>
            <w:vMerge w:val="restart"/>
            <w:tcBorders>
              <w:top w:val="single" w:sz="12" w:space="0" w:color="B4C6E7" w:themeColor="accent1" w:themeTint="66"/>
            </w:tcBorders>
            <w:vAlign w:val="center"/>
          </w:tcPr>
          <w:p w14:paraId="7E43E5B0"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w:t>
            </w:r>
          </w:p>
        </w:tc>
        <w:tc>
          <w:tcPr>
            <w:tcW w:w="1539" w:type="dxa"/>
            <w:vAlign w:val="center"/>
          </w:tcPr>
          <w:p w14:paraId="0DCF8AA0"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12</w:t>
            </w:r>
          </w:p>
        </w:tc>
        <w:tc>
          <w:tcPr>
            <w:tcW w:w="1539" w:type="dxa"/>
            <w:vAlign w:val="center"/>
          </w:tcPr>
          <w:p w14:paraId="6E05CF00"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w:t>
            </w:r>
          </w:p>
        </w:tc>
        <w:tc>
          <w:tcPr>
            <w:tcW w:w="1539" w:type="dxa"/>
            <w:vAlign w:val="center"/>
          </w:tcPr>
          <w:p w14:paraId="6FE319A6"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10</w:t>
            </w:r>
          </w:p>
        </w:tc>
        <w:tc>
          <w:tcPr>
            <w:tcW w:w="1539" w:type="dxa"/>
            <w:vAlign w:val="center"/>
          </w:tcPr>
          <w:p w14:paraId="765BEFCF"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2</w:t>
            </w:r>
          </w:p>
        </w:tc>
      </w:tr>
      <w:tr w:rsidR="007B0625" w:rsidRPr="0064383E" w14:paraId="56984066"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ign w:val="center"/>
          </w:tcPr>
          <w:p w14:paraId="2162BA34" w14:textId="77777777" w:rsidR="007B0625" w:rsidRPr="0064383E" w:rsidRDefault="007B0625" w:rsidP="007B0625">
            <w:pPr>
              <w:spacing w:before="0" w:after="0" w:line="276" w:lineRule="auto"/>
              <w:jc w:val="center"/>
              <w:rPr>
                <w:rFonts w:ascii="Gill Sans MT" w:hAnsi="Gill Sans MT"/>
                <w:sz w:val="18"/>
                <w:szCs w:val="18"/>
              </w:rPr>
            </w:pPr>
          </w:p>
        </w:tc>
        <w:tc>
          <w:tcPr>
            <w:tcW w:w="1538" w:type="dxa"/>
            <w:vMerge/>
            <w:vAlign w:val="center"/>
          </w:tcPr>
          <w:p w14:paraId="638E117D"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5C41D5E1"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64B70109"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5BAFB07A"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Align w:val="center"/>
          </w:tcPr>
          <w:p w14:paraId="7E121BF9"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w:t>
            </w:r>
          </w:p>
        </w:tc>
        <w:tc>
          <w:tcPr>
            <w:tcW w:w="1539" w:type="dxa"/>
            <w:vAlign w:val="center"/>
          </w:tcPr>
          <w:p w14:paraId="17C80FA1"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15</w:t>
            </w:r>
          </w:p>
        </w:tc>
        <w:tc>
          <w:tcPr>
            <w:tcW w:w="1539" w:type="dxa"/>
            <w:vAlign w:val="center"/>
          </w:tcPr>
          <w:p w14:paraId="710C43D0"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10</w:t>
            </w:r>
          </w:p>
        </w:tc>
        <w:tc>
          <w:tcPr>
            <w:tcW w:w="1539" w:type="dxa"/>
            <w:vAlign w:val="center"/>
          </w:tcPr>
          <w:p w14:paraId="7E9288D5"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5</w:t>
            </w:r>
          </w:p>
        </w:tc>
      </w:tr>
      <w:tr w:rsidR="007B0625" w:rsidRPr="0064383E" w14:paraId="0C6ECCEE"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ign w:val="center"/>
          </w:tcPr>
          <w:p w14:paraId="29EB6DFC" w14:textId="77777777" w:rsidR="007B0625" w:rsidRPr="0064383E" w:rsidRDefault="007B0625" w:rsidP="007B0625">
            <w:pPr>
              <w:spacing w:before="0" w:after="0" w:line="276" w:lineRule="auto"/>
              <w:jc w:val="center"/>
              <w:rPr>
                <w:rFonts w:ascii="Gill Sans MT" w:hAnsi="Gill Sans MT"/>
                <w:sz w:val="18"/>
                <w:szCs w:val="18"/>
              </w:rPr>
            </w:pPr>
          </w:p>
        </w:tc>
        <w:tc>
          <w:tcPr>
            <w:tcW w:w="1538" w:type="dxa"/>
            <w:vMerge/>
            <w:vAlign w:val="center"/>
          </w:tcPr>
          <w:p w14:paraId="47E729B9"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0A387B7F"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restart"/>
            <w:vAlign w:val="center"/>
          </w:tcPr>
          <w:p w14:paraId="33E67015"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w:t>
            </w:r>
          </w:p>
        </w:tc>
        <w:tc>
          <w:tcPr>
            <w:tcW w:w="1539" w:type="dxa"/>
            <w:vMerge w:val="restart"/>
            <w:vAlign w:val="center"/>
          </w:tcPr>
          <w:p w14:paraId="2A66B145"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17</w:t>
            </w:r>
          </w:p>
        </w:tc>
        <w:tc>
          <w:tcPr>
            <w:tcW w:w="1539" w:type="dxa"/>
            <w:vAlign w:val="center"/>
          </w:tcPr>
          <w:p w14:paraId="40AB5D29"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4</w:t>
            </w:r>
          </w:p>
        </w:tc>
        <w:tc>
          <w:tcPr>
            <w:tcW w:w="1539" w:type="dxa"/>
            <w:vAlign w:val="center"/>
          </w:tcPr>
          <w:p w14:paraId="0921D779"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w:t>
            </w:r>
          </w:p>
        </w:tc>
        <w:tc>
          <w:tcPr>
            <w:tcW w:w="1539" w:type="dxa"/>
            <w:vAlign w:val="center"/>
          </w:tcPr>
          <w:p w14:paraId="7253EDCF"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3</w:t>
            </w:r>
          </w:p>
        </w:tc>
        <w:tc>
          <w:tcPr>
            <w:tcW w:w="1539" w:type="dxa"/>
            <w:vAlign w:val="center"/>
          </w:tcPr>
          <w:p w14:paraId="18D70886"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1</w:t>
            </w:r>
          </w:p>
        </w:tc>
      </w:tr>
      <w:tr w:rsidR="007B0625" w:rsidRPr="0064383E" w14:paraId="0405059B"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ign w:val="center"/>
          </w:tcPr>
          <w:p w14:paraId="11B88E8C" w14:textId="77777777" w:rsidR="007B0625" w:rsidRPr="0064383E" w:rsidRDefault="007B0625" w:rsidP="007B0625">
            <w:pPr>
              <w:spacing w:before="0" w:after="0" w:line="276" w:lineRule="auto"/>
              <w:jc w:val="center"/>
              <w:rPr>
                <w:rFonts w:ascii="Gill Sans MT" w:hAnsi="Gill Sans MT"/>
                <w:sz w:val="18"/>
                <w:szCs w:val="18"/>
              </w:rPr>
            </w:pPr>
          </w:p>
        </w:tc>
        <w:tc>
          <w:tcPr>
            <w:tcW w:w="1538" w:type="dxa"/>
            <w:vMerge/>
            <w:tcBorders>
              <w:bottom w:val="single" w:sz="4" w:space="0" w:color="B4C6E7" w:themeColor="accent1" w:themeTint="66"/>
            </w:tcBorders>
            <w:vAlign w:val="center"/>
          </w:tcPr>
          <w:p w14:paraId="70413A4B"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tcBorders>
              <w:bottom w:val="single" w:sz="4" w:space="0" w:color="B4C6E7" w:themeColor="accent1" w:themeTint="66"/>
            </w:tcBorders>
            <w:vAlign w:val="center"/>
          </w:tcPr>
          <w:p w14:paraId="11663A3F"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tcBorders>
              <w:bottom w:val="single" w:sz="4" w:space="0" w:color="B4C6E7" w:themeColor="accent1" w:themeTint="66"/>
            </w:tcBorders>
            <w:vAlign w:val="center"/>
          </w:tcPr>
          <w:p w14:paraId="19D5450D"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tcBorders>
              <w:bottom w:val="single" w:sz="4" w:space="0" w:color="B4C6E7" w:themeColor="accent1" w:themeTint="66"/>
            </w:tcBorders>
            <w:vAlign w:val="center"/>
          </w:tcPr>
          <w:p w14:paraId="25C6C61C"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tcBorders>
              <w:bottom w:val="single" w:sz="4" w:space="0" w:color="B4C6E7" w:themeColor="accent1" w:themeTint="66"/>
            </w:tcBorders>
            <w:vAlign w:val="center"/>
          </w:tcPr>
          <w:p w14:paraId="55AAF776"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w:t>
            </w:r>
          </w:p>
        </w:tc>
        <w:tc>
          <w:tcPr>
            <w:tcW w:w="1539" w:type="dxa"/>
            <w:tcBorders>
              <w:bottom w:val="single" w:sz="4" w:space="0" w:color="B4C6E7" w:themeColor="accent1" w:themeTint="66"/>
            </w:tcBorders>
            <w:vAlign w:val="center"/>
          </w:tcPr>
          <w:p w14:paraId="1AE45B29"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13</w:t>
            </w:r>
          </w:p>
        </w:tc>
        <w:tc>
          <w:tcPr>
            <w:tcW w:w="1539" w:type="dxa"/>
            <w:tcBorders>
              <w:bottom w:val="single" w:sz="4" w:space="0" w:color="B4C6E7" w:themeColor="accent1" w:themeTint="66"/>
            </w:tcBorders>
            <w:vAlign w:val="center"/>
          </w:tcPr>
          <w:p w14:paraId="4589FFF2"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7</w:t>
            </w:r>
          </w:p>
        </w:tc>
        <w:tc>
          <w:tcPr>
            <w:tcW w:w="1539" w:type="dxa"/>
            <w:tcBorders>
              <w:bottom w:val="single" w:sz="4" w:space="0" w:color="B4C6E7" w:themeColor="accent1" w:themeTint="66"/>
            </w:tcBorders>
            <w:vAlign w:val="center"/>
          </w:tcPr>
          <w:p w14:paraId="5A2CCEC3"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6</w:t>
            </w:r>
          </w:p>
        </w:tc>
      </w:tr>
      <w:tr w:rsidR="007B0625" w:rsidRPr="0064383E" w14:paraId="2D0ADCDC"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ign w:val="center"/>
          </w:tcPr>
          <w:p w14:paraId="4FB4BAF6" w14:textId="77777777" w:rsidR="007B0625" w:rsidRPr="0064383E" w:rsidRDefault="007B0625" w:rsidP="007B0625">
            <w:pPr>
              <w:spacing w:before="0" w:after="0" w:line="276" w:lineRule="auto"/>
              <w:jc w:val="center"/>
              <w:rPr>
                <w:rFonts w:ascii="Gill Sans MT" w:hAnsi="Gill Sans MT"/>
                <w:sz w:val="18"/>
                <w:szCs w:val="18"/>
              </w:rPr>
            </w:pPr>
          </w:p>
        </w:tc>
        <w:tc>
          <w:tcPr>
            <w:tcW w:w="3077" w:type="dxa"/>
            <w:gridSpan w:val="2"/>
            <w:tcBorders>
              <w:bottom w:val="single" w:sz="12" w:space="0" w:color="B4C6E7" w:themeColor="accent1" w:themeTint="66"/>
            </w:tcBorders>
            <w:vAlign w:val="center"/>
          </w:tcPr>
          <w:p w14:paraId="63755D49" w14:textId="77777777" w:rsidR="007B0625" w:rsidRPr="0064383E" w:rsidRDefault="007B0625" w:rsidP="007B0625">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i/>
                <w:color w:val="8EAADB" w:themeColor="accent1" w:themeTint="99"/>
                <w:sz w:val="18"/>
                <w:szCs w:val="18"/>
              </w:rPr>
            </w:pPr>
            <w:r w:rsidRPr="0064383E">
              <w:rPr>
                <w:rFonts w:ascii="Gill Sans MT" w:hAnsi="Gill Sans MT"/>
                <w:i/>
                <w:color w:val="8EAADB" w:themeColor="accent1" w:themeTint="99"/>
                <w:sz w:val="18"/>
                <w:szCs w:val="18"/>
              </w:rPr>
              <w:t>check totals</w:t>
            </w:r>
          </w:p>
        </w:tc>
        <w:tc>
          <w:tcPr>
            <w:tcW w:w="3078" w:type="dxa"/>
            <w:gridSpan w:val="2"/>
            <w:tcBorders>
              <w:bottom w:val="single" w:sz="12" w:space="0" w:color="B4C6E7" w:themeColor="accent1" w:themeTint="66"/>
            </w:tcBorders>
            <w:vAlign w:val="center"/>
          </w:tcPr>
          <w:p w14:paraId="2888A545"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i/>
                <w:color w:val="8EAADB" w:themeColor="accent1" w:themeTint="99"/>
                <w:sz w:val="18"/>
                <w:szCs w:val="18"/>
              </w:rPr>
            </w:pPr>
            <w:r w:rsidRPr="0064383E">
              <w:rPr>
                <w:rFonts w:ascii="Gill Sans MT" w:hAnsi="Gill Sans MT"/>
                <w:i/>
                <w:color w:val="8EAADB" w:themeColor="accent1" w:themeTint="99"/>
                <w:sz w:val="18"/>
                <w:szCs w:val="18"/>
              </w:rPr>
              <w:t>44</w:t>
            </w:r>
          </w:p>
        </w:tc>
        <w:tc>
          <w:tcPr>
            <w:tcW w:w="3078" w:type="dxa"/>
            <w:gridSpan w:val="2"/>
            <w:tcBorders>
              <w:bottom w:val="single" w:sz="12" w:space="0" w:color="B4C6E7" w:themeColor="accent1" w:themeTint="66"/>
            </w:tcBorders>
            <w:vAlign w:val="center"/>
          </w:tcPr>
          <w:p w14:paraId="1D390330"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i/>
                <w:color w:val="8EAADB" w:themeColor="accent1" w:themeTint="99"/>
                <w:sz w:val="18"/>
                <w:szCs w:val="18"/>
              </w:rPr>
            </w:pPr>
            <w:r w:rsidRPr="0064383E">
              <w:rPr>
                <w:rFonts w:ascii="Gill Sans MT" w:hAnsi="Gill Sans MT"/>
                <w:i/>
                <w:color w:val="8EAADB" w:themeColor="accent1" w:themeTint="99"/>
                <w:sz w:val="18"/>
                <w:szCs w:val="18"/>
              </w:rPr>
              <w:t>44</w:t>
            </w:r>
          </w:p>
        </w:tc>
        <w:tc>
          <w:tcPr>
            <w:tcW w:w="3078" w:type="dxa"/>
            <w:gridSpan w:val="2"/>
            <w:tcBorders>
              <w:bottom w:val="single" w:sz="12" w:space="0" w:color="B4C6E7" w:themeColor="accent1" w:themeTint="66"/>
            </w:tcBorders>
            <w:vAlign w:val="center"/>
          </w:tcPr>
          <w:p w14:paraId="2F3C07FA"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i/>
                <w:color w:val="8EAADB" w:themeColor="accent1" w:themeTint="99"/>
                <w:sz w:val="18"/>
                <w:szCs w:val="18"/>
              </w:rPr>
            </w:pPr>
            <w:r w:rsidRPr="0064383E">
              <w:rPr>
                <w:rFonts w:ascii="Gill Sans MT" w:hAnsi="Gill Sans MT"/>
                <w:i/>
                <w:color w:val="8EAADB" w:themeColor="accent1" w:themeTint="99"/>
                <w:sz w:val="18"/>
                <w:szCs w:val="18"/>
              </w:rPr>
              <w:t>44</w:t>
            </w:r>
          </w:p>
        </w:tc>
      </w:tr>
      <w:tr w:rsidR="007B0625" w:rsidRPr="0064383E" w14:paraId="6074CE38"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ign w:val="center"/>
          </w:tcPr>
          <w:p w14:paraId="14C7B200" w14:textId="77777777" w:rsidR="007B0625" w:rsidRPr="0064383E" w:rsidRDefault="007B0625" w:rsidP="007B0625">
            <w:pPr>
              <w:spacing w:before="0" w:after="0" w:line="276" w:lineRule="auto"/>
              <w:jc w:val="center"/>
              <w:rPr>
                <w:rFonts w:ascii="Gill Sans MT" w:hAnsi="Gill Sans MT"/>
                <w:sz w:val="18"/>
                <w:szCs w:val="18"/>
              </w:rPr>
            </w:pPr>
          </w:p>
        </w:tc>
        <w:tc>
          <w:tcPr>
            <w:tcW w:w="3077" w:type="dxa"/>
            <w:gridSpan w:val="2"/>
            <w:tcBorders>
              <w:bottom w:val="single" w:sz="12" w:space="0" w:color="B4C6E7" w:themeColor="accent1" w:themeTint="66"/>
            </w:tcBorders>
            <w:vAlign w:val="center"/>
          </w:tcPr>
          <w:p w14:paraId="4C0467D1" w14:textId="77777777" w:rsidR="007B0625" w:rsidRPr="0064383E" w:rsidRDefault="007B0625" w:rsidP="007B0625">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i/>
                <w:color w:val="8EAADB" w:themeColor="accent1" w:themeTint="99"/>
                <w:sz w:val="18"/>
                <w:szCs w:val="18"/>
              </w:rPr>
            </w:pPr>
          </w:p>
        </w:tc>
        <w:tc>
          <w:tcPr>
            <w:tcW w:w="3078" w:type="dxa"/>
            <w:gridSpan w:val="2"/>
            <w:tcBorders>
              <w:bottom w:val="single" w:sz="12" w:space="0" w:color="B4C6E7" w:themeColor="accent1" w:themeTint="66"/>
            </w:tcBorders>
            <w:vAlign w:val="center"/>
          </w:tcPr>
          <w:p w14:paraId="600F9125"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i/>
                <w:color w:val="8EAADB" w:themeColor="accent1" w:themeTint="99"/>
                <w:sz w:val="18"/>
                <w:szCs w:val="18"/>
              </w:rPr>
            </w:pPr>
            <w:r>
              <w:rPr>
                <w:rFonts w:ascii="Gill Sans MT" w:hAnsi="Gill Sans MT"/>
                <w:i/>
                <w:color w:val="8EAADB" w:themeColor="accent1" w:themeTint="99"/>
                <w:sz w:val="18"/>
                <w:szCs w:val="18"/>
              </w:rPr>
              <w:t>36</w:t>
            </w:r>
          </w:p>
        </w:tc>
        <w:tc>
          <w:tcPr>
            <w:tcW w:w="3078" w:type="dxa"/>
            <w:gridSpan w:val="2"/>
            <w:tcBorders>
              <w:bottom w:val="single" w:sz="12" w:space="0" w:color="B4C6E7" w:themeColor="accent1" w:themeTint="66"/>
            </w:tcBorders>
            <w:vAlign w:val="center"/>
          </w:tcPr>
          <w:p w14:paraId="50401893"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i/>
                <w:color w:val="8EAADB" w:themeColor="accent1" w:themeTint="99"/>
                <w:sz w:val="18"/>
                <w:szCs w:val="18"/>
              </w:rPr>
            </w:pPr>
            <w:r>
              <w:rPr>
                <w:rFonts w:ascii="Gill Sans MT" w:hAnsi="Gill Sans MT"/>
                <w:i/>
                <w:color w:val="8EAADB" w:themeColor="accent1" w:themeTint="99"/>
                <w:sz w:val="18"/>
                <w:szCs w:val="18"/>
              </w:rPr>
              <w:t>36</w:t>
            </w:r>
          </w:p>
        </w:tc>
        <w:tc>
          <w:tcPr>
            <w:tcW w:w="3078" w:type="dxa"/>
            <w:gridSpan w:val="2"/>
            <w:tcBorders>
              <w:bottom w:val="single" w:sz="12" w:space="0" w:color="B4C6E7" w:themeColor="accent1" w:themeTint="66"/>
            </w:tcBorders>
            <w:vAlign w:val="center"/>
          </w:tcPr>
          <w:p w14:paraId="45FB9AF7"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i/>
                <w:color w:val="8EAADB" w:themeColor="accent1" w:themeTint="99"/>
                <w:sz w:val="18"/>
                <w:szCs w:val="18"/>
              </w:rPr>
            </w:pPr>
            <w:r>
              <w:rPr>
                <w:rFonts w:ascii="Gill Sans MT" w:hAnsi="Gill Sans MT"/>
                <w:i/>
                <w:color w:val="8EAADB" w:themeColor="accent1" w:themeTint="99"/>
                <w:sz w:val="18"/>
                <w:szCs w:val="18"/>
              </w:rPr>
              <w:t>36</w:t>
            </w:r>
          </w:p>
        </w:tc>
      </w:tr>
      <w:tr w:rsidR="007B0625" w:rsidRPr="0064383E" w14:paraId="5F18378A" w14:textId="77777777" w:rsidTr="007B0625">
        <w:trPr>
          <w:jc w:val="center"/>
        </w:trPr>
        <w:tc>
          <w:tcPr>
            <w:cnfStyle w:val="001000000000" w:firstRow="0" w:lastRow="0" w:firstColumn="1" w:lastColumn="0" w:oddVBand="0" w:evenVBand="0" w:oddHBand="0" w:evenHBand="0" w:firstRowFirstColumn="0" w:firstRowLastColumn="0" w:lastRowFirstColumn="0" w:lastRowLastColumn="0"/>
            <w:tcW w:w="1538" w:type="dxa"/>
            <w:vAlign w:val="center"/>
          </w:tcPr>
          <w:p w14:paraId="7C182809" w14:textId="77777777" w:rsidR="007B0625" w:rsidRPr="0064383E" w:rsidRDefault="007B0625" w:rsidP="007B0625">
            <w:pPr>
              <w:spacing w:before="0" w:after="0" w:line="276" w:lineRule="auto"/>
              <w:jc w:val="center"/>
              <w:rPr>
                <w:rFonts w:ascii="Gill Sans MT" w:hAnsi="Gill Sans MT"/>
                <w:b w:val="0"/>
                <w:sz w:val="18"/>
                <w:szCs w:val="18"/>
              </w:rPr>
            </w:pPr>
            <w:r w:rsidRPr="0064383E">
              <w:rPr>
                <w:rFonts w:ascii="Gill Sans MT" w:hAnsi="Gill Sans MT"/>
                <w:sz w:val="18"/>
                <w:szCs w:val="18"/>
              </w:rPr>
              <w:t>DI</w:t>
            </w:r>
          </w:p>
        </w:tc>
        <w:tc>
          <w:tcPr>
            <w:tcW w:w="1538" w:type="dxa"/>
            <w:vAlign w:val="center"/>
          </w:tcPr>
          <w:p w14:paraId="2C97B5E1" w14:textId="66E6301A" w:rsidR="007B0625" w:rsidRPr="006D43F8"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Control</w:t>
            </w:r>
          </w:p>
        </w:tc>
        <w:tc>
          <w:tcPr>
            <w:tcW w:w="1539" w:type="dxa"/>
            <w:vAlign w:val="center"/>
          </w:tcPr>
          <w:p w14:paraId="53293E1F"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w:t>
            </w:r>
          </w:p>
        </w:tc>
        <w:tc>
          <w:tcPr>
            <w:tcW w:w="1539" w:type="dxa"/>
            <w:vAlign w:val="center"/>
          </w:tcPr>
          <w:p w14:paraId="70410CBE"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Align w:val="center"/>
          </w:tcPr>
          <w:p w14:paraId="0A92BAEE"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Align w:val="center"/>
          </w:tcPr>
          <w:p w14:paraId="3A19F123"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Align w:val="center"/>
          </w:tcPr>
          <w:p w14:paraId="104499CB"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Align w:val="center"/>
          </w:tcPr>
          <w:p w14:paraId="32CCBE90"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Align w:val="center"/>
          </w:tcPr>
          <w:p w14:paraId="73B76E87"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7B0625" w:rsidRPr="0064383E" w14:paraId="2209ABD1"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restart"/>
            <w:vAlign w:val="center"/>
          </w:tcPr>
          <w:p w14:paraId="3F1784C5" w14:textId="77777777" w:rsidR="007B0625" w:rsidRPr="0064383E" w:rsidRDefault="007B0625" w:rsidP="007B0625">
            <w:pPr>
              <w:spacing w:before="0" w:after="0" w:line="276" w:lineRule="auto"/>
              <w:jc w:val="center"/>
              <w:rPr>
                <w:rFonts w:ascii="Gill Sans MT" w:hAnsi="Gill Sans MT"/>
                <w:b w:val="0"/>
                <w:sz w:val="18"/>
                <w:szCs w:val="18"/>
              </w:rPr>
            </w:pPr>
            <w:r w:rsidRPr="0064383E">
              <w:rPr>
                <w:rFonts w:ascii="Gill Sans MT" w:hAnsi="Gill Sans MT"/>
                <w:b w:val="0"/>
                <w:sz w:val="18"/>
                <w:szCs w:val="18"/>
              </w:rPr>
              <w:t>68</w:t>
            </w:r>
          </w:p>
        </w:tc>
        <w:tc>
          <w:tcPr>
            <w:tcW w:w="1538" w:type="dxa"/>
            <w:vMerge w:val="restart"/>
            <w:vAlign w:val="center"/>
          </w:tcPr>
          <w:p w14:paraId="044D5907"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47</w:t>
            </w:r>
          </w:p>
        </w:tc>
        <w:tc>
          <w:tcPr>
            <w:tcW w:w="1539" w:type="dxa"/>
            <w:vMerge w:val="restart"/>
            <w:vAlign w:val="center"/>
          </w:tcPr>
          <w:p w14:paraId="265D24C1"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w:t>
            </w:r>
          </w:p>
        </w:tc>
        <w:tc>
          <w:tcPr>
            <w:tcW w:w="1539" w:type="dxa"/>
            <w:vMerge w:val="restart"/>
            <w:vAlign w:val="center"/>
          </w:tcPr>
          <w:p w14:paraId="5E57D754"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44</w:t>
            </w:r>
          </w:p>
        </w:tc>
        <w:tc>
          <w:tcPr>
            <w:tcW w:w="1539" w:type="dxa"/>
            <w:vMerge w:val="restart"/>
            <w:vAlign w:val="center"/>
          </w:tcPr>
          <w:p w14:paraId="6AEC9BD6"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w:t>
            </w:r>
          </w:p>
        </w:tc>
        <w:tc>
          <w:tcPr>
            <w:tcW w:w="1539" w:type="dxa"/>
            <w:vAlign w:val="center"/>
          </w:tcPr>
          <w:p w14:paraId="12235748"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10</w:t>
            </w:r>
          </w:p>
        </w:tc>
        <w:tc>
          <w:tcPr>
            <w:tcW w:w="1539" w:type="dxa"/>
            <w:vAlign w:val="center"/>
          </w:tcPr>
          <w:p w14:paraId="70D8266B"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w:t>
            </w:r>
          </w:p>
        </w:tc>
        <w:tc>
          <w:tcPr>
            <w:tcW w:w="1539" w:type="dxa"/>
            <w:vAlign w:val="center"/>
          </w:tcPr>
          <w:p w14:paraId="2F46B8BB"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7</w:t>
            </w:r>
          </w:p>
        </w:tc>
        <w:tc>
          <w:tcPr>
            <w:tcW w:w="1539" w:type="dxa"/>
            <w:vAlign w:val="center"/>
          </w:tcPr>
          <w:p w14:paraId="47299A1A"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3</w:t>
            </w:r>
          </w:p>
        </w:tc>
      </w:tr>
      <w:tr w:rsidR="007B0625" w:rsidRPr="0064383E" w14:paraId="45ADAB7C"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ign w:val="center"/>
          </w:tcPr>
          <w:p w14:paraId="681138A1" w14:textId="77777777" w:rsidR="007B0625" w:rsidRPr="0064383E" w:rsidRDefault="007B0625" w:rsidP="007B0625">
            <w:pPr>
              <w:spacing w:before="0" w:after="0" w:line="276" w:lineRule="auto"/>
              <w:jc w:val="center"/>
              <w:rPr>
                <w:rFonts w:ascii="Gill Sans MT" w:hAnsi="Gill Sans MT"/>
                <w:b w:val="0"/>
                <w:sz w:val="18"/>
                <w:szCs w:val="18"/>
              </w:rPr>
            </w:pPr>
          </w:p>
        </w:tc>
        <w:tc>
          <w:tcPr>
            <w:tcW w:w="1538" w:type="dxa"/>
            <w:vMerge/>
            <w:vAlign w:val="center"/>
          </w:tcPr>
          <w:p w14:paraId="77B6722B"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2D46DB3A"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12550070"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61FE7D49"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Align w:val="center"/>
          </w:tcPr>
          <w:p w14:paraId="7B1946FD"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w:t>
            </w:r>
          </w:p>
        </w:tc>
        <w:tc>
          <w:tcPr>
            <w:tcW w:w="1539" w:type="dxa"/>
            <w:vAlign w:val="center"/>
          </w:tcPr>
          <w:p w14:paraId="13C54037"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34</w:t>
            </w:r>
          </w:p>
        </w:tc>
        <w:tc>
          <w:tcPr>
            <w:tcW w:w="1539" w:type="dxa"/>
            <w:vAlign w:val="center"/>
          </w:tcPr>
          <w:p w14:paraId="113D2B77"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26</w:t>
            </w:r>
          </w:p>
        </w:tc>
        <w:tc>
          <w:tcPr>
            <w:tcW w:w="1539" w:type="dxa"/>
            <w:vAlign w:val="center"/>
          </w:tcPr>
          <w:p w14:paraId="72B93185"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8</w:t>
            </w:r>
          </w:p>
        </w:tc>
      </w:tr>
      <w:tr w:rsidR="007B0625" w:rsidRPr="0064383E" w14:paraId="11152250"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ign w:val="center"/>
          </w:tcPr>
          <w:p w14:paraId="32988ABD" w14:textId="77777777" w:rsidR="007B0625" w:rsidRPr="0064383E" w:rsidRDefault="007B0625" w:rsidP="007B0625">
            <w:pPr>
              <w:spacing w:before="0" w:after="0" w:line="276" w:lineRule="auto"/>
              <w:jc w:val="center"/>
              <w:rPr>
                <w:rFonts w:ascii="Gill Sans MT" w:hAnsi="Gill Sans MT"/>
                <w:b w:val="0"/>
                <w:sz w:val="18"/>
                <w:szCs w:val="18"/>
              </w:rPr>
            </w:pPr>
          </w:p>
        </w:tc>
        <w:tc>
          <w:tcPr>
            <w:tcW w:w="1538" w:type="dxa"/>
            <w:vMerge/>
            <w:vAlign w:val="center"/>
          </w:tcPr>
          <w:p w14:paraId="210F5492"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642C2BB2"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restart"/>
            <w:vAlign w:val="center"/>
          </w:tcPr>
          <w:p w14:paraId="0D953085"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w:t>
            </w:r>
          </w:p>
        </w:tc>
        <w:tc>
          <w:tcPr>
            <w:tcW w:w="1539" w:type="dxa"/>
            <w:vMerge w:val="restart"/>
            <w:vAlign w:val="center"/>
          </w:tcPr>
          <w:p w14:paraId="2F732487"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3</w:t>
            </w:r>
          </w:p>
        </w:tc>
        <w:tc>
          <w:tcPr>
            <w:tcW w:w="1539" w:type="dxa"/>
            <w:vAlign w:val="center"/>
          </w:tcPr>
          <w:p w14:paraId="6F4D0A15"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0</w:t>
            </w:r>
          </w:p>
        </w:tc>
        <w:tc>
          <w:tcPr>
            <w:tcW w:w="1539" w:type="dxa"/>
            <w:vAlign w:val="center"/>
          </w:tcPr>
          <w:p w14:paraId="7988CCEC"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w:t>
            </w:r>
          </w:p>
        </w:tc>
        <w:tc>
          <w:tcPr>
            <w:tcW w:w="1539" w:type="dxa"/>
            <w:vAlign w:val="center"/>
          </w:tcPr>
          <w:p w14:paraId="102A7F56"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0</w:t>
            </w:r>
          </w:p>
        </w:tc>
        <w:tc>
          <w:tcPr>
            <w:tcW w:w="1539" w:type="dxa"/>
            <w:vAlign w:val="center"/>
          </w:tcPr>
          <w:p w14:paraId="4963B49F"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0</w:t>
            </w:r>
          </w:p>
        </w:tc>
      </w:tr>
      <w:tr w:rsidR="007B0625" w:rsidRPr="0064383E" w14:paraId="52454D0F"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ign w:val="center"/>
          </w:tcPr>
          <w:p w14:paraId="72D215C6" w14:textId="77777777" w:rsidR="007B0625" w:rsidRPr="0064383E" w:rsidRDefault="007B0625" w:rsidP="007B0625">
            <w:pPr>
              <w:spacing w:before="0" w:after="0" w:line="276" w:lineRule="auto"/>
              <w:jc w:val="center"/>
              <w:rPr>
                <w:rFonts w:ascii="Gill Sans MT" w:hAnsi="Gill Sans MT"/>
                <w:b w:val="0"/>
                <w:sz w:val="18"/>
                <w:szCs w:val="18"/>
              </w:rPr>
            </w:pPr>
          </w:p>
        </w:tc>
        <w:tc>
          <w:tcPr>
            <w:tcW w:w="1538" w:type="dxa"/>
            <w:vMerge/>
            <w:vAlign w:val="center"/>
          </w:tcPr>
          <w:p w14:paraId="009A4E69"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3ABEC0D3"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42F83EB6"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488AAC2D"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Align w:val="center"/>
          </w:tcPr>
          <w:p w14:paraId="0AFC0EF2"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w:t>
            </w:r>
          </w:p>
        </w:tc>
        <w:tc>
          <w:tcPr>
            <w:tcW w:w="1539" w:type="dxa"/>
            <w:vAlign w:val="center"/>
          </w:tcPr>
          <w:p w14:paraId="02D6102B"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3</w:t>
            </w:r>
          </w:p>
        </w:tc>
        <w:tc>
          <w:tcPr>
            <w:tcW w:w="1539" w:type="dxa"/>
            <w:vAlign w:val="center"/>
          </w:tcPr>
          <w:p w14:paraId="6936E236"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0</w:t>
            </w:r>
          </w:p>
        </w:tc>
        <w:tc>
          <w:tcPr>
            <w:tcW w:w="1539" w:type="dxa"/>
            <w:vAlign w:val="center"/>
          </w:tcPr>
          <w:p w14:paraId="79913258"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3</w:t>
            </w:r>
          </w:p>
        </w:tc>
      </w:tr>
      <w:tr w:rsidR="007B0625" w:rsidRPr="0064383E" w14:paraId="53893B83"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ign w:val="center"/>
          </w:tcPr>
          <w:p w14:paraId="47AA124A" w14:textId="77777777" w:rsidR="007B0625" w:rsidRPr="0064383E" w:rsidRDefault="007B0625" w:rsidP="007B0625">
            <w:pPr>
              <w:spacing w:before="0" w:after="0" w:line="276" w:lineRule="auto"/>
              <w:jc w:val="center"/>
              <w:rPr>
                <w:rFonts w:ascii="Gill Sans MT" w:hAnsi="Gill Sans MT"/>
                <w:b w:val="0"/>
                <w:sz w:val="18"/>
                <w:szCs w:val="18"/>
              </w:rPr>
            </w:pPr>
          </w:p>
        </w:tc>
        <w:tc>
          <w:tcPr>
            <w:tcW w:w="3077" w:type="dxa"/>
            <w:gridSpan w:val="2"/>
            <w:vAlign w:val="center"/>
          </w:tcPr>
          <w:p w14:paraId="628C728E" w14:textId="77777777" w:rsidR="007B0625" w:rsidRPr="0064383E" w:rsidRDefault="007B0625" w:rsidP="007B0625">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color w:val="8EAADB" w:themeColor="accent1" w:themeTint="99"/>
                <w:sz w:val="18"/>
                <w:szCs w:val="18"/>
              </w:rPr>
            </w:pPr>
            <w:r w:rsidRPr="0064383E">
              <w:rPr>
                <w:rFonts w:ascii="Gill Sans MT" w:hAnsi="Gill Sans MT"/>
                <w:i/>
                <w:color w:val="8EAADB" w:themeColor="accent1" w:themeTint="99"/>
                <w:sz w:val="18"/>
                <w:szCs w:val="18"/>
              </w:rPr>
              <w:t>check totals</w:t>
            </w:r>
          </w:p>
        </w:tc>
        <w:tc>
          <w:tcPr>
            <w:tcW w:w="3078" w:type="dxa"/>
            <w:gridSpan w:val="2"/>
            <w:vAlign w:val="center"/>
          </w:tcPr>
          <w:p w14:paraId="41138AFA"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i/>
                <w:color w:val="8EAADB" w:themeColor="accent1" w:themeTint="99"/>
                <w:sz w:val="18"/>
                <w:szCs w:val="18"/>
              </w:rPr>
            </w:pPr>
            <w:r w:rsidRPr="0064383E">
              <w:rPr>
                <w:rFonts w:ascii="Gill Sans MT" w:hAnsi="Gill Sans MT"/>
                <w:i/>
                <w:color w:val="8EAADB" w:themeColor="accent1" w:themeTint="99"/>
                <w:sz w:val="18"/>
                <w:szCs w:val="18"/>
              </w:rPr>
              <w:t>47</w:t>
            </w:r>
          </w:p>
        </w:tc>
        <w:tc>
          <w:tcPr>
            <w:tcW w:w="3078" w:type="dxa"/>
            <w:gridSpan w:val="2"/>
            <w:vAlign w:val="center"/>
          </w:tcPr>
          <w:p w14:paraId="25C7670C"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i/>
                <w:color w:val="8EAADB" w:themeColor="accent1" w:themeTint="99"/>
                <w:sz w:val="18"/>
                <w:szCs w:val="18"/>
              </w:rPr>
            </w:pPr>
            <w:r w:rsidRPr="0064383E">
              <w:rPr>
                <w:rFonts w:ascii="Gill Sans MT" w:hAnsi="Gill Sans MT"/>
                <w:i/>
                <w:color w:val="8EAADB" w:themeColor="accent1" w:themeTint="99"/>
                <w:sz w:val="18"/>
                <w:szCs w:val="18"/>
              </w:rPr>
              <w:t>47</w:t>
            </w:r>
          </w:p>
        </w:tc>
        <w:tc>
          <w:tcPr>
            <w:tcW w:w="3078" w:type="dxa"/>
            <w:gridSpan w:val="2"/>
            <w:vAlign w:val="center"/>
          </w:tcPr>
          <w:p w14:paraId="6DC9031C"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i/>
                <w:color w:val="8EAADB" w:themeColor="accent1" w:themeTint="99"/>
                <w:sz w:val="18"/>
                <w:szCs w:val="18"/>
              </w:rPr>
            </w:pPr>
            <w:r w:rsidRPr="0064383E">
              <w:rPr>
                <w:rFonts w:ascii="Gill Sans MT" w:hAnsi="Gill Sans MT"/>
                <w:i/>
                <w:color w:val="8EAADB" w:themeColor="accent1" w:themeTint="99"/>
                <w:sz w:val="18"/>
                <w:szCs w:val="18"/>
              </w:rPr>
              <w:t>47</w:t>
            </w:r>
          </w:p>
        </w:tc>
      </w:tr>
      <w:tr w:rsidR="007B0625" w:rsidRPr="0064383E" w14:paraId="1D86DBDC"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ign w:val="center"/>
          </w:tcPr>
          <w:p w14:paraId="52BCF19F" w14:textId="77777777" w:rsidR="007B0625" w:rsidRPr="0064383E" w:rsidRDefault="007B0625" w:rsidP="007B0625">
            <w:pPr>
              <w:spacing w:before="0" w:after="0" w:line="276" w:lineRule="auto"/>
              <w:jc w:val="center"/>
              <w:rPr>
                <w:rFonts w:ascii="Gill Sans MT" w:hAnsi="Gill Sans MT"/>
                <w:b w:val="0"/>
                <w:sz w:val="18"/>
                <w:szCs w:val="18"/>
              </w:rPr>
            </w:pPr>
          </w:p>
        </w:tc>
        <w:tc>
          <w:tcPr>
            <w:tcW w:w="3077" w:type="dxa"/>
            <w:gridSpan w:val="2"/>
            <w:vAlign w:val="center"/>
          </w:tcPr>
          <w:p w14:paraId="358E4338" w14:textId="0FBEA9EB" w:rsidR="007B0625" w:rsidRPr="0064383E" w:rsidRDefault="007B0625" w:rsidP="007B0625">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i/>
                <w:color w:val="8EAADB" w:themeColor="accent1" w:themeTint="99"/>
                <w:sz w:val="18"/>
                <w:szCs w:val="18"/>
              </w:rPr>
            </w:pPr>
            <w:r>
              <w:rPr>
                <w:rFonts w:ascii="Gill Sans MT" w:hAnsi="Gill Sans MT"/>
                <w:i/>
                <w:color w:val="8EAADB" w:themeColor="accent1" w:themeTint="99"/>
                <w:sz w:val="18"/>
                <w:szCs w:val="18"/>
              </w:rPr>
              <w:t xml:space="preserve">residue (400 &lt; Dx &lt; </w:t>
            </w:r>
            <w:r w:rsidR="006D43F8">
              <w:rPr>
                <w:rFonts w:ascii="Gill Sans MT" w:hAnsi="Gill Sans MT"/>
                <w:i/>
                <w:color w:val="8EAADB" w:themeColor="accent1" w:themeTint="99"/>
                <w:sz w:val="18"/>
                <w:szCs w:val="18"/>
              </w:rPr>
              <w:t>Test/Control)</w:t>
            </w:r>
            <w:r>
              <w:rPr>
                <w:rFonts w:ascii="Gill Sans MT" w:hAnsi="Gill Sans MT"/>
                <w:i/>
                <w:color w:val="8EAADB" w:themeColor="accent1" w:themeTint="99"/>
                <w:sz w:val="18"/>
                <w:szCs w:val="18"/>
              </w:rPr>
              <w:t>)</w:t>
            </w:r>
          </w:p>
        </w:tc>
        <w:tc>
          <w:tcPr>
            <w:tcW w:w="3078" w:type="dxa"/>
            <w:gridSpan w:val="2"/>
            <w:vAlign w:val="center"/>
          </w:tcPr>
          <w:p w14:paraId="2DB588BF"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i/>
                <w:color w:val="8EAADB" w:themeColor="accent1" w:themeTint="99"/>
                <w:sz w:val="18"/>
                <w:szCs w:val="18"/>
              </w:rPr>
            </w:pPr>
            <w:r>
              <w:rPr>
                <w:rFonts w:ascii="Gill Sans MT" w:hAnsi="Gill Sans MT"/>
                <w:i/>
                <w:color w:val="8EAADB" w:themeColor="accent1" w:themeTint="99"/>
                <w:sz w:val="18"/>
                <w:szCs w:val="18"/>
              </w:rPr>
              <w:t>21</w:t>
            </w:r>
          </w:p>
        </w:tc>
        <w:tc>
          <w:tcPr>
            <w:tcW w:w="3078" w:type="dxa"/>
            <w:gridSpan w:val="2"/>
            <w:vAlign w:val="center"/>
          </w:tcPr>
          <w:p w14:paraId="284BD337"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i/>
                <w:color w:val="8EAADB" w:themeColor="accent1" w:themeTint="99"/>
                <w:sz w:val="18"/>
                <w:szCs w:val="18"/>
              </w:rPr>
            </w:pPr>
            <w:r>
              <w:rPr>
                <w:rFonts w:ascii="Gill Sans MT" w:hAnsi="Gill Sans MT"/>
                <w:i/>
                <w:color w:val="8EAADB" w:themeColor="accent1" w:themeTint="99"/>
                <w:sz w:val="18"/>
                <w:szCs w:val="18"/>
              </w:rPr>
              <w:t>21</w:t>
            </w:r>
          </w:p>
        </w:tc>
        <w:tc>
          <w:tcPr>
            <w:tcW w:w="3078" w:type="dxa"/>
            <w:gridSpan w:val="2"/>
            <w:vAlign w:val="center"/>
          </w:tcPr>
          <w:p w14:paraId="7FF2B7EC"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i/>
                <w:color w:val="8EAADB" w:themeColor="accent1" w:themeTint="99"/>
                <w:sz w:val="18"/>
                <w:szCs w:val="18"/>
              </w:rPr>
            </w:pPr>
            <w:r>
              <w:rPr>
                <w:rFonts w:ascii="Gill Sans MT" w:hAnsi="Gill Sans MT"/>
                <w:i/>
                <w:color w:val="8EAADB" w:themeColor="accent1" w:themeTint="99"/>
                <w:sz w:val="18"/>
                <w:szCs w:val="18"/>
              </w:rPr>
              <w:t>21</w:t>
            </w:r>
          </w:p>
        </w:tc>
      </w:tr>
      <w:tr w:rsidR="007B0625" w:rsidRPr="0064383E" w14:paraId="63E70385"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Align w:val="center"/>
          </w:tcPr>
          <w:p w14:paraId="59AD5BF7" w14:textId="77777777" w:rsidR="007B0625" w:rsidRPr="0064383E" w:rsidRDefault="007B0625" w:rsidP="007B0625">
            <w:pPr>
              <w:spacing w:before="0" w:after="0" w:line="276" w:lineRule="auto"/>
              <w:jc w:val="center"/>
              <w:rPr>
                <w:rFonts w:ascii="Gill Sans MT" w:hAnsi="Gill Sans MT"/>
                <w:b w:val="0"/>
                <w:sz w:val="18"/>
                <w:szCs w:val="18"/>
              </w:rPr>
            </w:pPr>
            <w:r>
              <w:rPr>
                <w:rFonts w:ascii="Gill Sans MT" w:hAnsi="Gill Sans MT"/>
                <w:b w:val="0"/>
                <w:i/>
                <w:color w:val="8EAADB" w:themeColor="accent1" w:themeTint="99"/>
                <w:sz w:val="18"/>
                <w:szCs w:val="18"/>
              </w:rPr>
              <w:t>datapool</w:t>
            </w:r>
          </w:p>
        </w:tc>
        <w:tc>
          <w:tcPr>
            <w:tcW w:w="3077" w:type="dxa"/>
            <w:gridSpan w:val="2"/>
            <w:vAlign w:val="center"/>
          </w:tcPr>
          <w:p w14:paraId="6AADF2C9" w14:textId="77777777" w:rsidR="007B0625" w:rsidRDefault="007B0625" w:rsidP="007B0625">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i/>
                <w:color w:val="8EAADB" w:themeColor="accent1" w:themeTint="99"/>
                <w:sz w:val="18"/>
                <w:szCs w:val="18"/>
              </w:rPr>
            </w:pPr>
          </w:p>
        </w:tc>
        <w:tc>
          <w:tcPr>
            <w:tcW w:w="3078" w:type="dxa"/>
            <w:gridSpan w:val="2"/>
            <w:vAlign w:val="center"/>
          </w:tcPr>
          <w:p w14:paraId="2E4803FA" w14:textId="77777777" w:rsidR="007B0625"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i/>
                <w:color w:val="8EAADB" w:themeColor="accent1" w:themeTint="99"/>
                <w:sz w:val="18"/>
                <w:szCs w:val="18"/>
              </w:rPr>
            </w:pPr>
            <w:r>
              <w:rPr>
                <w:rFonts w:ascii="Gill Sans MT" w:hAnsi="Gill Sans MT"/>
                <w:i/>
                <w:color w:val="8EAADB" w:themeColor="accent1" w:themeTint="99"/>
                <w:sz w:val="18"/>
                <w:szCs w:val="18"/>
              </w:rPr>
              <w:t>166</w:t>
            </w:r>
          </w:p>
        </w:tc>
        <w:tc>
          <w:tcPr>
            <w:tcW w:w="3078" w:type="dxa"/>
            <w:gridSpan w:val="2"/>
            <w:vAlign w:val="center"/>
          </w:tcPr>
          <w:p w14:paraId="1BCD6A6F" w14:textId="77777777" w:rsidR="007B0625"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i/>
                <w:color w:val="8EAADB" w:themeColor="accent1" w:themeTint="99"/>
                <w:sz w:val="18"/>
                <w:szCs w:val="18"/>
              </w:rPr>
            </w:pPr>
            <w:r>
              <w:rPr>
                <w:rFonts w:ascii="Gill Sans MT" w:hAnsi="Gill Sans MT"/>
                <w:i/>
                <w:color w:val="8EAADB" w:themeColor="accent1" w:themeTint="99"/>
                <w:sz w:val="18"/>
                <w:szCs w:val="18"/>
              </w:rPr>
              <w:t>166</w:t>
            </w:r>
          </w:p>
        </w:tc>
        <w:tc>
          <w:tcPr>
            <w:tcW w:w="3078" w:type="dxa"/>
            <w:gridSpan w:val="2"/>
            <w:vAlign w:val="center"/>
          </w:tcPr>
          <w:p w14:paraId="3278EB48" w14:textId="77777777" w:rsidR="007B0625"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i/>
                <w:color w:val="8EAADB" w:themeColor="accent1" w:themeTint="99"/>
                <w:sz w:val="18"/>
                <w:szCs w:val="18"/>
              </w:rPr>
            </w:pPr>
            <w:r>
              <w:rPr>
                <w:rFonts w:ascii="Gill Sans MT" w:hAnsi="Gill Sans MT"/>
                <w:i/>
                <w:color w:val="8EAADB" w:themeColor="accent1" w:themeTint="99"/>
                <w:sz w:val="18"/>
                <w:szCs w:val="18"/>
              </w:rPr>
              <w:t>166</w:t>
            </w:r>
          </w:p>
        </w:tc>
      </w:tr>
    </w:tbl>
    <w:p w14:paraId="307EE168" w14:textId="77777777" w:rsidR="007B0625" w:rsidRDefault="007B0625" w:rsidP="007B0625">
      <w:pPr>
        <w:spacing w:before="0" w:after="200" w:line="276" w:lineRule="auto"/>
        <w:jc w:val="both"/>
      </w:pPr>
    </w:p>
    <w:p w14:paraId="0E9A0F54" w14:textId="7B247BA7" w:rsidR="007B0625" w:rsidRDefault="007B0625" w:rsidP="001571BF">
      <w:pPr>
        <w:pStyle w:val="Tables"/>
      </w:pPr>
      <w:bookmarkStart w:id="175" w:name="_Toc9796160"/>
      <w:bookmarkStart w:id="176" w:name="_Toc9796238"/>
      <w:bookmarkStart w:id="177" w:name="_Toc57033186"/>
      <w:r>
        <w:t xml:space="preserve">Table </w:t>
      </w:r>
      <w:r w:rsidR="00AE48D0">
        <w:t>7</w:t>
      </w:r>
      <w:r>
        <w:t>:</w:t>
      </w:r>
      <w:r w:rsidR="003214C8">
        <w:tab/>
      </w:r>
      <w:r>
        <w:t>Demographic distribution of Test, Base and Control research subgroups by home domicile, gender and study level</w:t>
      </w:r>
      <w:bookmarkEnd w:id="175"/>
      <w:bookmarkEnd w:id="176"/>
      <w:bookmarkEnd w:id="177"/>
    </w:p>
    <w:p w14:paraId="474AB400" w14:textId="77777777" w:rsidR="007B0625" w:rsidRDefault="007B0625" w:rsidP="001571BF">
      <w:pPr>
        <w:spacing w:before="0" w:after="200" w:line="276" w:lineRule="auto"/>
        <w:sectPr w:rsidR="007B0625" w:rsidSect="00A2665A">
          <w:type w:val="continuous"/>
          <w:pgSz w:w="16838" w:h="11906" w:orient="landscape"/>
          <w:pgMar w:top="1276" w:right="720" w:bottom="964" w:left="720" w:header="708" w:footer="708" w:gutter="0"/>
          <w:cols w:space="708"/>
          <w:docGrid w:linePitch="360"/>
        </w:sectPr>
      </w:pPr>
      <w:r w:rsidRPr="00490004">
        <w:rPr>
          <w:rFonts w:ascii="Gill Sans MT" w:hAnsi="Gill Sans MT"/>
          <w:b/>
          <w:sz w:val="18"/>
          <w:szCs w:val="18"/>
          <w:vertAlign w:val="superscript"/>
        </w:rPr>
        <w:t>‡</w:t>
      </w:r>
      <w:r>
        <w:rPr>
          <w:rFonts w:ascii="Gill Sans MT" w:hAnsi="Gill Sans MT"/>
          <w:b/>
          <w:sz w:val="18"/>
          <w:szCs w:val="18"/>
          <w:vertAlign w:val="superscript"/>
        </w:rPr>
        <w:t xml:space="preserve"> </w:t>
      </w:r>
      <w:r>
        <w:rPr>
          <w:rFonts w:ascii="Gill Sans MT" w:hAnsi="Gill Sans MT"/>
          <w:sz w:val="18"/>
          <w:szCs w:val="18"/>
        </w:rPr>
        <w:t>Study level according to the Regulated Qualifications Framework for England and Wales (Ofqual, 2015)</w:t>
      </w:r>
    </w:p>
    <w:p w14:paraId="41E9CA84" w14:textId="0B78BF9A" w:rsidR="007B0625" w:rsidRDefault="007B0625" w:rsidP="00A70722">
      <w:pPr>
        <w:pStyle w:val="Heading3"/>
      </w:pPr>
      <w:bookmarkStart w:id="178" w:name="_Toc9795762"/>
      <w:bookmarkStart w:id="179" w:name="_Toc57035925"/>
      <w:r>
        <w:lastRenderedPageBreak/>
        <w:t>II</w:t>
      </w:r>
      <w:r w:rsidR="004D5123">
        <w:tab/>
      </w:r>
      <w:r w:rsidRPr="00537A60">
        <w:t xml:space="preserve">How students </w:t>
      </w:r>
      <w:r>
        <w:t xml:space="preserve">with dyslexia </w:t>
      </w:r>
      <w:r w:rsidRPr="00537A60">
        <w:t>learne</w:t>
      </w:r>
      <w:r>
        <w:t>d of their dyslexia</w:t>
      </w:r>
      <w:bookmarkEnd w:id="178"/>
      <w:bookmarkEnd w:id="179"/>
    </w:p>
    <w:p w14:paraId="6E3805C0" w14:textId="77777777" w:rsidR="004D5123" w:rsidRDefault="004D5123" w:rsidP="007B0625">
      <w:pPr>
        <w:pStyle w:val="Heading4"/>
      </w:pPr>
    </w:p>
    <w:p w14:paraId="410B0178" w14:textId="325B28C6" w:rsidR="007B0625" w:rsidRPr="00AC2B79" w:rsidRDefault="007B0625" w:rsidP="007B0625">
      <w:pPr>
        <w:pStyle w:val="Heading4"/>
      </w:pPr>
      <w:r>
        <w:t>t</w:t>
      </w:r>
      <w:r w:rsidRPr="00537A60">
        <w:t>he impact o</w:t>
      </w:r>
      <w:r w:rsidRPr="007073E5">
        <w:t>f a</w:t>
      </w:r>
      <w:r w:rsidR="007073E5">
        <w:t xml:space="preserve"> </w:t>
      </w:r>
      <w:r w:rsidRPr="007073E5">
        <w:t>diagnosis</w:t>
      </w:r>
      <w:r w:rsidR="007073E5">
        <w:t xml:space="preserve"> </w:t>
      </w:r>
      <w:r w:rsidRPr="00537A60">
        <w:t>of dyslexia on Academic Behavioural Confidence</w:t>
      </w:r>
    </w:p>
    <w:p w14:paraId="746E3047" w14:textId="584F4350" w:rsidR="007B0625" w:rsidRDefault="002A0F08" w:rsidP="00237EF2">
      <w:bookmarkStart w:id="180" w:name="_Hlk528566809"/>
      <w:r w:rsidRPr="002A0F08">
        <w:rPr>
          <w:rFonts w:eastAsia="Times New Roman"/>
          <w:lang w:eastAsia="en-GB"/>
        </w:rPr>
        <w:t>Th</w:t>
      </w:r>
      <w:r w:rsidR="00453A89">
        <w:rPr>
          <w:rFonts w:eastAsia="Times New Roman"/>
          <w:lang w:eastAsia="en-GB"/>
        </w:rPr>
        <w:t xml:space="preserve">is study's </w:t>
      </w:r>
      <w:r w:rsidRPr="002A0F08">
        <w:rPr>
          <w:rFonts w:eastAsia="Times New Roman"/>
          <w:lang w:eastAsia="en-GB"/>
        </w:rPr>
        <w:t xml:space="preserve">hypotheses were </w:t>
      </w:r>
      <w:r w:rsidR="00453A89">
        <w:rPr>
          <w:rFonts w:eastAsia="Times New Roman"/>
          <w:lang w:eastAsia="en-GB"/>
        </w:rPr>
        <w:t xml:space="preserve">grounded on the premise </w:t>
      </w:r>
      <w:r w:rsidRPr="002A0F08">
        <w:rPr>
          <w:rFonts w:eastAsia="Times New Roman"/>
          <w:lang w:eastAsia="en-GB"/>
        </w:rPr>
        <w:t xml:space="preserve">that the dyslexia label may be one of the contributing factors to reduced ABC in students with dyslexia, </w:t>
      </w:r>
      <w:r w:rsidR="00453A89">
        <w:rPr>
          <w:rFonts w:eastAsia="Times New Roman"/>
          <w:lang w:eastAsia="en-GB"/>
        </w:rPr>
        <w:t xml:space="preserve">and which may be </w:t>
      </w:r>
      <w:r w:rsidRPr="002A0F08">
        <w:rPr>
          <w:rFonts w:eastAsia="Times New Roman"/>
          <w:lang w:eastAsia="en-GB"/>
        </w:rPr>
        <w:t xml:space="preserve">especially </w:t>
      </w:r>
      <w:r w:rsidR="00453A89">
        <w:rPr>
          <w:rFonts w:eastAsia="Times New Roman"/>
          <w:lang w:eastAsia="en-GB"/>
        </w:rPr>
        <w:t>likely when</w:t>
      </w:r>
      <w:r w:rsidRPr="002A0F08">
        <w:rPr>
          <w:rFonts w:eastAsia="Times New Roman"/>
          <w:lang w:eastAsia="en-GB"/>
        </w:rPr>
        <w:t xml:space="preserve"> this label </w:t>
      </w:r>
      <w:r w:rsidR="00453A89">
        <w:rPr>
          <w:rFonts w:eastAsia="Times New Roman"/>
          <w:lang w:eastAsia="en-GB"/>
        </w:rPr>
        <w:t>emerged from</w:t>
      </w:r>
      <w:r w:rsidRPr="002A0F08">
        <w:rPr>
          <w:rFonts w:eastAsia="Times New Roman"/>
          <w:lang w:eastAsia="en-GB"/>
        </w:rPr>
        <w:t xml:space="preserve"> </w:t>
      </w:r>
      <w:r w:rsidR="00453A89">
        <w:rPr>
          <w:rFonts w:eastAsia="Times New Roman"/>
          <w:lang w:eastAsia="en-GB"/>
        </w:rPr>
        <w:t>diagnosing dyslexia as a disability (see Section 2.</w:t>
      </w:r>
      <w:r w:rsidR="00EE2457">
        <w:rPr>
          <w:rFonts w:eastAsia="Times New Roman"/>
          <w:lang w:eastAsia="en-GB"/>
        </w:rPr>
        <w:t>1</w:t>
      </w:r>
      <w:r w:rsidR="00AE48D0">
        <w:rPr>
          <w:rFonts w:eastAsia="Times New Roman"/>
          <w:lang w:eastAsia="en-GB"/>
        </w:rPr>
        <w:t>/</w:t>
      </w:r>
      <w:r w:rsidR="00EE2457">
        <w:rPr>
          <w:rFonts w:eastAsia="Times New Roman"/>
          <w:lang w:eastAsia="en-GB"/>
        </w:rPr>
        <w:t>IV</w:t>
      </w:r>
      <w:r w:rsidR="00453A89">
        <w:rPr>
          <w:rFonts w:eastAsia="Times New Roman"/>
          <w:lang w:eastAsia="en-GB"/>
        </w:rPr>
        <w:t>)</w:t>
      </w:r>
      <w:r w:rsidRPr="002A0F08">
        <w:rPr>
          <w:rFonts w:eastAsia="Times New Roman"/>
          <w:lang w:eastAsia="en-GB"/>
        </w:rPr>
        <w:t xml:space="preserve">. Thus, one aspect of the enquiry </w:t>
      </w:r>
      <w:r w:rsidR="00237EF2">
        <w:rPr>
          <w:rFonts w:eastAsia="Times New Roman"/>
          <w:lang w:eastAsia="en-GB"/>
        </w:rPr>
        <w:t xml:space="preserve">formulated an hypothesis to </w:t>
      </w:r>
      <w:r w:rsidRPr="002A0F08">
        <w:rPr>
          <w:rFonts w:eastAsia="Times New Roman"/>
          <w:lang w:eastAsia="en-GB"/>
        </w:rPr>
        <w:t>explore how dyslexic students were told about their dyslexia</w:t>
      </w:r>
      <w:r w:rsidR="00237EF2">
        <w:rPr>
          <w:rFonts w:eastAsia="Times New Roman"/>
          <w:lang w:eastAsia="en-GB"/>
        </w:rPr>
        <w:t xml:space="preserve"> (</w:t>
      </w:r>
      <w:r w:rsidR="00AE48D0">
        <w:rPr>
          <w:rFonts w:eastAsia="Times New Roman"/>
          <w:lang w:eastAsia="en-GB"/>
        </w:rPr>
        <w:t>S</w:t>
      </w:r>
      <w:r w:rsidR="00237EF2">
        <w:rPr>
          <w:rFonts w:eastAsia="Times New Roman"/>
          <w:lang w:eastAsia="en-GB"/>
        </w:rPr>
        <w:t>ection 1.4)</w:t>
      </w:r>
      <w:r w:rsidRPr="002A0F08">
        <w:rPr>
          <w:rFonts w:eastAsia="Times New Roman"/>
          <w:lang w:eastAsia="en-GB"/>
        </w:rPr>
        <w:t xml:space="preserve">. </w:t>
      </w:r>
    </w:p>
    <w:p w14:paraId="05F251CA" w14:textId="18CA9360" w:rsidR="007B0625" w:rsidRDefault="005E1412" w:rsidP="007B0625">
      <w:r>
        <w:rPr>
          <w:noProof/>
          <w:lang w:eastAsia="en-GB"/>
        </w:rPr>
        <mc:AlternateContent>
          <mc:Choice Requires="wps">
            <w:drawing>
              <wp:anchor distT="0" distB="0" distL="114300" distR="114300" simplePos="0" relativeHeight="251664384" behindDoc="0" locked="0" layoutInCell="1" allowOverlap="1" wp14:anchorId="2437E3A1" wp14:editId="5C786BC2">
                <wp:simplePos x="0" y="0"/>
                <wp:positionH relativeFrom="margin">
                  <wp:posOffset>0</wp:posOffset>
                </wp:positionH>
                <wp:positionV relativeFrom="paragraph">
                  <wp:posOffset>2324072</wp:posOffset>
                </wp:positionV>
                <wp:extent cx="5229860" cy="569595"/>
                <wp:effectExtent l="0" t="0" r="8890" b="1905"/>
                <wp:wrapTopAndBottom/>
                <wp:docPr id="252" name="Text Box 252"/>
                <wp:cNvGraphicFramePr/>
                <a:graphic xmlns:a="http://schemas.openxmlformats.org/drawingml/2006/main">
                  <a:graphicData uri="http://schemas.microsoft.com/office/word/2010/wordprocessingShape">
                    <wps:wsp>
                      <wps:cNvSpPr txBox="1"/>
                      <wps:spPr>
                        <a:xfrm>
                          <a:off x="0" y="0"/>
                          <a:ext cx="5229860" cy="569595"/>
                        </a:xfrm>
                        <a:prstGeom prst="rect">
                          <a:avLst/>
                        </a:prstGeom>
                        <a:solidFill>
                          <a:prstClr val="white"/>
                        </a:solidFill>
                        <a:ln>
                          <a:noFill/>
                        </a:ln>
                      </wps:spPr>
                      <wps:txbx>
                        <w:txbxContent>
                          <w:p w14:paraId="5F7339D1" w14:textId="118B2CEE" w:rsidR="00533FBF" w:rsidRPr="006C497E" w:rsidRDefault="00533FBF" w:rsidP="007B0625">
                            <w:pPr>
                              <w:pStyle w:val="Subtitle"/>
                              <w:rPr>
                                <w:rFonts w:ascii="Century Gothic" w:hAnsi="Century Gothic"/>
                              </w:rPr>
                            </w:pPr>
                            <w:bookmarkStart w:id="181" w:name="_Toc3646158"/>
                            <w:bookmarkStart w:id="182" w:name="_Toc3646275"/>
                            <w:bookmarkStart w:id="183" w:name="_Toc5100555"/>
                            <w:bookmarkStart w:id="184" w:name="_Toc5100598"/>
                            <w:bookmarkStart w:id="185" w:name="_Toc5100680"/>
                            <w:bookmarkStart w:id="186" w:name="_Toc5100726"/>
                            <w:bookmarkStart w:id="187" w:name="_Toc9796127"/>
                            <w:bookmarkStart w:id="188" w:name="_Toc9796207"/>
                            <w:bookmarkStart w:id="189" w:name="_Toc56495232"/>
                            <w:r>
                              <w:t xml:space="preserve">Figure </w:t>
                            </w:r>
                            <w:r>
                              <w:rPr>
                                <w:noProof/>
                              </w:rPr>
                              <w:fldChar w:fldCharType="begin"/>
                            </w:r>
                            <w:r>
                              <w:rPr>
                                <w:noProof/>
                              </w:rPr>
                              <w:instrText xml:space="preserve"> SEQ Figure \* ARABIC </w:instrText>
                            </w:r>
                            <w:r>
                              <w:rPr>
                                <w:noProof/>
                              </w:rPr>
                              <w:fldChar w:fldCharType="separate"/>
                            </w:r>
                            <w:r>
                              <w:rPr>
                                <w:noProof/>
                              </w:rPr>
                              <w:t>13</w:t>
                            </w:r>
                            <w:r>
                              <w:rPr>
                                <w:noProof/>
                              </w:rPr>
                              <w:fldChar w:fldCharType="end"/>
                            </w:r>
                            <w:r>
                              <w:t>:</w:t>
                            </w:r>
                            <w:r>
                              <w:tab/>
                              <w:t>Option-selection sentence to indicate how students learned of their dyslexia</w:t>
                            </w:r>
                            <w:bookmarkEnd w:id="181"/>
                            <w:bookmarkEnd w:id="182"/>
                            <w:bookmarkEnd w:id="183"/>
                            <w:bookmarkEnd w:id="184"/>
                            <w:bookmarkEnd w:id="185"/>
                            <w:bookmarkEnd w:id="186"/>
                            <w:bookmarkEnd w:id="187"/>
                            <w:bookmarkEnd w:id="188"/>
                            <w:bookmarkEnd w:id="18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37E3A1" id="Text Box 252" o:spid="_x0000_s1038" type="#_x0000_t202" style="position:absolute;margin-left:0;margin-top:183pt;width:411.8pt;height:44.8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" stroked="f">
                <v:textbox style="mso-fit-shape-to-text:t" inset="0,0,0,0">
                  <w:txbxContent>
                    <w:p w14:paraId="5F7339D1" w14:textId="118B2CEE" w:rsidR="00533FBF" w:rsidRPr="006C497E" w:rsidRDefault="00533FBF" w:rsidP="007B0625">
                      <w:pPr>
                        <w:pStyle w:val="Subtitle"/>
                        <w:rPr>
                          <w:rFonts w:ascii="Century Gothic" w:hAnsi="Century Gothic"/>
                        </w:rPr>
                      </w:pPr>
                      <w:bookmarkStart w:id="208" w:name="_Toc3646158"/>
                      <w:bookmarkStart w:id="209" w:name="_Toc3646275"/>
                      <w:bookmarkStart w:id="210" w:name="_Toc5100555"/>
                      <w:bookmarkStart w:id="211" w:name="_Toc5100598"/>
                      <w:bookmarkStart w:id="212" w:name="_Toc5100680"/>
                      <w:bookmarkStart w:id="213" w:name="_Toc5100726"/>
                      <w:bookmarkStart w:id="214" w:name="_Toc9796127"/>
                      <w:bookmarkStart w:id="215" w:name="_Toc9796207"/>
                      <w:bookmarkStart w:id="216" w:name="_Toc56495232"/>
                      <w:r>
                        <w:t xml:space="preserve">Figure </w:t>
                      </w:r>
                      <w:r>
                        <w:rPr>
                          <w:noProof/>
                        </w:rPr>
                        <w:fldChar w:fldCharType="begin"/>
                      </w:r>
                      <w:r>
                        <w:rPr>
                          <w:noProof/>
                        </w:rPr>
                        <w:instrText xml:space="preserve"> SEQ Figure \* ARABIC </w:instrText>
                      </w:r>
                      <w:r>
                        <w:rPr>
                          <w:noProof/>
                        </w:rPr>
                        <w:fldChar w:fldCharType="separate"/>
                      </w:r>
                      <w:r>
                        <w:rPr>
                          <w:noProof/>
                        </w:rPr>
                        <w:t>13</w:t>
                      </w:r>
                      <w:r>
                        <w:rPr>
                          <w:noProof/>
                        </w:rPr>
                        <w:fldChar w:fldCharType="end"/>
                      </w:r>
                      <w:r>
                        <w:t>:</w:t>
                      </w:r>
                      <w:r>
                        <w:tab/>
                        <w:t>Option-selection sentence to indicate how students learned of their dyslexia</w:t>
                      </w:r>
                      <w:bookmarkEnd w:id="208"/>
                      <w:bookmarkEnd w:id="209"/>
                      <w:bookmarkEnd w:id="210"/>
                      <w:bookmarkEnd w:id="211"/>
                      <w:bookmarkEnd w:id="212"/>
                      <w:bookmarkEnd w:id="213"/>
                      <w:bookmarkEnd w:id="214"/>
                      <w:bookmarkEnd w:id="215"/>
                      <w:bookmarkEnd w:id="216"/>
                    </w:p>
                  </w:txbxContent>
                </v:textbox>
                <w10:wrap type="topAndBottom" anchorx="margin"/>
              </v:shape>
            </w:pict>
          </mc:Fallback>
        </mc:AlternateContent>
      </w:r>
      <w:r w:rsidR="00035954">
        <w:t>P</w:t>
      </w:r>
      <w:r>
        <w:t>articipant</w:t>
      </w:r>
      <w:r w:rsidR="007B0625" w:rsidRPr="00C26906">
        <w:t xml:space="preserve">s </w:t>
      </w:r>
      <w:r>
        <w:t xml:space="preserve">in this current study </w:t>
      </w:r>
      <w:r w:rsidR="007B0625" w:rsidRPr="00C26906">
        <w:t xml:space="preserve">who </w:t>
      </w:r>
      <w:r w:rsidR="007B0625">
        <w:t xml:space="preserve">declared </w:t>
      </w:r>
      <w:r w:rsidR="007B0625" w:rsidRPr="00C26906">
        <w:t xml:space="preserve">their dyslexia were invited to report how they </w:t>
      </w:r>
      <w:r w:rsidR="005E38D3">
        <w:t xml:space="preserve">were informed </w:t>
      </w:r>
      <w:r w:rsidR="007B0625" w:rsidRPr="00C26906">
        <w:t>about their dyslexia</w:t>
      </w:r>
      <w:r w:rsidR="007B0625">
        <w:t xml:space="preserve"> by selecting options to complete a simple statement (Figure 1</w:t>
      </w:r>
      <w:r w:rsidR="006D43F8">
        <w:t>3</w:t>
      </w:r>
      <w:r w:rsidR="007B0625">
        <w:t>)</w:t>
      </w:r>
      <w:r w:rsidR="007B0625" w:rsidRPr="00C26906">
        <w:t>.</w:t>
      </w:r>
    </w:p>
    <w:tbl>
      <w:tblPr>
        <w:tblStyle w:val="TableGrid"/>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1644"/>
        <w:gridCol w:w="1843"/>
        <w:gridCol w:w="1644"/>
      </w:tblGrid>
      <w:tr w:rsidR="007B0625" w:rsidRPr="00E14327" w14:paraId="608CC5F8" w14:textId="77777777" w:rsidTr="007B0625">
        <w:tc>
          <w:tcPr>
            <w:tcW w:w="1559" w:type="dxa"/>
          </w:tcPr>
          <w:p w14:paraId="3C385C0B" w14:textId="41734AA1" w:rsidR="007B0625" w:rsidRPr="00E14327" w:rsidRDefault="007B0625" w:rsidP="007B0625">
            <w:pPr>
              <w:spacing w:before="0" w:after="0" w:line="276" w:lineRule="auto"/>
              <w:jc w:val="right"/>
              <w:rPr>
                <w:rFonts w:ascii="Gill Sans MT" w:hAnsi="Gill Sans MT"/>
              </w:rPr>
            </w:pPr>
            <w:r>
              <w:rPr>
                <w:rFonts w:ascii="Gill Sans MT" w:hAnsi="Gill Sans MT"/>
              </w:rPr>
              <w:t>‘My dyslexia was</w:t>
            </w:r>
          </w:p>
        </w:tc>
        <w:tc>
          <w:tcPr>
            <w:tcW w:w="1644" w:type="dxa"/>
            <w:shd w:val="clear" w:color="auto" w:fill="AEAAAA" w:themeFill="background2" w:themeFillShade="BF"/>
          </w:tcPr>
          <w:p w14:paraId="592FEB89" w14:textId="77777777" w:rsidR="007B0625" w:rsidRPr="003F2B20" w:rsidRDefault="007B0625" w:rsidP="007B0625">
            <w:pPr>
              <w:spacing w:before="0" w:after="0" w:line="276" w:lineRule="auto"/>
              <w:rPr>
                <w:rFonts w:ascii="Gill Sans MT" w:hAnsi="Gill Sans MT"/>
                <w:color w:val="FFFFFF" w:themeColor="background1"/>
              </w:rPr>
            </w:pPr>
            <w:r w:rsidRPr="003F2B20">
              <w:rPr>
                <w:rFonts w:ascii="Gill Sans MT" w:hAnsi="Gill Sans MT"/>
                <w:color w:val="FFFFFF" w:themeColor="background1"/>
              </w:rPr>
              <w:t>choose one …</w:t>
            </w:r>
            <w:r>
              <w:rPr>
                <w:rFonts w:ascii="Arial" w:hAnsi="Arial" w:cs="Arial"/>
                <w:color w:val="FFFFFF" w:themeColor="background1"/>
              </w:rPr>
              <w:t>▼</w:t>
            </w:r>
          </w:p>
        </w:tc>
        <w:tc>
          <w:tcPr>
            <w:tcW w:w="1843" w:type="dxa"/>
          </w:tcPr>
          <w:p w14:paraId="1E6BC2EF" w14:textId="77777777" w:rsidR="007B0625" w:rsidRPr="00E14327" w:rsidRDefault="007B0625" w:rsidP="007B0625">
            <w:pPr>
              <w:spacing w:before="0" w:after="0" w:line="276" w:lineRule="auto"/>
              <w:jc w:val="center"/>
              <w:rPr>
                <w:rFonts w:ascii="Gill Sans MT" w:hAnsi="Gill Sans MT"/>
              </w:rPr>
            </w:pPr>
            <w:r>
              <w:rPr>
                <w:rFonts w:ascii="Gill Sans MT" w:hAnsi="Gill Sans MT"/>
              </w:rPr>
              <w:t>to me as a learning</w:t>
            </w:r>
          </w:p>
        </w:tc>
        <w:tc>
          <w:tcPr>
            <w:tcW w:w="1644" w:type="dxa"/>
            <w:shd w:val="clear" w:color="auto" w:fill="AEAAAA" w:themeFill="background2" w:themeFillShade="BF"/>
          </w:tcPr>
          <w:p w14:paraId="27220E56" w14:textId="77777777" w:rsidR="007B0625" w:rsidRPr="00E14327" w:rsidRDefault="007B0625" w:rsidP="007B0625">
            <w:pPr>
              <w:spacing w:before="0" w:after="0" w:line="276" w:lineRule="auto"/>
              <w:rPr>
                <w:rFonts w:ascii="Gill Sans MT" w:hAnsi="Gill Sans MT"/>
              </w:rPr>
            </w:pPr>
            <w:r w:rsidRPr="003F2B20">
              <w:rPr>
                <w:rFonts w:ascii="Gill Sans MT" w:hAnsi="Gill Sans MT"/>
                <w:color w:val="FFFFFF" w:themeColor="background1"/>
              </w:rPr>
              <w:t>choose one …</w:t>
            </w:r>
            <w:r>
              <w:rPr>
                <w:rFonts w:ascii="Arial" w:hAnsi="Arial" w:cs="Arial"/>
                <w:color w:val="FFFFFF" w:themeColor="background1"/>
              </w:rPr>
              <w:t>▼</w:t>
            </w:r>
          </w:p>
        </w:tc>
      </w:tr>
      <w:tr w:rsidR="007B0625" w:rsidRPr="00E14327" w14:paraId="7A1D0ED1" w14:textId="77777777" w:rsidTr="007B0625">
        <w:tc>
          <w:tcPr>
            <w:tcW w:w="1559" w:type="dxa"/>
          </w:tcPr>
          <w:p w14:paraId="139394F0" w14:textId="345847B2" w:rsidR="007B0625" w:rsidRPr="00E14327" w:rsidRDefault="007B0625" w:rsidP="007B0625">
            <w:pPr>
              <w:spacing w:before="0" w:after="0" w:line="276" w:lineRule="auto"/>
              <w:rPr>
                <w:rFonts w:ascii="Gill Sans MT" w:hAnsi="Gill Sans MT"/>
              </w:rPr>
            </w:pPr>
          </w:p>
        </w:tc>
        <w:tc>
          <w:tcPr>
            <w:tcW w:w="1644" w:type="dxa"/>
            <w:shd w:val="clear" w:color="auto" w:fill="ECD0BE"/>
          </w:tcPr>
          <w:p w14:paraId="1FC56680" w14:textId="77777777" w:rsidR="007B0625" w:rsidRPr="00E14327" w:rsidRDefault="007B0625" w:rsidP="007B0625">
            <w:pPr>
              <w:spacing w:before="0" w:after="0" w:line="276" w:lineRule="auto"/>
              <w:rPr>
                <w:rFonts w:ascii="Gill Sans MT" w:hAnsi="Gill Sans MT"/>
              </w:rPr>
            </w:pPr>
            <w:r>
              <w:rPr>
                <w:rFonts w:ascii="Gill Sans MT" w:hAnsi="Gill Sans MT"/>
              </w:rPr>
              <w:t>disclosed</w:t>
            </w:r>
          </w:p>
        </w:tc>
        <w:tc>
          <w:tcPr>
            <w:tcW w:w="1843" w:type="dxa"/>
          </w:tcPr>
          <w:p w14:paraId="72F9EF86" w14:textId="77777777" w:rsidR="007B0625" w:rsidRPr="00E14327" w:rsidRDefault="007B0625" w:rsidP="007B0625">
            <w:pPr>
              <w:spacing w:before="0" w:after="0" w:line="276" w:lineRule="auto"/>
              <w:rPr>
                <w:rFonts w:ascii="Gill Sans MT" w:hAnsi="Gill Sans MT"/>
              </w:rPr>
            </w:pPr>
          </w:p>
        </w:tc>
        <w:tc>
          <w:tcPr>
            <w:tcW w:w="1644" w:type="dxa"/>
            <w:shd w:val="clear" w:color="auto" w:fill="ECD0BE"/>
          </w:tcPr>
          <w:p w14:paraId="7966DC44" w14:textId="77777777" w:rsidR="007B0625" w:rsidRPr="00E14327" w:rsidRDefault="007B0625" w:rsidP="007B0625">
            <w:pPr>
              <w:spacing w:before="0" w:after="0" w:line="276" w:lineRule="auto"/>
              <w:rPr>
                <w:rFonts w:ascii="Gill Sans MT" w:hAnsi="Gill Sans MT"/>
              </w:rPr>
            </w:pPr>
            <w:r>
              <w:rPr>
                <w:rFonts w:ascii="Gill Sans MT" w:hAnsi="Gill Sans MT"/>
              </w:rPr>
              <w:t>disability</w:t>
            </w:r>
          </w:p>
        </w:tc>
      </w:tr>
      <w:tr w:rsidR="007B0625" w:rsidRPr="00E14327" w14:paraId="380E1CF3" w14:textId="77777777" w:rsidTr="007B0625">
        <w:tc>
          <w:tcPr>
            <w:tcW w:w="1559" w:type="dxa"/>
          </w:tcPr>
          <w:p w14:paraId="47CE5A57" w14:textId="77777777" w:rsidR="007B0625" w:rsidRPr="00E14327" w:rsidRDefault="007B0625" w:rsidP="007B0625">
            <w:pPr>
              <w:spacing w:before="0" w:after="0" w:line="276" w:lineRule="auto"/>
              <w:rPr>
                <w:rFonts w:ascii="Gill Sans MT" w:hAnsi="Gill Sans MT"/>
              </w:rPr>
            </w:pPr>
          </w:p>
        </w:tc>
        <w:tc>
          <w:tcPr>
            <w:tcW w:w="1644" w:type="dxa"/>
            <w:shd w:val="clear" w:color="auto" w:fill="ECD0BE"/>
          </w:tcPr>
          <w:p w14:paraId="526CA388" w14:textId="77777777" w:rsidR="007B0625" w:rsidRPr="00E14327" w:rsidRDefault="007B0625" w:rsidP="007B0625">
            <w:pPr>
              <w:spacing w:before="0" w:after="0" w:line="276" w:lineRule="auto"/>
              <w:rPr>
                <w:rFonts w:ascii="Gill Sans MT" w:hAnsi="Gill Sans MT"/>
              </w:rPr>
            </w:pPr>
            <w:r>
              <w:rPr>
                <w:rFonts w:ascii="Gill Sans MT" w:hAnsi="Gill Sans MT"/>
              </w:rPr>
              <w:t>described</w:t>
            </w:r>
          </w:p>
        </w:tc>
        <w:tc>
          <w:tcPr>
            <w:tcW w:w="1843" w:type="dxa"/>
          </w:tcPr>
          <w:p w14:paraId="2CCA6FC6" w14:textId="77777777" w:rsidR="007B0625" w:rsidRPr="00E14327" w:rsidRDefault="007B0625" w:rsidP="007B0625">
            <w:pPr>
              <w:spacing w:before="0" w:after="0" w:line="276" w:lineRule="auto"/>
              <w:rPr>
                <w:rFonts w:ascii="Gill Sans MT" w:hAnsi="Gill Sans MT"/>
              </w:rPr>
            </w:pPr>
          </w:p>
        </w:tc>
        <w:tc>
          <w:tcPr>
            <w:tcW w:w="1644" w:type="dxa"/>
            <w:shd w:val="clear" w:color="auto" w:fill="ECD0BE"/>
          </w:tcPr>
          <w:p w14:paraId="6D2ED0D3" w14:textId="77777777" w:rsidR="007B0625" w:rsidRPr="00E14327" w:rsidRDefault="007B0625" w:rsidP="007B0625">
            <w:pPr>
              <w:spacing w:before="0" w:after="0" w:line="276" w:lineRule="auto"/>
              <w:rPr>
                <w:rFonts w:ascii="Gill Sans MT" w:hAnsi="Gill Sans MT"/>
              </w:rPr>
            </w:pPr>
            <w:r>
              <w:rPr>
                <w:rFonts w:ascii="Gill Sans MT" w:hAnsi="Gill Sans MT"/>
              </w:rPr>
              <w:t>difference</w:t>
            </w:r>
          </w:p>
        </w:tc>
      </w:tr>
      <w:tr w:rsidR="007B0625" w:rsidRPr="00E14327" w14:paraId="0947B31D" w14:textId="77777777" w:rsidTr="007B0625">
        <w:tc>
          <w:tcPr>
            <w:tcW w:w="1559" w:type="dxa"/>
          </w:tcPr>
          <w:p w14:paraId="10795824" w14:textId="77777777" w:rsidR="007B0625" w:rsidRPr="00E14327" w:rsidRDefault="007B0625" w:rsidP="007B0625">
            <w:pPr>
              <w:spacing w:before="0" w:after="0" w:line="276" w:lineRule="auto"/>
              <w:rPr>
                <w:rFonts w:ascii="Gill Sans MT" w:hAnsi="Gill Sans MT"/>
              </w:rPr>
            </w:pPr>
          </w:p>
        </w:tc>
        <w:tc>
          <w:tcPr>
            <w:tcW w:w="1644" w:type="dxa"/>
            <w:shd w:val="clear" w:color="auto" w:fill="ECD0BE"/>
          </w:tcPr>
          <w:p w14:paraId="1A3729F5" w14:textId="77777777" w:rsidR="007B0625" w:rsidRPr="00E14327" w:rsidRDefault="007B0625" w:rsidP="007B0625">
            <w:pPr>
              <w:spacing w:before="0" w:after="0" w:line="276" w:lineRule="auto"/>
              <w:rPr>
                <w:rFonts w:ascii="Gill Sans MT" w:hAnsi="Gill Sans MT"/>
              </w:rPr>
            </w:pPr>
            <w:r>
              <w:rPr>
                <w:rFonts w:ascii="Gill Sans MT" w:hAnsi="Gill Sans MT"/>
              </w:rPr>
              <w:t>identified</w:t>
            </w:r>
          </w:p>
        </w:tc>
        <w:tc>
          <w:tcPr>
            <w:tcW w:w="1843" w:type="dxa"/>
          </w:tcPr>
          <w:p w14:paraId="51515D6A" w14:textId="77777777" w:rsidR="007B0625" w:rsidRPr="00E14327" w:rsidRDefault="007B0625" w:rsidP="007B0625">
            <w:pPr>
              <w:spacing w:before="0" w:after="0" w:line="276" w:lineRule="auto"/>
              <w:rPr>
                <w:rFonts w:ascii="Gill Sans MT" w:hAnsi="Gill Sans MT"/>
              </w:rPr>
            </w:pPr>
          </w:p>
        </w:tc>
        <w:tc>
          <w:tcPr>
            <w:tcW w:w="1644" w:type="dxa"/>
            <w:shd w:val="clear" w:color="auto" w:fill="ECD0BE"/>
          </w:tcPr>
          <w:p w14:paraId="39799B4D" w14:textId="77777777" w:rsidR="007B0625" w:rsidRPr="00E14327" w:rsidRDefault="007B0625" w:rsidP="007B0625">
            <w:pPr>
              <w:spacing w:before="0" w:after="0" w:line="276" w:lineRule="auto"/>
              <w:rPr>
                <w:rFonts w:ascii="Gill Sans MT" w:hAnsi="Gill Sans MT"/>
              </w:rPr>
            </w:pPr>
            <w:r>
              <w:rPr>
                <w:rFonts w:ascii="Gill Sans MT" w:hAnsi="Gill Sans MT"/>
              </w:rPr>
              <w:t>weakness</w:t>
            </w:r>
          </w:p>
        </w:tc>
      </w:tr>
      <w:tr w:rsidR="007B0625" w:rsidRPr="00E14327" w14:paraId="17064B32" w14:textId="77777777" w:rsidTr="007B0625">
        <w:tc>
          <w:tcPr>
            <w:tcW w:w="1559" w:type="dxa"/>
          </w:tcPr>
          <w:p w14:paraId="1EAF26B8" w14:textId="16F5B33D" w:rsidR="007B0625" w:rsidRPr="00E14327" w:rsidRDefault="007B0625" w:rsidP="007B0625">
            <w:pPr>
              <w:spacing w:before="0" w:after="0" w:line="276" w:lineRule="auto"/>
              <w:rPr>
                <w:rFonts w:ascii="Gill Sans MT" w:hAnsi="Gill Sans MT"/>
              </w:rPr>
            </w:pPr>
          </w:p>
        </w:tc>
        <w:tc>
          <w:tcPr>
            <w:tcW w:w="1644" w:type="dxa"/>
            <w:shd w:val="clear" w:color="auto" w:fill="ECD0BE"/>
          </w:tcPr>
          <w:p w14:paraId="406D29C0" w14:textId="77777777" w:rsidR="007B0625" w:rsidRPr="00E14327" w:rsidRDefault="007B0625" w:rsidP="007B0625">
            <w:pPr>
              <w:spacing w:before="0" w:after="0" w:line="276" w:lineRule="auto"/>
              <w:rPr>
                <w:rFonts w:ascii="Gill Sans MT" w:hAnsi="Gill Sans MT"/>
              </w:rPr>
            </w:pPr>
            <w:r>
              <w:rPr>
                <w:rFonts w:ascii="Gill Sans MT" w:hAnsi="Gill Sans MT"/>
              </w:rPr>
              <w:t>diagnosed</w:t>
            </w:r>
          </w:p>
        </w:tc>
        <w:tc>
          <w:tcPr>
            <w:tcW w:w="1843" w:type="dxa"/>
          </w:tcPr>
          <w:p w14:paraId="36E77A79" w14:textId="77777777" w:rsidR="007B0625" w:rsidRPr="00E14327" w:rsidRDefault="007B0625" w:rsidP="007B0625">
            <w:pPr>
              <w:spacing w:before="0" w:after="0" w:line="276" w:lineRule="auto"/>
              <w:rPr>
                <w:rFonts w:ascii="Gill Sans MT" w:hAnsi="Gill Sans MT"/>
              </w:rPr>
            </w:pPr>
          </w:p>
        </w:tc>
        <w:tc>
          <w:tcPr>
            <w:tcW w:w="1644" w:type="dxa"/>
            <w:shd w:val="clear" w:color="auto" w:fill="ECD0BE"/>
          </w:tcPr>
          <w:p w14:paraId="695257FC" w14:textId="77777777" w:rsidR="007B0625" w:rsidRPr="00E14327" w:rsidRDefault="007B0625" w:rsidP="007B0625">
            <w:pPr>
              <w:spacing w:before="0" w:after="0" w:line="276" w:lineRule="auto"/>
              <w:rPr>
                <w:rFonts w:ascii="Gill Sans MT" w:hAnsi="Gill Sans MT"/>
              </w:rPr>
            </w:pPr>
            <w:r>
              <w:rPr>
                <w:rFonts w:ascii="Gill Sans MT" w:hAnsi="Gill Sans MT"/>
              </w:rPr>
              <w:t>strength</w:t>
            </w:r>
          </w:p>
        </w:tc>
      </w:tr>
      <w:tr w:rsidR="007B0625" w:rsidRPr="00E14327" w14:paraId="32147653" w14:textId="77777777" w:rsidTr="007B0625">
        <w:tc>
          <w:tcPr>
            <w:tcW w:w="1559" w:type="dxa"/>
          </w:tcPr>
          <w:p w14:paraId="677F7F2C" w14:textId="75F7A4A7" w:rsidR="007B0625" w:rsidRPr="00E14327" w:rsidRDefault="007B0625" w:rsidP="007B0625">
            <w:pPr>
              <w:spacing w:before="0" w:after="0" w:line="276" w:lineRule="auto"/>
              <w:rPr>
                <w:rFonts w:ascii="Gill Sans MT" w:hAnsi="Gill Sans MT"/>
              </w:rPr>
            </w:pPr>
          </w:p>
        </w:tc>
        <w:tc>
          <w:tcPr>
            <w:tcW w:w="1644" w:type="dxa"/>
          </w:tcPr>
          <w:p w14:paraId="213EBC2A" w14:textId="77777777" w:rsidR="007B0625" w:rsidRPr="00E14327" w:rsidRDefault="007B0625" w:rsidP="007B0625">
            <w:pPr>
              <w:spacing w:before="0" w:after="0" w:line="276" w:lineRule="auto"/>
              <w:rPr>
                <w:rFonts w:ascii="Gill Sans MT" w:hAnsi="Gill Sans MT"/>
              </w:rPr>
            </w:pPr>
          </w:p>
        </w:tc>
        <w:tc>
          <w:tcPr>
            <w:tcW w:w="1843" w:type="dxa"/>
          </w:tcPr>
          <w:p w14:paraId="7EC5506D" w14:textId="77777777" w:rsidR="007B0625" w:rsidRPr="00E14327" w:rsidRDefault="007B0625" w:rsidP="007B0625">
            <w:pPr>
              <w:spacing w:before="0" w:after="0" w:line="276" w:lineRule="auto"/>
              <w:rPr>
                <w:rFonts w:ascii="Gill Sans MT" w:hAnsi="Gill Sans MT"/>
              </w:rPr>
            </w:pPr>
          </w:p>
        </w:tc>
        <w:tc>
          <w:tcPr>
            <w:tcW w:w="1644" w:type="dxa"/>
            <w:shd w:val="clear" w:color="auto" w:fill="ECD0BE"/>
          </w:tcPr>
          <w:p w14:paraId="72AB5623" w14:textId="77777777" w:rsidR="007B0625" w:rsidRPr="00E14327" w:rsidRDefault="007B0625" w:rsidP="007B0625">
            <w:pPr>
              <w:spacing w:before="0" w:after="0" w:line="276" w:lineRule="auto"/>
              <w:rPr>
                <w:rFonts w:ascii="Gill Sans MT" w:hAnsi="Gill Sans MT"/>
              </w:rPr>
            </w:pPr>
            <w:r>
              <w:rPr>
                <w:rFonts w:ascii="Gill Sans MT" w:hAnsi="Gill Sans MT"/>
              </w:rPr>
              <w:t>deficit</w:t>
            </w:r>
          </w:p>
        </w:tc>
      </w:tr>
      <w:tr w:rsidR="007B0625" w:rsidRPr="00E14327" w14:paraId="7C440629" w14:textId="77777777" w:rsidTr="007B0625">
        <w:tc>
          <w:tcPr>
            <w:tcW w:w="1559" w:type="dxa"/>
          </w:tcPr>
          <w:p w14:paraId="560C207F" w14:textId="7CFC31DA" w:rsidR="007B0625" w:rsidRPr="00E14327" w:rsidRDefault="007B0625" w:rsidP="007B0625">
            <w:pPr>
              <w:spacing w:before="0" w:after="0" w:line="276" w:lineRule="auto"/>
              <w:rPr>
                <w:rFonts w:ascii="Gill Sans MT" w:hAnsi="Gill Sans MT"/>
              </w:rPr>
            </w:pPr>
          </w:p>
        </w:tc>
        <w:tc>
          <w:tcPr>
            <w:tcW w:w="1644" w:type="dxa"/>
          </w:tcPr>
          <w:p w14:paraId="2A4799E1" w14:textId="77777777" w:rsidR="007B0625" w:rsidRPr="00E14327" w:rsidRDefault="007B0625" w:rsidP="007B0625">
            <w:pPr>
              <w:spacing w:before="0" w:after="0" w:line="276" w:lineRule="auto"/>
              <w:rPr>
                <w:rFonts w:ascii="Gill Sans MT" w:hAnsi="Gill Sans MT"/>
              </w:rPr>
            </w:pPr>
          </w:p>
        </w:tc>
        <w:tc>
          <w:tcPr>
            <w:tcW w:w="1843" w:type="dxa"/>
          </w:tcPr>
          <w:p w14:paraId="17E71C3D" w14:textId="77777777" w:rsidR="007B0625" w:rsidRPr="00E14327" w:rsidRDefault="007B0625" w:rsidP="007B0625">
            <w:pPr>
              <w:spacing w:before="0" w:after="0" w:line="276" w:lineRule="auto"/>
              <w:rPr>
                <w:rFonts w:ascii="Gill Sans MT" w:hAnsi="Gill Sans MT"/>
              </w:rPr>
            </w:pPr>
          </w:p>
        </w:tc>
        <w:tc>
          <w:tcPr>
            <w:tcW w:w="1644" w:type="dxa"/>
            <w:shd w:val="clear" w:color="auto" w:fill="ECD0BE"/>
          </w:tcPr>
          <w:p w14:paraId="18331F4A" w14:textId="77777777" w:rsidR="007B0625" w:rsidRPr="00E14327" w:rsidRDefault="007B0625" w:rsidP="007B0625">
            <w:pPr>
              <w:spacing w:before="0" w:after="0" w:line="276" w:lineRule="auto"/>
              <w:rPr>
                <w:rFonts w:ascii="Gill Sans MT" w:hAnsi="Gill Sans MT"/>
              </w:rPr>
            </w:pPr>
            <w:r>
              <w:rPr>
                <w:rFonts w:ascii="Gill Sans MT" w:hAnsi="Gill Sans MT"/>
              </w:rPr>
              <w:t>difficulty</w:t>
            </w:r>
          </w:p>
        </w:tc>
      </w:tr>
    </w:tbl>
    <w:p w14:paraId="09C8A458" w14:textId="0914A6F9" w:rsidR="00237EF2" w:rsidRDefault="00237EF2" w:rsidP="00237EF2">
      <w:pPr>
        <w:rPr>
          <w:rFonts w:eastAsia="Times New Roman"/>
          <w:lang w:eastAsia="en-GB"/>
        </w:rPr>
      </w:pPr>
      <w:r>
        <w:t xml:space="preserve">It was reasonable to assume that the 68 </w:t>
      </w:r>
      <w:r w:rsidRPr="00C26906">
        <w:t xml:space="preserve">students </w:t>
      </w:r>
      <w:r>
        <w:t xml:space="preserve">who declared their dyslexia </w:t>
      </w:r>
      <w:r w:rsidRPr="00C26906">
        <w:t>had participated in a formal dyslexia screening and/or assessment</w:t>
      </w:r>
      <w:r>
        <w:t xml:space="preserve"> at </w:t>
      </w:r>
      <w:r w:rsidRPr="00C26906">
        <w:t>universit</w:t>
      </w:r>
      <w:r>
        <w:t>y,</w:t>
      </w:r>
      <w:r w:rsidRPr="00C26906">
        <w:t xml:space="preserve"> or </w:t>
      </w:r>
      <w:r>
        <w:t xml:space="preserve">during </w:t>
      </w:r>
      <w:r w:rsidRPr="00C26906">
        <w:t>their earlier years in educatio</w:t>
      </w:r>
      <w:r>
        <w:t xml:space="preserve">n, and 64/68 (94%) provided data (Table </w:t>
      </w:r>
      <w:r w:rsidR="005F0F49">
        <w:t>8</w:t>
      </w:r>
      <w:r>
        <w:t xml:space="preserve">). Of these 64, </w:t>
      </w:r>
      <w:r w:rsidRPr="00F229F6">
        <w:rPr>
          <w:rFonts w:eastAsia="Times New Roman"/>
          <w:lang w:eastAsia="en-GB"/>
        </w:rPr>
        <w:t xml:space="preserve">22 (34%) said that their dyslexia was diagnosed to them as a disability; </w:t>
      </w:r>
      <w:r>
        <w:rPr>
          <w:rFonts w:eastAsia="Times New Roman"/>
          <w:lang w:eastAsia="en-GB"/>
        </w:rPr>
        <w:t>18</w:t>
      </w:r>
      <w:r w:rsidRPr="00F229F6">
        <w:rPr>
          <w:rFonts w:eastAsia="Times New Roman"/>
          <w:lang w:eastAsia="en-GB"/>
        </w:rPr>
        <w:t xml:space="preserve"> (</w:t>
      </w:r>
      <w:r>
        <w:rPr>
          <w:rFonts w:eastAsia="Times New Roman"/>
          <w:lang w:eastAsia="en-GB"/>
        </w:rPr>
        <w:t>28</w:t>
      </w:r>
      <w:r w:rsidRPr="00F229F6">
        <w:rPr>
          <w:rFonts w:eastAsia="Times New Roman"/>
          <w:lang w:eastAsia="en-GB"/>
        </w:rPr>
        <w:t>%) said that their dyslexia was diagnosed to them as a difficulty</w:t>
      </w:r>
      <w:r>
        <w:rPr>
          <w:rFonts w:eastAsia="Times New Roman"/>
          <w:lang w:eastAsia="en-GB"/>
        </w:rPr>
        <w:t>, while 1 student (1.5%) said that their dyslexia was diagnosed as a deficit;</w:t>
      </w:r>
      <w:r w:rsidRPr="00F229F6">
        <w:rPr>
          <w:rFonts w:eastAsia="Times New Roman"/>
          <w:lang w:eastAsia="en-GB"/>
        </w:rPr>
        <w:t xml:space="preserve"> </w:t>
      </w:r>
      <w:r w:rsidR="00C22B08">
        <w:rPr>
          <w:rFonts w:eastAsia="Times New Roman"/>
          <w:lang w:eastAsia="en-GB"/>
        </w:rPr>
        <w:t>23</w:t>
      </w:r>
      <w:r w:rsidRPr="00F229F6">
        <w:rPr>
          <w:rFonts w:eastAsia="Times New Roman"/>
          <w:lang w:eastAsia="en-GB"/>
        </w:rPr>
        <w:t xml:space="preserve"> students (</w:t>
      </w:r>
      <w:r w:rsidR="00C22B08">
        <w:rPr>
          <w:rFonts w:eastAsia="Times New Roman"/>
          <w:lang w:eastAsia="en-GB"/>
        </w:rPr>
        <w:t>36</w:t>
      </w:r>
      <w:r w:rsidRPr="00F229F6">
        <w:rPr>
          <w:rFonts w:eastAsia="Times New Roman"/>
          <w:lang w:eastAsia="en-GB"/>
        </w:rPr>
        <w:t>%) learned of their dyslexia by one of the other alternatives offered, with</w:t>
      </w:r>
      <w:r>
        <w:rPr>
          <w:rFonts w:eastAsia="Times New Roman"/>
          <w:lang w:eastAsia="en-GB"/>
        </w:rPr>
        <w:t xml:space="preserve"> </w:t>
      </w:r>
      <w:r w:rsidRPr="00F229F6">
        <w:rPr>
          <w:rFonts w:eastAsia="Times New Roman"/>
          <w:lang w:eastAsia="en-GB"/>
        </w:rPr>
        <w:t>3/</w:t>
      </w:r>
      <w:r w:rsidR="00C22B08">
        <w:rPr>
          <w:rFonts w:eastAsia="Times New Roman"/>
          <w:lang w:eastAsia="en-GB"/>
        </w:rPr>
        <w:t>23</w:t>
      </w:r>
      <w:r>
        <w:rPr>
          <w:rFonts w:eastAsia="Times New Roman"/>
          <w:lang w:eastAsia="en-GB"/>
        </w:rPr>
        <w:t xml:space="preserve"> </w:t>
      </w:r>
      <w:r w:rsidRPr="00F229F6">
        <w:rPr>
          <w:rFonts w:eastAsia="Times New Roman"/>
          <w:lang w:eastAsia="en-GB"/>
        </w:rPr>
        <w:t xml:space="preserve">(&lt; </w:t>
      </w:r>
      <w:r w:rsidR="00C22B08">
        <w:rPr>
          <w:rFonts w:eastAsia="Times New Roman"/>
          <w:lang w:eastAsia="en-GB"/>
        </w:rPr>
        <w:t>2</w:t>
      </w:r>
      <w:r w:rsidRPr="00F229F6">
        <w:rPr>
          <w:rFonts w:eastAsia="Times New Roman"/>
          <w:lang w:eastAsia="en-GB"/>
        </w:rPr>
        <w:t>%) ha</w:t>
      </w:r>
      <w:r>
        <w:rPr>
          <w:rFonts w:eastAsia="Times New Roman"/>
          <w:lang w:eastAsia="en-GB"/>
        </w:rPr>
        <w:t>ving</w:t>
      </w:r>
      <w:r w:rsidRPr="00F229F6">
        <w:rPr>
          <w:rFonts w:eastAsia="Times New Roman"/>
          <w:lang w:eastAsia="en-GB"/>
        </w:rPr>
        <w:t xml:space="preserve"> their dyslexia described </w:t>
      </w:r>
      <w:r w:rsidR="00C22B08">
        <w:rPr>
          <w:rFonts w:eastAsia="Times New Roman"/>
          <w:lang w:eastAsia="en-GB"/>
        </w:rPr>
        <w:t xml:space="preserve">or identified </w:t>
      </w:r>
      <w:r w:rsidRPr="00F229F6">
        <w:rPr>
          <w:rFonts w:eastAsia="Times New Roman"/>
          <w:lang w:eastAsia="en-GB"/>
        </w:rPr>
        <w:t xml:space="preserve">as a </w:t>
      </w:r>
      <w:r>
        <w:rPr>
          <w:rFonts w:eastAsia="Times New Roman"/>
          <w:lang w:eastAsia="en-GB"/>
        </w:rPr>
        <w:t xml:space="preserve">difference. </w:t>
      </w:r>
      <w:r w:rsidRPr="00F229F6">
        <w:rPr>
          <w:rFonts w:eastAsia="Times New Roman"/>
          <w:lang w:eastAsia="en-GB"/>
        </w:rPr>
        <w:t xml:space="preserve">Of the 4 students with dyslexia who did not respond, it is not known whether this was due to a reluctance to disclose, or that an option that matched their recollection about how they learned of their dyslexia was not </w:t>
      </w:r>
      <w:r>
        <w:rPr>
          <w:rFonts w:eastAsia="Times New Roman"/>
          <w:lang w:eastAsia="en-GB"/>
        </w:rPr>
        <w:t>available</w:t>
      </w:r>
      <w:r w:rsidRPr="00F229F6">
        <w:rPr>
          <w:rFonts w:eastAsia="Times New Roman"/>
          <w:lang w:eastAsia="en-GB"/>
        </w:rPr>
        <w:t>.</w:t>
      </w:r>
    </w:p>
    <w:p w14:paraId="3253C35F" w14:textId="527AEB07" w:rsidR="00C22B08" w:rsidRDefault="00C22B08" w:rsidP="00237EF2"/>
    <w:p w14:paraId="50974B60" w14:textId="573387ED" w:rsidR="00C22B08" w:rsidRDefault="00C22B08" w:rsidP="00237EF2"/>
    <w:p w14:paraId="6EF27812" w14:textId="77777777" w:rsidR="00C22B08" w:rsidRDefault="00C22B08" w:rsidP="00237EF2"/>
    <w:tbl>
      <w:tblPr>
        <w:tblStyle w:val="GridTable4-Accent1"/>
        <w:tblW w:w="0" w:type="auto"/>
        <w:tblLook w:val="04A0" w:firstRow="1" w:lastRow="0" w:firstColumn="1" w:lastColumn="0" w:noHBand="0" w:noVBand="1"/>
      </w:tblPr>
      <w:tblGrid>
        <w:gridCol w:w="1308"/>
        <w:gridCol w:w="1172"/>
        <w:gridCol w:w="1281"/>
        <w:gridCol w:w="1206"/>
        <w:gridCol w:w="1185"/>
        <w:gridCol w:w="939"/>
        <w:gridCol w:w="1126"/>
        <w:gridCol w:w="447"/>
      </w:tblGrid>
      <w:tr w:rsidR="007B0625" w:rsidRPr="000F33E3" w14:paraId="2811F038" w14:textId="77777777" w:rsidTr="007B062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08" w:type="dxa"/>
            <w:vAlign w:val="center"/>
          </w:tcPr>
          <w:p w14:paraId="042D0AAD" w14:textId="77777777" w:rsidR="007B0625" w:rsidRPr="000F33E3" w:rsidRDefault="007B0625" w:rsidP="007B0625">
            <w:pPr>
              <w:spacing w:before="0" w:after="0"/>
              <w:jc w:val="center"/>
              <w:rPr>
                <w:rFonts w:ascii="Gill Sans MT" w:hAnsi="Gill Sans MT"/>
                <w:b w:val="0"/>
                <w:sz w:val="18"/>
                <w:szCs w:val="18"/>
              </w:rPr>
            </w:pPr>
          </w:p>
        </w:tc>
        <w:tc>
          <w:tcPr>
            <w:tcW w:w="1172" w:type="dxa"/>
            <w:vAlign w:val="center"/>
          </w:tcPr>
          <w:p w14:paraId="4EFF4B2A" w14:textId="77777777" w:rsidR="007B0625" w:rsidRPr="00AB2FCE" w:rsidRDefault="007B0625" w:rsidP="007B0625">
            <w:pPr>
              <w:spacing w:before="0" w:after="0"/>
              <w:jc w:val="center"/>
              <w:cnfStyle w:val="100000000000" w:firstRow="1" w:lastRow="0" w:firstColumn="0" w:lastColumn="0" w:oddVBand="0" w:evenVBand="0" w:oddHBand="0" w:evenHBand="0" w:firstRowFirstColumn="0" w:firstRowLastColumn="0" w:lastRowFirstColumn="0" w:lastRowLastColumn="0"/>
              <w:rPr>
                <w:rFonts w:ascii="Gill Sans MT" w:hAnsi="Gill Sans MT"/>
                <w:color w:val="FFFF00"/>
                <w:sz w:val="18"/>
                <w:szCs w:val="18"/>
              </w:rPr>
            </w:pPr>
            <w:r w:rsidRPr="00AB2FCE">
              <w:rPr>
                <w:rFonts w:ascii="Gill Sans MT" w:hAnsi="Gill Sans MT"/>
                <w:color w:val="FFFF00"/>
                <w:sz w:val="18"/>
                <w:szCs w:val="18"/>
              </w:rPr>
              <w:t>[disability]</w:t>
            </w:r>
          </w:p>
        </w:tc>
        <w:tc>
          <w:tcPr>
            <w:tcW w:w="1281" w:type="dxa"/>
            <w:vAlign w:val="center"/>
          </w:tcPr>
          <w:p w14:paraId="32F36C91" w14:textId="77777777" w:rsidR="007B0625" w:rsidRPr="00AB2FCE" w:rsidRDefault="007B0625" w:rsidP="007B0625">
            <w:pPr>
              <w:spacing w:before="0" w:after="0"/>
              <w:jc w:val="center"/>
              <w:cnfStyle w:val="100000000000" w:firstRow="1" w:lastRow="0" w:firstColumn="0" w:lastColumn="0" w:oddVBand="0" w:evenVBand="0" w:oddHBand="0" w:evenHBand="0" w:firstRowFirstColumn="0" w:firstRowLastColumn="0" w:lastRowFirstColumn="0" w:lastRowLastColumn="0"/>
              <w:rPr>
                <w:rFonts w:ascii="Gill Sans MT" w:hAnsi="Gill Sans MT"/>
                <w:color w:val="FFFF00"/>
                <w:sz w:val="18"/>
                <w:szCs w:val="18"/>
              </w:rPr>
            </w:pPr>
            <w:r w:rsidRPr="00AB2FCE">
              <w:rPr>
                <w:rFonts w:ascii="Gill Sans MT" w:hAnsi="Gill Sans MT"/>
                <w:color w:val="FFFF00"/>
                <w:sz w:val="18"/>
                <w:szCs w:val="18"/>
              </w:rPr>
              <w:t>[difference]</w:t>
            </w:r>
          </w:p>
        </w:tc>
        <w:tc>
          <w:tcPr>
            <w:tcW w:w="1206" w:type="dxa"/>
            <w:vAlign w:val="center"/>
          </w:tcPr>
          <w:p w14:paraId="3F98B624" w14:textId="77777777" w:rsidR="007B0625" w:rsidRPr="00AB2FCE" w:rsidRDefault="007B0625" w:rsidP="007B0625">
            <w:pPr>
              <w:spacing w:before="0" w:after="0"/>
              <w:jc w:val="center"/>
              <w:cnfStyle w:val="100000000000" w:firstRow="1" w:lastRow="0" w:firstColumn="0" w:lastColumn="0" w:oddVBand="0" w:evenVBand="0" w:oddHBand="0" w:evenHBand="0" w:firstRowFirstColumn="0" w:firstRowLastColumn="0" w:lastRowFirstColumn="0" w:lastRowLastColumn="0"/>
              <w:rPr>
                <w:rFonts w:ascii="Gill Sans MT" w:hAnsi="Gill Sans MT"/>
                <w:color w:val="FFFF00"/>
                <w:sz w:val="18"/>
                <w:szCs w:val="18"/>
              </w:rPr>
            </w:pPr>
            <w:r w:rsidRPr="00AB2FCE">
              <w:rPr>
                <w:rFonts w:ascii="Gill Sans MT" w:hAnsi="Gill Sans MT"/>
                <w:color w:val="FFFF00"/>
                <w:sz w:val="18"/>
                <w:szCs w:val="18"/>
              </w:rPr>
              <w:t>[weakness]</w:t>
            </w:r>
          </w:p>
        </w:tc>
        <w:tc>
          <w:tcPr>
            <w:tcW w:w="1185" w:type="dxa"/>
            <w:vAlign w:val="center"/>
          </w:tcPr>
          <w:p w14:paraId="60905725" w14:textId="77777777" w:rsidR="007B0625" w:rsidRPr="00AB2FCE" w:rsidRDefault="007B0625" w:rsidP="007B0625">
            <w:pPr>
              <w:spacing w:before="0" w:after="0"/>
              <w:jc w:val="center"/>
              <w:cnfStyle w:val="100000000000" w:firstRow="1" w:lastRow="0" w:firstColumn="0" w:lastColumn="0" w:oddVBand="0" w:evenVBand="0" w:oddHBand="0" w:evenHBand="0" w:firstRowFirstColumn="0" w:firstRowLastColumn="0" w:lastRowFirstColumn="0" w:lastRowLastColumn="0"/>
              <w:rPr>
                <w:rFonts w:ascii="Gill Sans MT" w:hAnsi="Gill Sans MT"/>
                <w:color w:val="FFFF00"/>
                <w:sz w:val="18"/>
                <w:szCs w:val="18"/>
              </w:rPr>
            </w:pPr>
            <w:r w:rsidRPr="00AB2FCE">
              <w:rPr>
                <w:rFonts w:ascii="Gill Sans MT" w:hAnsi="Gill Sans MT"/>
                <w:color w:val="FFFF00"/>
                <w:sz w:val="18"/>
                <w:szCs w:val="18"/>
              </w:rPr>
              <w:t>[strength]</w:t>
            </w:r>
          </w:p>
        </w:tc>
        <w:tc>
          <w:tcPr>
            <w:tcW w:w="939" w:type="dxa"/>
            <w:vAlign w:val="center"/>
          </w:tcPr>
          <w:p w14:paraId="1C6C1F01" w14:textId="77777777" w:rsidR="007B0625" w:rsidRPr="00AB2FCE" w:rsidRDefault="007B0625" w:rsidP="007B0625">
            <w:pPr>
              <w:spacing w:before="0" w:after="0"/>
              <w:jc w:val="center"/>
              <w:cnfStyle w:val="100000000000" w:firstRow="1" w:lastRow="0" w:firstColumn="0" w:lastColumn="0" w:oddVBand="0" w:evenVBand="0" w:oddHBand="0" w:evenHBand="0" w:firstRowFirstColumn="0" w:firstRowLastColumn="0" w:lastRowFirstColumn="0" w:lastRowLastColumn="0"/>
              <w:rPr>
                <w:rFonts w:ascii="Gill Sans MT" w:hAnsi="Gill Sans MT"/>
                <w:color w:val="FFFF00"/>
                <w:sz w:val="18"/>
                <w:szCs w:val="18"/>
              </w:rPr>
            </w:pPr>
            <w:r w:rsidRPr="00AB2FCE">
              <w:rPr>
                <w:rFonts w:ascii="Gill Sans MT" w:hAnsi="Gill Sans MT"/>
                <w:color w:val="FFFF00"/>
                <w:sz w:val="18"/>
                <w:szCs w:val="18"/>
              </w:rPr>
              <w:t>[deficit]</w:t>
            </w:r>
          </w:p>
        </w:tc>
        <w:tc>
          <w:tcPr>
            <w:tcW w:w="1126" w:type="dxa"/>
            <w:vAlign w:val="center"/>
          </w:tcPr>
          <w:p w14:paraId="7AEE26CD" w14:textId="77777777" w:rsidR="007B0625" w:rsidRPr="00AB2FCE" w:rsidRDefault="007B0625" w:rsidP="007B0625">
            <w:pPr>
              <w:spacing w:before="0" w:after="0"/>
              <w:jc w:val="center"/>
              <w:cnfStyle w:val="100000000000" w:firstRow="1" w:lastRow="0" w:firstColumn="0" w:lastColumn="0" w:oddVBand="0" w:evenVBand="0" w:oddHBand="0" w:evenHBand="0" w:firstRowFirstColumn="0" w:firstRowLastColumn="0" w:lastRowFirstColumn="0" w:lastRowLastColumn="0"/>
              <w:rPr>
                <w:rFonts w:ascii="Gill Sans MT" w:hAnsi="Gill Sans MT"/>
                <w:color w:val="FFFF00"/>
                <w:sz w:val="18"/>
                <w:szCs w:val="18"/>
              </w:rPr>
            </w:pPr>
            <w:r w:rsidRPr="00AB2FCE">
              <w:rPr>
                <w:rFonts w:ascii="Gill Sans MT" w:hAnsi="Gill Sans MT"/>
                <w:color w:val="FFFF00"/>
                <w:sz w:val="18"/>
                <w:szCs w:val="18"/>
              </w:rPr>
              <w:t>[difficulty]</w:t>
            </w:r>
          </w:p>
        </w:tc>
        <w:tc>
          <w:tcPr>
            <w:tcW w:w="447" w:type="dxa"/>
            <w:vAlign w:val="center"/>
          </w:tcPr>
          <w:p w14:paraId="1D538494" w14:textId="77777777" w:rsidR="007B0625" w:rsidRPr="000F33E3" w:rsidRDefault="007B0625" w:rsidP="007B0625">
            <w:pPr>
              <w:spacing w:before="0" w:after="0"/>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color w:val="FFFF00"/>
                <w:sz w:val="18"/>
                <w:szCs w:val="18"/>
              </w:rPr>
            </w:pPr>
            <w:r>
              <w:rPr>
                <w:rFonts w:ascii="Gill Sans MT" w:hAnsi="Gill Sans MT"/>
                <w:color w:val="FFFF00"/>
                <w:sz w:val="18"/>
                <w:szCs w:val="18"/>
              </w:rPr>
              <w:t>∑</w:t>
            </w:r>
          </w:p>
        </w:tc>
      </w:tr>
      <w:tr w:rsidR="007B0625" w:rsidRPr="000F33E3" w14:paraId="2F4A6F81" w14:textId="77777777" w:rsidTr="007B062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08" w:type="dxa"/>
            <w:shd w:val="clear" w:color="auto" w:fill="8496B0" w:themeFill="text2" w:themeFillTint="99"/>
            <w:vAlign w:val="center"/>
          </w:tcPr>
          <w:p w14:paraId="53394EA3" w14:textId="77777777" w:rsidR="007B0625" w:rsidRPr="00AB2FCE" w:rsidRDefault="007B0625" w:rsidP="007B0625">
            <w:pPr>
              <w:spacing w:before="0" w:after="0"/>
              <w:jc w:val="center"/>
              <w:rPr>
                <w:rFonts w:ascii="Gill Sans MT" w:hAnsi="Gill Sans MT"/>
                <w:color w:val="92D050"/>
                <w:sz w:val="18"/>
                <w:szCs w:val="18"/>
              </w:rPr>
            </w:pPr>
            <w:r w:rsidRPr="00AB2FCE">
              <w:rPr>
                <w:rFonts w:ascii="Gill Sans MT" w:hAnsi="Gill Sans MT"/>
                <w:color w:val="92D050"/>
                <w:sz w:val="18"/>
                <w:szCs w:val="18"/>
              </w:rPr>
              <w:t>[disclosed]</w:t>
            </w:r>
          </w:p>
        </w:tc>
        <w:tc>
          <w:tcPr>
            <w:tcW w:w="1172" w:type="dxa"/>
            <w:vAlign w:val="center"/>
          </w:tcPr>
          <w:p w14:paraId="588AA931" w14:textId="77777777" w:rsidR="007B0625" w:rsidRPr="005815F1" w:rsidRDefault="007B0625" w:rsidP="007B0625">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1</w:t>
            </w:r>
          </w:p>
        </w:tc>
        <w:tc>
          <w:tcPr>
            <w:tcW w:w="1281" w:type="dxa"/>
            <w:vAlign w:val="center"/>
          </w:tcPr>
          <w:p w14:paraId="5A899ECE" w14:textId="77777777" w:rsidR="007B0625" w:rsidRPr="005815F1" w:rsidRDefault="007B0625" w:rsidP="007B0625">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0</w:t>
            </w:r>
          </w:p>
        </w:tc>
        <w:tc>
          <w:tcPr>
            <w:tcW w:w="1206" w:type="dxa"/>
            <w:vAlign w:val="center"/>
          </w:tcPr>
          <w:p w14:paraId="6C9E3527" w14:textId="77777777" w:rsidR="007B0625" w:rsidRPr="005815F1" w:rsidRDefault="007B0625" w:rsidP="007B0625">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0</w:t>
            </w:r>
          </w:p>
        </w:tc>
        <w:tc>
          <w:tcPr>
            <w:tcW w:w="1185" w:type="dxa"/>
            <w:vAlign w:val="center"/>
          </w:tcPr>
          <w:p w14:paraId="0C69FDBA" w14:textId="77777777" w:rsidR="007B0625" w:rsidRPr="005815F1" w:rsidRDefault="007B0625" w:rsidP="007B0625">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0</w:t>
            </w:r>
          </w:p>
        </w:tc>
        <w:tc>
          <w:tcPr>
            <w:tcW w:w="939" w:type="dxa"/>
            <w:vAlign w:val="center"/>
          </w:tcPr>
          <w:p w14:paraId="5937730E" w14:textId="77777777" w:rsidR="007B0625" w:rsidRPr="005815F1" w:rsidRDefault="007B0625" w:rsidP="007B0625">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0</w:t>
            </w:r>
          </w:p>
        </w:tc>
        <w:tc>
          <w:tcPr>
            <w:tcW w:w="1126" w:type="dxa"/>
            <w:vAlign w:val="center"/>
          </w:tcPr>
          <w:p w14:paraId="3F45B98D" w14:textId="77777777" w:rsidR="007B0625" w:rsidRPr="005815F1" w:rsidRDefault="007B0625" w:rsidP="007B0625">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2</w:t>
            </w:r>
          </w:p>
        </w:tc>
        <w:tc>
          <w:tcPr>
            <w:tcW w:w="447" w:type="dxa"/>
            <w:vAlign w:val="center"/>
          </w:tcPr>
          <w:p w14:paraId="70EC2B6A" w14:textId="77777777" w:rsidR="007B0625" w:rsidRDefault="007B0625" w:rsidP="007B0625">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3</w:t>
            </w:r>
          </w:p>
        </w:tc>
      </w:tr>
      <w:tr w:rsidR="007B0625" w:rsidRPr="000F33E3" w14:paraId="5DA51B63" w14:textId="77777777" w:rsidTr="007B0625">
        <w:trPr>
          <w:trHeight w:val="567"/>
        </w:trPr>
        <w:tc>
          <w:tcPr>
            <w:cnfStyle w:val="001000000000" w:firstRow="0" w:lastRow="0" w:firstColumn="1" w:lastColumn="0" w:oddVBand="0" w:evenVBand="0" w:oddHBand="0" w:evenHBand="0" w:firstRowFirstColumn="0" w:firstRowLastColumn="0" w:lastRowFirstColumn="0" w:lastRowLastColumn="0"/>
            <w:tcW w:w="1308" w:type="dxa"/>
            <w:shd w:val="clear" w:color="auto" w:fill="8496B0" w:themeFill="text2" w:themeFillTint="99"/>
            <w:vAlign w:val="center"/>
          </w:tcPr>
          <w:p w14:paraId="55A47437" w14:textId="77777777" w:rsidR="007B0625" w:rsidRPr="00AB2FCE" w:rsidRDefault="007B0625" w:rsidP="007B0625">
            <w:pPr>
              <w:spacing w:before="0" w:after="0"/>
              <w:jc w:val="center"/>
              <w:rPr>
                <w:rFonts w:ascii="Gill Sans MT" w:hAnsi="Gill Sans MT"/>
                <w:color w:val="92D050"/>
                <w:sz w:val="18"/>
                <w:szCs w:val="18"/>
              </w:rPr>
            </w:pPr>
            <w:r w:rsidRPr="00AB2FCE">
              <w:rPr>
                <w:rFonts w:ascii="Gill Sans MT" w:hAnsi="Gill Sans MT"/>
                <w:color w:val="92D050"/>
                <w:sz w:val="18"/>
                <w:szCs w:val="18"/>
              </w:rPr>
              <w:t>[described]</w:t>
            </w:r>
          </w:p>
        </w:tc>
        <w:tc>
          <w:tcPr>
            <w:tcW w:w="1172" w:type="dxa"/>
            <w:vAlign w:val="center"/>
          </w:tcPr>
          <w:p w14:paraId="210B3F58" w14:textId="77777777" w:rsidR="007B0625" w:rsidRPr="005815F1" w:rsidRDefault="007B0625" w:rsidP="007B0625">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2</w:t>
            </w:r>
          </w:p>
        </w:tc>
        <w:tc>
          <w:tcPr>
            <w:tcW w:w="1281" w:type="dxa"/>
            <w:vAlign w:val="center"/>
          </w:tcPr>
          <w:p w14:paraId="4789D2E2" w14:textId="77777777" w:rsidR="007B0625" w:rsidRPr="005815F1" w:rsidRDefault="007B0625" w:rsidP="007B0625">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1</w:t>
            </w:r>
          </w:p>
        </w:tc>
        <w:tc>
          <w:tcPr>
            <w:tcW w:w="1206" w:type="dxa"/>
            <w:vAlign w:val="center"/>
          </w:tcPr>
          <w:p w14:paraId="0D6BFF9F" w14:textId="77777777" w:rsidR="007B0625" w:rsidRPr="005815F1" w:rsidRDefault="007B0625" w:rsidP="007B0625">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w:t>
            </w:r>
          </w:p>
        </w:tc>
        <w:tc>
          <w:tcPr>
            <w:tcW w:w="1185" w:type="dxa"/>
            <w:vAlign w:val="center"/>
          </w:tcPr>
          <w:p w14:paraId="033A303C" w14:textId="77777777" w:rsidR="007B0625" w:rsidRPr="005815F1" w:rsidRDefault="007B0625" w:rsidP="007B0625">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w:t>
            </w:r>
          </w:p>
        </w:tc>
        <w:tc>
          <w:tcPr>
            <w:tcW w:w="939" w:type="dxa"/>
            <w:vAlign w:val="center"/>
          </w:tcPr>
          <w:p w14:paraId="6A592D7C" w14:textId="77777777" w:rsidR="007B0625" w:rsidRPr="005815F1" w:rsidRDefault="007B0625" w:rsidP="007B0625">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w:t>
            </w:r>
          </w:p>
        </w:tc>
        <w:tc>
          <w:tcPr>
            <w:tcW w:w="1126" w:type="dxa"/>
            <w:vAlign w:val="center"/>
          </w:tcPr>
          <w:p w14:paraId="7A32D705" w14:textId="77777777" w:rsidR="007B0625" w:rsidRPr="005815F1" w:rsidRDefault="007B0625" w:rsidP="007B0625">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5</w:t>
            </w:r>
          </w:p>
        </w:tc>
        <w:tc>
          <w:tcPr>
            <w:tcW w:w="447" w:type="dxa"/>
            <w:vAlign w:val="center"/>
          </w:tcPr>
          <w:p w14:paraId="0B6FDE05" w14:textId="77777777" w:rsidR="007B0625" w:rsidRDefault="007B0625" w:rsidP="007B0625">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8</w:t>
            </w:r>
          </w:p>
        </w:tc>
      </w:tr>
      <w:tr w:rsidR="007B0625" w:rsidRPr="000F33E3" w14:paraId="0A89FD81" w14:textId="77777777" w:rsidTr="007B062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08" w:type="dxa"/>
            <w:shd w:val="clear" w:color="auto" w:fill="8496B0" w:themeFill="text2" w:themeFillTint="99"/>
            <w:vAlign w:val="center"/>
          </w:tcPr>
          <w:p w14:paraId="2218A04D" w14:textId="77777777" w:rsidR="007B0625" w:rsidRPr="00AB2FCE" w:rsidRDefault="007B0625" w:rsidP="007B0625">
            <w:pPr>
              <w:spacing w:before="0" w:after="0"/>
              <w:jc w:val="center"/>
              <w:rPr>
                <w:rFonts w:ascii="Gill Sans MT" w:hAnsi="Gill Sans MT"/>
                <w:color w:val="92D050"/>
                <w:sz w:val="18"/>
                <w:szCs w:val="18"/>
              </w:rPr>
            </w:pPr>
            <w:r w:rsidRPr="00AB2FCE">
              <w:rPr>
                <w:rFonts w:ascii="Gill Sans MT" w:hAnsi="Gill Sans MT"/>
                <w:color w:val="92D050"/>
                <w:sz w:val="18"/>
                <w:szCs w:val="18"/>
              </w:rPr>
              <w:t>identified]</w:t>
            </w:r>
          </w:p>
        </w:tc>
        <w:tc>
          <w:tcPr>
            <w:tcW w:w="1172" w:type="dxa"/>
            <w:vAlign w:val="center"/>
          </w:tcPr>
          <w:p w14:paraId="25CA5CB3" w14:textId="77777777" w:rsidR="007B0625" w:rsidRPr="005815F1" w:rsidRDefault="007B0625" w:rsidP="007B0625">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5</w:t>
            </w:r>
          </w:p>
        </w:tc>
        <w:tc>
          <w:tcPr>
            <w:tcW w:w="1281" w:type="dxa"/>
            <w:vAlign w:val="center"/>
          </w:tcPr>
          <w:p w14:paraId="5F5317BE" w14:textId="77777777" w:rsidR="007B0625" w:rsidRPr="005815F1" w:rsidRDefault="007B0625" w:rsidP="007B0625">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2</w:t>
            </w:r>
          </w:p>
        </w:tc>
        <w:tc>
          <w:tcPr>
            <w:tcW w:w="1206" w:type="dxa"/>
            <w:vAlign w:val="center"/>
          </w:tcPr>
          <w:p w14:paraId="11C2B043" w14:textId="77777777" w:rsidR="007B0625" w:rsidRPr="005815F1" w:rsidRDefault="007B0625" w:rsidP="007B0625">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0</w:t>
            </w:r>
          </w:p>
        </w:tc>
        <w:tc>
          <w:tcPr>
            <w:tcW w:w="1185" w:type="dxa"/>
            <w:vAlign w:val="center"/>
          </w:tcPr>
          <w:p w14:paraId="74F0C4D1" w14:textId="77777777" w:rsidR="007B0625" w:rsidRPr="005815F1" w:rsidRDefault="007B0625" w:rsidP="007B0625">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0</w:t>
            </w:r>
          </w:p>
        </w:tc>
        <w:tc>
          <w:tcPr>
            <w:tcW w:w="939" w:type="dxa"/>
            <w:vAlign w:val="center"/>
          </w:tcPr>
          <w:p w14:paraId="53BB74E5" w14:textId="77777777" w:rsidR="007B0625" w:rsidRPr="005815F1" w:rsidRDefault="007B0625" w:rsidP="007B0625">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1</w:t>
            </w:r>
          </w:p>
        </w:tc>
        <w:tc>
          <w:tcPr>
            <w:tcW w:w="1126" w:type="dxa"/>
            <w:vAlign w:val="center"/>
          </w:tcPr>
          <w:p w14:paraId="59804F7B" w14:textId="77777777" w:rsidR="007B0625" w:rsidRPr="005815F1" w:rsidRDefault="007B0625" w:rsidP="007B0625">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4</w:t>
            </w:r>
          </w:p>
        </w:tc>
        <w:tc>
          <w:tcPr>
            <w:tcW w:w="447" w:type="dxa"/>
            <w:vAlign w:val="center"/>
          </w:tcPr>
          <w:p w14:paraId="2A75F6CE" w14:textId="77777777" w:rsidR="007B0625" w:rsidRDefault="007B0625" w:rsidP="007B0625">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12</w:t>
            </w:r>
          </w:p>
        </w:tc>
      </w:tr>
      <w:tr w:rsidR="007B0625" w:rsidRPr="000F33E3" w14:paraId="3F15E6C5" w14:textId="77777777" w:rsidTr="007B0625">
        <w:trPr>
          <w:trHeight w:val="567"/>
        </w:trPr>
        <w:tc>
          <w:tcPr>
            <w:cnfStyle w:val="001000000000" w:firstRow="0" w:lastRow="0" w:firstColumn="1" w:lastColumn="0" w:oddVBand="0" w:evenVBand="0" w:oddHBand="0" w:evenHBand="0" w:firstRowFirstColumn="0" w:firstRowLastColumn="0" w:lastRowFirstColumn="0" w:lastRowLastColumn="0"/>
            <w:tcW w:w="1308" w:type="dxa"/>
            <w:shd w:val="clear" w:color="auto" w:fill="8496B0" w:themeFill="text2" w:themeFillTint="99"/>
            <w:vAlign w:val="center"/>
          </w:tcPr>
          <w:p w14:paraId="6ACEE7F8" w14:textId="77777777" w:rsidR="007B0625" w:rsidRPr="00AB2FCE" w:rsidRDefault="007B0625" w:rsidP="007B0625">
            <w:pPr>
              <w:spacing w:before="0" w:after="0"/>
              <w:jc w:val="center"/>
              <w:rPr>
                <w:rFonts w:ascii="Gill Sans MT" w:hAnsi="Gill Sans MT"/>
                <w:color w:val="92D050"/>
                <w:sz w:val="18"/>
                <w:szCs w:val="18"/>
              </w:rPr>
            </w:pPr>
            <w:r w:rsidRPr="00AB2FCE">
              <w:rPr>
                <w:rFonts w:ascii="Gill Sans MT" w:hAnsi="Gill Sans MT"/>
                <w:color w:val="92D050"/>
                <w:sz w:val="18"/>
                <w:szCs w:val="18"/>
              </w:rPr>
              <w:t>[diagnosed]</w:t>
            </w:r>
          </w:p>
        </w:tc>
        <w:tc>
          <w:tcPr>
            <w:tcW w:w="1172" w:type="dxa"/>
            <w:vAlign w:val="center"/>
          </w:tcPr>
          <w:p w14:paraId="1EA61872" w14:textId="77777777" w:rsidR="007B0625" w:rsidRPr="005815F1" w:rsidRDefault="007B0625" w:rsidP="007B0625">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22</w:t>
            </w:r>
          </w:p>
        </w:tc>
        <w:tc>
          <w:tcPr>
            <w:tcW w:w="1281" w:type="dxa"/>
            <w:vAlign w:val="center"/>
          </w:tcPr>
          <w:p w14:paraId="650490EC" w14:textId="77777777" w:rsidR="007B0625" w:rsidRPr="005815F1" w:rsidRDefault="007B0625" w:rsidP="007B0625">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w:t>
            </w:r>
          </w:p>
        </w:tc>
        <w:tc>
          <w:tcPr>
            <w:tcW w:w="1206" w:type="dxa"/>
            <w:vAlign w:val="center"/>
          </w:tcPr>
          <w:p w14:paraId="7B38A0D2" w14:textId="77777777" w:rsidR="007B0625" w:rsidRPr="005815F1" w:rsidRDefault="007B0625" w:rsidP="007B0625">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w:t>
            </w:r>
          </w:p>
        </w:tc>
        <w:tc>
          <w:tcPr>
            <w:tcW w:w="1185" w:type="dxa"/>
            <w:vAlign w:val="center"/>
          </w:tcPr>
          <w:p w14:paraId="467E987E" w14:textId="77777777" w:rsidR="007B0625" w:rsidRPr="005815F1" w:rsidRDefault="007B0625" w:rsidP="007B0625">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w:t>
            </w:r>
          </w:p>
        </w:tc>
        <w:tc>
          <w:tcPr>
            <w:tcW w:w="939" w:type="dxa"/>
            <w:vAlign w:val="center"/>
          </w:tcPr>
          <w:p w14:paraId="01ACEB86" w14:textId="77777777" w:rsidR="007B0625" w:rsidRPr="005815F1" w:rsidRDefault="007B0625" w:rsidP="007B0625">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1</w:t>
            </w:r>
          </w:p>
        </w:tc>
        <w:tc>
          <w:tcPr>
            <w:tcW w:w="1126" w:type="dxa"/>
            <w:vAlign w:val="center"/>
          </w:tcPr>
          <w:p w14:paraId="61D42DAC" w14:textId="77777777" w:rsidR="007B0625" w:rsidRPr="005815F1" w:rsidRDefault="007B0625" w:rsidP="007B0625">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18</w:t>
            </w:r>
          </w:p>
        </w:tc>
        <w:tc>
          <w:tcPr>
            <w:tcW w:w="447" w:type="dxa"/>
            <w:vAlign w:val="center"/>
          </w:tcPr>
          <w:p w14:paraId="23E90FF5" w14:textId="77777777" w:rsidR="007B0625" w:rsidRDefault="007B0625" w:rsidP="007B0625">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41</w:t>
            </w:r>
          </w:p>
        </w:tc>
      </w:tr>
      <w:tr w:rsidR="006D43F8" w:rsidRPr="000F33E3" w14:paraId="45664D9B" w14:textId="77777777" w:rsidTr="007B062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08" w:type="dxa"/>
            <w:shd w:val="clear" w:color="auto" w:fill="8496B0" w:themeFill="text2" w:themeFillTint="99"/>
            <w:vAlign w:val="center"/>
          </w:tcPr>
          <w:p w14:paraId="33A4C49C" w14:textId="697FAFED" w:rsidR="006D43F8" w:rsidRPr="00AB2FCE" w:rsidRDefault="006D43F8" w:rsidP="007B0625">
            <w:pPr>
              <w:spacing w:before="0" w:after="0"/>
              <w:jc w:val="center"/>
              <w:rPr>
                <w:rFonts w:ascii="Gill Sans MT" w:hAnsi="Gill Sans MT"/>
                <w:color w:val="92D050"/>
                <w:sz w:val="18"/>
                <w:szCs w:val="18"/>
              </w:rPr>
            </w:pPr>
            <w:r>
              <w:rPr>
                <w:rFonts w:ascii="Gill Sans MT" w:hAnsi="Gill Sans MT"/>
                <w:color w:val="92D050"/>
                <w:sz w:val="18"/>
                <w:szCs w:val="18"/>
              </w:rPr>
              <w:t>totals</w:t>
            </w:r>
          </w:p>
        </w:tc>
        <w:tc>
          <w:tcPr>
            <w:tcW w:w="1172" w:type="dxa"/>
            <w:vAlign w:val="center"/>
          </w:tcPr>
          <w:p w14:paraId="531754BC" w14:textId="57BE4DEC" w:rsidR="006D43F8" w:rsidRPr="006D43F8" w:rsidRDefault="006D43F8" w:rsidP="007B0625">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7F7F7F" w:themeColor="text1" w:themeTint="80"/>
              </w:rPr>
            </w:pPr>
            <w:r w:rsidRPr="006D43F8">
              <w:rPr>
                <w:rFonts w:ascii="Gill Sans MT" w:hAnsi="Gill Sans MT"/>
                <w:color w:val="7F7F7F" w:themeColor="text1" w:themeTint="80"/>
              </w:rPr>
              <w:t>30</w:t>
            </w:r>
          </w:p>
        </w:tc>
        <w:tc>
          <w:tcPr>
            <w:tcW w:w="1281" w:type="dxa"/>
            <w:vAlign w:val="center"/>
          </w:tcPr>
          <w:p w14:paraId="411A95C0" w14:textId="3AC03D03" w:rsidR="006D43F8" w:rsidRPr="006D43F8" w:rsidRDefault="006D43F8" w:rsidP="007B0625">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7F7F7F" w:themeColor="text1" w:themeTint="80"/>
              </w:rPr>
            </w:pPr>
            <w:r w:rsidRPr="006D43F8">
              <w:rPr>
                <w:rFonts w:ascii="Gill Sans MT" w:hAnsi="Gill Sans MT"/>
                <w:color w:val="7F7F7F" w:themeColor="text1" w:themeTint="80"/>
              </w:rPr>
              <w:t>3</w:t>
            </w:r>
          </w:p>
        </w:tc>
        <w:tc>
          <w:tcPr>
            <w:tcW w:w="1206" w:type="dxa"/>
            <w:vAlign w:val="center"/>
          </w:tcPr>
          <w:p w14:paraId="33EFBE58" w14:textId="7BF1739A" w:rsidR="006D43F8" w:rsidRPr="006D43F8" w:rsidRDefault="006D43F8" w:rsidP="007B0625">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7F7F7F" w:themeColor="text1" w:themeTint="80"/>
              </w:rPr>
            </w:pPr>
            <w:r w:rsidRPr="006D43F8">
              <w:rPr>
                <w:rFonts w:ascii="Gill Sans MT" w:hAnsi="Gill Sans MT"/>
                <w:color w:val="7F7F7F" w:themeColor="text1" w:themeTint="80"/>
              </w:rPr>
              <w:t>0</w:t>
            </w:r>
          </w:p>
        </w:tc>
        <w:tc>
          <w:tcPr>
            <w:tcW w:w="1185" w:type="dxa"/>
            <w:vAlign w:val="center"/>
          </w:tcPr>
          <w:p w14:paraId="0F65F669" w14:textId="78ECE124" w:rsidR="006D43F8" w:rsidRPr="006D43F8" w:rsidRDefault="006D43F8" w:rsidP="007B0625">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7F7F7F" w:themeColor="text1" w:themeTint="80"/>
              </w:rPr>
            </w:pPr>
            <w:r w:rsidRPr="006D43F8">
              <w:rPr>
                <w:rFonts w:ascii="Gill Sans MT" w:hAnsi="Gill Sans MT"/>
                <w:color w:val="7F7F7F" w:themeColor="text1" w:themeTint="80"/>
              </w:rPr>
              <w:t>0</w:t>
            </w:r>
          </w:p>
        </w:tc>
        <w:tc>
          <w:tcPr>
            <w:tcW w:w="939" w:type="dxa"/>
            <w:vAlign w:val="center"/>
          </w:tcPr>
          <w:p w14:paraId="55AAD5B6" w14:textId="32860835" w:rsidR="006D43F8" w:rsidRPr="006D43F8" w:rsidRDefault="006D43F8" w:rsidP="007B0625">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7F7F7F" w:themeColor="text1" w:themeTint="80"/>
              </w:rPr>
            </w:pPr>
            <w:r w:rsidRPr="006D43F8">
              <w:rPr>
                <w:rFonts w:ascii="Gill Sans MT" w:hAnsi="Gill Sans MT"/>
                <w:color w:val="7F7F7F" w:themeColor="text1" w:themeTint="80"/>
              </w:rPr>
              <w:t>2</w:t>
            </w:r>
          </w:p>
        </w:tc>
        <w:tc>
          <w:tcPr>
            <w:tcW w:w="1126" w:type="dxa"/>
            <w:vAlign w:val="center"/>
          </w:tcPr>
          <w:p w14:paraId="15D59078" w14:textId="1C778D54" w:rsidR="006D43F8" w:rsidRPr="006D43F8" w:rsidRDefault="006D43F8" w:rsidP="007B0625">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7F7F7F" w:themeColor="text1" w:themeTint="80"/>
              </w:rPr>
            </w:pPr>
            <w:r w:rsidRPr="006D43F8">
              <w:rPr>
                <w:rFonts w:ascii="Gill Sans MT" w:hAnsi="Gill Sans MT"/>
                <w:color w:val="7F7F7F" w:themeColor="text1" w:themeTint="80"/>
              </w:rPr>
              <w:t>29</w:t>
            </w:r>
          </w:p>
        </w:tc>
        <w:tc>
          <w:tcPr>
            <w:tcW w:w="447" w:type="dxa"/>
            <w:vAlign w:val="center"/>
          </w:tcPr>
          <w:p w14:paraId="3D140DE8" w14:textId="0548CF46" w:rsidR="006D43F8" w:rsidRDefault="006D43F8" w:rsidP="007B0625">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64</w:t>
            </w:r>
          </w:p>
        </w:tc>
      </w:tr>
    </w:tbl>
    <w:p w14:paraId="4642F952" w14:textId="235B4672" w:rsidR="007B0625" w:rsidRDefault="007B0625" w:rsidP="004D5123">
      <w:pPr>
        <w:pStyle w:val="Tables"/>
      </w:pPr>
      <w:bookmarkStart w:id="190" w:name="_Toc9796161"/>
      <w:bookmarkStart w:id="191" w:name="_Toc9796239"/>
      <w:bookmarkStart w:id="192" w:name="_Toc57033187"/>
      <w:r>
        <w:t xml:space="preserve">Table </w:t>
      </w:r>
      <w:r w:rsidR="005F0F49">
        <w:t>8</w:t>
      </w:r>
      <w:r>
        <w:t>:</w:t>
      </w:r>
      <w:r w:rsidR="003214C8">
        <w:tab/>
      </w:r>
      <w:r>
        <w:t xml:space="preserve">Summary of dyslexia self-report sentence: ‘My dyslexia was </w:t>
      </w:r>
      <w:r w:rsidRPr="005815F1">
        <w:rPr>
          <w:color w:val="92D050"/>
        </w:rPr>
        <w:t xml:space="preserve">[ … ] </w:t>
      </w:r>
      <w:r>
        <w:t xml:space="preserve">to me as a learning </w:t>
      </w:r>
      <w:r w:rsidRPr="005815F1">
        <w:rPr>
          <w:color w:val="FFC000"/>
        </w:rPr>
        <w:t>[ … ]</w:t>
      </w:r>
      <w:r>
        <w:t>’</w:t>
      </w:r>
      <w:bookmarkEnd w:id="190"/>
      <w:bookmarkEnd w:id="191"/>
      <w:bookmarkEnd w:id="192"/>
    </w:p>
    <w:bookmarkEnd w:id="180"/>
    <w:p w14:paraId="2FEA17FE" w14:textId="5F4B53A7" w:rsidR="00787793" w:rsidRDefault="00787793" w:rsidP="00787793">
      <w:pPr>
        <w:spacing w:after="0"/>
      </w:pPr>
      <w:r>
        <w:t xml:space="preserve">The 64 datasets were sorted into </w:t>
      </w:r>
      <w:r w:rsidR="00C22B08">
        <w:t xml:space="preserve">three </w:t>
      </w:r>
      <w:r>
        <w:t>subgroup</w:t>
      </w:r>
      <w:r w:rsidR="00C22B08">
        <w:t>s</w:t>
      </w:r>
      <w:r>
        <w:t>: those whose dyslexia was diagnosed as a disability (subgroup DS); those whose dyslexia was diagnosed to them as a difficulty (subgroup DF); leaving the remainder to be aggregated into a third subgroup E.</w:t>
      </w:r>
    </w:p>
    <w:p w14:paraId="7C1316BC" w14:textId="071F3FCD" w:rsidR="00787793" w:rsidRDefault="007B0625" w:rsidP="00787793">
      <w:pPr>
        <w:spacing w:after="0"/>
      </w:pPr>
      <w:r>
        <w:t xml:space="preserve">The </w:t>
      </w:r>
      <w:r w:rsidR="005E38D3">
        <w:t xml:space="preserve">full, 24-item ABC Scale was used, and </w:t>
      </w:r>
      <w:r>
        <w:t xml:space="preserve">mean average </w:t>
      </w:r>
      <w:r w:rsidR="005E38D3">
        <w:t xml:space="preserve">values were calculated both overall, </w:t>
      </w:r>
      <w:r>
        <w:t xml:space="preserve">and for each of the </w:t>
      </w:r>
      <w:r w:rsidR="005E38D3">
        <w:t>three</w:t>
      </w:r>
      <w:r>
        <w:t xml:space="preserve"> ABC</w:t>
      </w:r>
      <w:r w:rsidR="005E38D3">
        <w:t>24</w:t>
      </w:r>
      <w:r>
        <w:t xml:space="preserve"> Factors (determined through PCA (see below, sub-section 4.</w:t>
      </w:r>
      <w:r w:rsidR="005E38D3">
        <w:t>5</w:t>
      </w:r>
      <w:r w:rsidR="005F0F49">
        <w:t>/</w:t>
      </w:r>
      <w:r>
        <w:t xml:space="preserve">II) was calculated for each subgroup and also for subgroups DS and DF combined. </w:t>
      </w:r>
      <w:r w:rsidR="005E38D3">
        <w:t>Unbiased effect size differences (</w:t>
      </w:r>
      <w:r w:rsidR="00787793" w:rsidRPr="00787793">
        <w:t>Hedges '</w:t>
      </w:r>
      <w:r w:rsidR="00787793" w:rsidRPr="005E38D3">
        <w:rPr>
          <w:i/>
          <w:iCs/>
        </w:rPr>
        <w:t>g</w:t>
      </w:r>
      <w:r w:rsidR="00787793" w:rsidRPr="00787793">
        <w:t>'</w:t>
      </w:r>
      <w:r w:rsidR="005E38D3">
        <w:t>)</w:t>
      </w:r>
      <w:r w:rsidR="00787793" w:rsidRPr="00787793">
        <w:t xml:space="preserve"> were calculated</w:t>
      </w:r>
      <w:r w:rsidR="00BC030D">
        <w:t xml:space="preserve">, </w:t>
      </w:r>
      <w:r w:rsidR="00787793" w:rsidRPr="00787793">
        <w:t>supported </w:t>
      </w:r>
      <w:r w:rsidR="00BC030D">
        <w:t>by</w:t>
      </w:r>
      <w:r w:rsidR="00787793" w:rsidRPr="00787793">
        <w:t xml:space="preserve"> </w:t>
      </w:r>
      <w:r w:rsidR="00787793" w:rsidRPr="005E38D3">
        <w:rPr>
          <w:i/>
          <w:iCs/>
        </w:rPr>
        <w:t>t</w:t>
      </w:r>
      <w:r w:rsidR="00787793" w:rsidRPr="00787793">
        <w:t>-test outcomes</w:t>
      </w:r>
      <w:r w:rsidR="00BC030D">
        <w:t>. I</w:t>
      </w:r>
      <w:r w:rsidR="00787793" w:rsidRPr="00787793">
        <w:t>n accordance with the hypothes</w:t>
      </w:r>
      <w:r w:rsidR="00BC030D">
        <w:t>e</w:t>
      </w:r>
      <w:r w:rsidR="00787793" w:rsidRPr="00787793">
        <w:t>s, one-tail test</w:t>
      </w:r>
      <w:r w:rsidR="00BC030D">
        <w:t>s</w:t>
      </w:r>
      <w:r w:rsidR="00787793" w:rsidRPr="00787793">
        <w:t xml:space="preserve"> were applied </w:t>
      </w:r>
      <w:r w:rsidR="00BC030D">
        <w:t xml:space="preserve">at the 5% </w:t>
      </w:r>
      <w:r w:rsidR="00787793" w:rsidRPr="00787793">
        <w:t xml:space="preserve">significance level. Levene's Test for homogeneity of variances was applied and where violated, the outcome for unequal populations variances is </w:t>
      </w:r>
      <w:r w:rsidR="00C22B08">
        <w:t>repor</w:t>
      </w:r>
      <w:r w:rsidR="00787793" w:rsidRPr="00787793">
        <w:t>ted.</w:t>
      </w:r>
      <w:r w:rsidR="005E38D3">
        <w:t xml:space="preserve"> </w:t>
      </w:r>
      <w:r w:rsidR="00787793" w:rsidRPr="00787793">
        <w:t>(</w:t>
      </w:r>
      <w:r w:rsidR="00C22B08">
        <w:t xml:space="preserve">see </w:t>
      </w:r>
      <w:r w:rsidR="00787793" w:rsidRPr="00787793">
        <w:t xml:space="preserve">Table </w:t>
      </w:r>
      <w:r w:rsidR="00D33D1F">
        <w:t>10</w:t>
      </w:r>
      <w:r w:rsidR="00787793" w:rsidRPr="00787793">
        <w:t>).</w:t>
      </w:r>
    </w:p>
    <w:p w14:paraId="018EE7A9" w14:textId="2C1669D1" w:rsidR="00AC41FC" w:rsidRDefault="00D47261" w:rsidP="00AC41FC">
      <w:r>
        <w:t>Moderate to large effect size differences in mean ABC</w:t>
      </w:r>
      <w:r w:rsidR="005E38D3">
        <w:t>24-</w:t>
      </w:r>
      <w:r>
        <w:t>overall values are indicated between subgroup E, and subgroups DF, DS, and DF+DS combined (</w:t>
      </w:r>
      <w:r>
        <w:rPr>
          <w:i/>
          <w:iCs/>
        </w:rPr>
        <w:t>g</w:t>
      </w:r>
      <w:r>
        <w:t>=0.704, 0.627, 0.639 respectively</w:t>
      </w:r>
      <w:r w:rsidR="00BC030D">
        <w:t>)</w:t>
      </w:r>
      <w:r w:rsidR="00C22B08">
        <w:t xml:space="preserve">; these are </w:t>
      </w:r>
      <w:r>
        <w:t xml:space="preserve">supported by </w:t>
      </w:r>
      <w:r w:rsidRPr="005E38D3">
        <w:rPr>
          <w:i/>
          <w:iCs/>
        </w:rPr>
        <w:t>t</w:t>
      </w:r>
      <w:r>
        <w:t>-test outcomes indicating significant differences between mean values</w:t>
      </w:r>
      <w:r w:rsidR="00BC030D">
        <w:t xml:space="preserve"> in all cases</w:t>
      </w:r>
      <w:r>
        <w:t xml:space="preserve">. </w:t>
      </w:r>
      <w:r w:rsidR="00BE39E5">
        <w:t xml:space="preserve">Hence, </w:t>
      </w:r>
      <w:r>
        <w:t>students whose dyslexia was diagnosed as a disability or as a diff</w:t>
      </w:r>
      <w:r w:rsidR="00894CEA">
        <w:t>iculty</w:t>
      </w:r>
      <w:r w:rsidR="00DF1A67">
        <w:t xml:space="preserve"> (or either)</w:t>
      </w:r>
      <w:r>
        <w:t>, returned significantly lower overall ABC</w:t>
      </w:r>
      <w:r w:rsidR="005E38D3">
        <w:t>24</w:t>
      </w:r>
      <w:r>
        <w:t xml:space="preserve"> mean values when compared with students who were told of their dyslexia in any of the alternative ways. Thus</w:t>
      </w:r>
      <w:r w:rsidR="00A70722">
        <w:t>,</w:t>
      </w:r>
      <w:r>
        <w:t xml:space="preserve"> the null hypothesis is rejected in favour of each of the alternatives, respectively</w:t>
      </w:r>
      <w:r w:rsidR="00AC41FC">
        <w:t xml:space="preserve">. </w:t>
      </w:r>
    </w:p>
    <w:p w14:paraId="57EEC232" w14:textId="54EC999A" w:rsidR="00AC41FC" w:rsidRPr="00AC41FC" w:rsidRDefault="00AC41FC" w:rsidP="00AC41FC">
      <w:r w:rsidRPr="00AC41FC">
        <w:rPr>
          <w:rFonts w:eastAsia="Times New Roman"/>
          <w:lang w:eastAsia="en-GB"/>
        </w:rPr>
        <w:t>At a more granular level, examining the outcomes for differences in ABC</w:t>
      </w:r>
      <w:r w:rsidR="005E38D3">
        <w:rPr>
          <w:rFonts w:eastAsia="Times New Roman"/>
          <w:lang w:eastAsia="en-GB"/>
        </w:rPr>
        <w:t>24</w:t>
      </w:r>
      <w:r w:rsidRPr="00AC41FC">
        <w:rPr>
          <w:rFonts w:eastAsia="Times New Roman"/>
          <w:lang w:eastAsia="en-GB"/>
        </w:rPr>
        <w:t xml:space="preserve"> at a factorial level reveal</w:t>
      </w:r>
      <w:r w:rsidR="00C22B08">
        <w:rPr>
          <w:rFonts w:eastAsia="Times New Roman"/>
          <w:lang w:eastAsia="en-GB"/>
        </w:rPr>
        <w:t>ed</w:t>
      </w:r>
      <w:r w:rsidRPr="00AC41FC">
        <w:rPr>
          <w:rFonts w:eastAsia="Times New Roman"/>
          <w:lang w:eastAsia="en-GB"/>
        </w:rPr>
        <w:t xml:space="preserve"> </w:t>
      </w:r>
      <w:r w:rsidR="00C22B08">
        <w:rPr>
          <w:rFonts w:eastAsia="Times New Roman"/>
          <w:lang w:eastAsia="en-GB"/>
        </w:rPr>
        <w:t>m</w:t>
      </w:r>
      <w:r w:rsidRPr="00AC41FC">
        <w:rPr>
          <w:rFonts w:eastAsia="Times New Roman"/>
          <w:lang w:eastAsia="en-GB"/>
        </w:rPr>
        <w:t xml:space="preserve">oderate, or moderate to large effect sizes between </w:t>
      </w:r>
      <w:r w:rsidR="00DF1A67">
        <w:rPr>
          <w:rFonts w:eastAsia="Times New Roman"/>
          <w:lang w:eastAsia="en-GB"/>
        </w:rPr>
        <w:t xml:space="preserve">mean </w:t>
      </w:r>
      <w:r w:rsidRPr="00AC41FC">
        <w:rPr>
          <w:rFonts w:eastAsia="Times New Roman"/>
          <w:lang w:eastAsia="en-GB"/>
        </w:rPr>
        <w:t>ABC</w:t>
      </w:r>
      <w:r w:rsidR="005E38D3">
        <w:rPr>
          <w:rFonts w:eastAsia="Times New Roman"/>
          <w:lang w:eastAsia="en-GB"/>
        </w:rPr>
        <w:t>24</w:t>
      </w:r>
      <w:r w:rsidRPr="00AC41FC">
        <w:rPr>
          <w:rFonts w:eastAsia="Times New Roman"/>
          <w:lang w:eastAsia="en-GB"/>
        </w:rPr>
        <w:t xml:space="preserve"> factor values for each of the three subgroup comparisons, and although these were not universally supported by significant differences in means, most t-test outcomes were </w:t>
      </w:r>
      <w:r w:rsidR="00C22B08">
        <w:rPr>
          <w:rFonts w:eastAsia="Times New Roman"/>
          <w:lang w:eastAsia="en-GB"/>
        </w:rPr>
        <w:t xml:space="preserve">significant or marginal (Table </w:t>
      </w:r>
      <w:r w:rsidR="005F0F49">
        <w:rPr>
          <w:rFonts w:eastAsia="Times New Roman"/>
          <w:lang w:eastAsia="en-GB"/>
        </w:rPr>
        <w:t>9</w:t>
      </w:r>
      <w:r w:rsidR="00C22B08">
        <w:rPr>
          <w:rFonts w:eastAsia="Times New Roman"/>
          <w:lang w:eastAsia="en-GB"/>
        </w:rPr>
        <w:t>).</w:t>
      </w:r>
    </w:p>
    <w:p w14:paraId="0ADE7D9C" w14:textId="77777777" w:rsidR="00AC41FC" w:rsidRPr="00AC41FC" w:rsidRDefault="00AC41FC" w:rsidP="00D47261">
      <w:pPr>
        <w:rPr>
          <w:rFonts w:ascii="Times New Roman" w:eastAsia="Times New Roman" w:hAnsi="Times New Roman"/>
        </w:rPr>
      </w:pPr>
    </w:p>
    <w:p w14:paraId="2962BC47" w14:textId="77777777" w:rsidR="007B0625" w:rsidRDefault="007B0625" w:rsidP="007B0625">
      <w:pPr>
        <w:sectPr w:rsidR="007B0625" w:rsidSect="00A2665A">
          <w:type w:val="continuous"/>
          <w:pgSz w:w="11906" w:h="16838"/>
          <w:pgMar w:top="720" w:right="964" w:bottom="720" w:left="2268" w:header="708" w:footer="708" w:gutter="0"/>
          <w:cols w:space="708"/>
          <w:docGrid w:linePitch="360"/>
        </w:sectPr>
      </w:pPr>
    </w:p>
    <w:tbl>
      <w:tblPr>
        <w:tblStyle w:val="GridTable5Dark-Accent1"/>
        <w:tblpPr w:leftFromText="180" w:rightFromText="180" w:horzAnchor="margin" w:tblpY="-630"/>
        <w:tblW w:w="15304" w:type="dxa"/>
        <w:tblLook w:val="04A0" w:firstRow="1" w:lastRow="0" w:firstColumn="1" w:lastColumn="0" w:noHBand="0" w:noVBand="1"/>
      </w:tblPr>
      <w:tblGrid>
        <w:gridCol w:w="1838"/>
        <w:gridCol w:w="2528"/>
        <w:gridCol w:w="2063"/>
        <w:gridCol w:w="1646"/>
        <w:gridCol w:w="2409"/>
        <w:gridCol w:w="2410"/>
        <w:gridCol w:w="2410"/>
      </w:tblGrid>
      <w:tr w:rsidR="007B0625" w:rsidRPr="00A315A3" w14:paraId="594C8CAF" w14:textId="77777777" w:rsidTr="00933B1E">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38" w:type="dxa"/>
            <w:vMerge w:val="restart"/>
            <w:vAlign w:val="bottom"/>
          </w:tcPr>
          <w:p w14:paraId="4BDDAC69" w14:textId="77777777" w:rsidR="007B0625" w:rsidRPr="004B0391" w:rsidRDefault="007B0625" w:rsidP="00933B1E">
            <w:pPr>
              <w:spacing w:before="0" w:after="0"/>
              <w:jc w:val="right"/>
              <w:rPr>
                <w:rFonts w:ascii="Gill Sans MT" w:hAnsi="Gill Sans MT"/>
                <w:b w:val="0"/>
                <w:sz w:val="18"/>
                <w:szCs w:val="18"/>
              </w:rPr>
            </w:pPr>
            <w:bookmarkStart w:id="193" w:name="_Hlk2603554"/>
            <w:r>
              <w:rPr>
                <w:rFonts w:ascii="Gill Sans MT" w:hAnsi="Gill Sans MT"/>
                <w:b w:val="0"/>
                <w:sz w:val="18"/>
                <w:szCs w:val="18"/>
              </w:rPr>
              <w:lastRenderedPageBreak/>
              <w:t>(sample size)</w:t>
            </w:r>
          </w:p>
        </w:tc>
        <w:tc>
          <w:tcPr>
            <w:tcW w:w="4591" w:type="dxa"/>
            <w:gridSpan w:val="2"/>
            <w:vMerge w:val="restart"/>
            <w:tcBorders>
              <w:right w:val="single" w:sz="4" w:space="0" w:color="auto"/>
            </w:tcBorders>
            <w:vAlign w:val="center"/>
          </w:tcPr>
          <w:p w14:paraId="122C0FF7" w14:textId="77777777" w:rsidR="007B0625" w:rsidRPr="003B459D" w:rsidRDefault="007B0625" w:rsidP="00933B1E">
            <w:pPr>
              <w:spacing w:before="0" w:after="0"/>
              <w:jc w:val="center"/>
              <w:cnfStyle w:val="100000000000" w:firstRow="1"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‘My dyslexia was […] to me as a learning […]’</w:t>
            </w:r>
          </w:p>
        </w:tc>
        <w:tc>
          <w:tcPr>
            <w:tcW w:w="8875" w:type="dxa"/>
            <w:gridSpan w:val="4"/>
            <w:tcBorders>
              <w:left w:val="single" w:sz="4" w:space="0" w:color="auto"/>
            </w:tcBorders>
            <w:vAlign w:val="center"/>
          </w:tcPr>
          <w:p w14:paraId="3F6D25B6" w14:textId="149A66E8" w:rsidR="007B0625" w:rsidRPr="00C22545" w:rsidRDefault="007B0625" w:rsidP="00933B1E">
            <w:pPr>
              <w:spacing w:before="0" w:after="0"/>
              <w:jc w:val="center"/>
              <w:cnfStyle w:val="100000000000" w:firstRow="1" w:lastRow="0" w:firstColumn="0" w:lastColumn="0" w:oddVBand="0" w:evenVBand="0" w:oddHBand="0" w:evenHBand="0" w:firstRowFirstColumn="0" w:firstRowLastColumn="0" w:lastRowFirstColumn="0" w:lastRowLastColumn="0"/>
              <w:rPr>
                <w:rFonts w:ascii="Gill Sans MT" w:hAnsi="Gill Sans MT"/>
              </w:rPr>
            </w:pPr>
          </w:p>
        </w:tc>
      </w:tr>
      <w:tr w:rsidR="00126037" w:rsidRPr="00A315A3" w14:paraId="45355D69" w14:textId="77777777" w:rsidTr="00933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ign w:val="center"/>
          </w:tcPr>
          <w:p w14:paraId="68BE000C" w14:textId="77777777" w:rsidR="00126037" w:rsidRPr="00A315A3" w:rsidRDefault="00126037" w:rsidP="00933B1E">
            <w:pPr>
              <w:spacing w:before="0" w:after="0"/>
              <w:jc w:val="center"/>
              <w:rPr>
                <w:rFonts w:ascii="Gill Sans MT" w:hAnsi="Gill Sans MT"/>
                <w:sz w:val="18"/>
                <w:szCs w:val="18"/>
              </w:rPr>
            </w:pPr>
          </w:p>
        </w:tc>
        <w:tc>
          <w:tcPr>
            <w:tcW w:w="4591" w:type="dxa"/>
            <w:gridSpan w:val="2"/>
            <w:vMerge/>
            <w:tcBorders>
              <w:right w:val="single" w:sz="4" w:space="0" w:color="auto"/>
            </w:tcBorders>
            <w:vAlign w:val="center"/>
          </w:tcPr>
          <w:p w14:paraId="5C14AA78" w14:textId="77777777" w:rsidR="00126037" w:rsidRPr="00A315A3" w:rsidRDefault="00126037"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646" w:type="dxa"/>
            <w:tcBorders>
              <w:left w:val="single" w:sz="4" w:space="0" w:color="auto"/>
            </w:tcBorders>
            <w:vAlign w:val="center"/>
          </w:tcPr>
          <w:p w14:paraId="1FDC9CD4" w14:textId="77777777" w:rsidR="00126037" w:rsidRPr="00A315A3" w:rsidRDefault="00126037"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ABC24 Overall</w:t>
            </w:r>
          </w:p>
        </w:tc>
        <w:tc>
          <w:tcPr>
            <w:tcW w:w="2409" w:type="dxa"/>
            <w:vAlign w:val="center"/>
          </w:tcPr>
          <w:p w14:paraId="1FC3BA40" w14:textId="77777777" w:rsidR="00126037" w:rsidRDefault="00126037"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 xml:space="preserve">ABC24 Factor 1: </w:t>
            </w:r>
          </w:p>
          <w:p w14:paraId="6D7945AF" w14:textId="26E78A3E" w:rsidR="00126037" w:rsidRPr="00A315A3" w:rsidRDefault="00126037"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Study Efficacy</w:t>
            </w:r>
          </w:p>
        </w:tc>
        <w:tc>
          <w:tcPr>
            <w:tcW w:w="2410" w:type="dxa"/>
            <w:vAlign w:val="center"/>
          </w:tcPr>
          <w:p w14:paraId="5DCF4431" w14:textId="77777777" w:rsidR="00126037" w:rsidRDefault="00126037"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ABC24 Factor 2:</w:t>
            </w:r>
          </w:p>
          <w:p w14:paraId="60732E27" w14:textId="3A760CA1" w:rsidR="00126037" w:rsidRPr="00A315A3" w:rsidRDefault="00126037"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Engagement</w:t>
            </w:r>
          </w:p>
        </w:tc>
        <w:tc>
          <w:tcPr>
            <w:tcW w:w="2410" w:type="dxa"/>
            <w:vAlign w:val="center"/>
          </w:tcPr>
          <w:p w14:paraId="1415371F" w14:textId="77777777" w:rsidR="00126037" w:rsidRDefault="00126037"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ABC24 Factor 3:</w:t>
            </w:r>
          </w:p>
          <w:p w14:paraId="4344E5EC" w14:textId="61B56157" w:rsidR="00126037" w:rsidRPr="00A315A3" w:rsidRDefault="00126037"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Organization</w:t>
            </w:r>
            <w:r w:rsidR="00356133">
              <w:rPr>
                <w:rFonts w:ascii="Gill Sans MT" w:hAnsi="Gill Sans MT"/>
                <w:sz w:val="18"/>
                <w:szCs w:val="18"/>
              </w:rPr>
              <w:t xml:space="preserve"> &amp; Planning</w:t>
            </w:r>
          </w:p>
        </w:tc>
      </w:tr>
      <w:tr w:rsidR="00126037" w:rsidRPr="00A315A3" w14:paraId="4D33EA4A" w14:textId="77777777" w:rsidTr="00933B1E">
        <w:trPr>
          <w:trHeight w:val="68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B4D5458" w14:textId="6543BFE5" w:rsidR="00126037" w:rsidRPr="004B0391" w:rsidRDefault="00126037" w:rsidP="00933B1E">
            <w:pPr>
              <w:spacing w:before="0" w:after="0"/>
              <w:jc w:val="center"/>
              <w:rPr>
                <w:rFonts w:ascii="Gill Sans MT" w:hAnsi="Gill Sans MT"/>
                <w:b w:val="0"/>
                <w:sz w:val="18"/>
                <w:szCs w:val="18"/>
              </w:rPr>
            </w:pPr>
            <w:r>
              <w:rPr>
                <w:rFonts w:ascii="Gill Sans MT" w:hAnsi="Gill Sans MT"/>
                <w:sz w:val="18"/>
                <w:szCs w:val="18"/>
              </w:rPr>
              <w:t>subgroup E</w:t>
            </w:r>
            <w:r>
              <w:rPr>
                <w:rFonts w:ascii="Gill Sans MT" w:hAnsi="Gill Sans MT"/>
                <w:b w:val="0"/>
                <w:sz w:val="18"/>
                <w:szCs w:val="18"/>
              </w:rPr>
              <w:t>(1</w:t>
            </w:r>
            <w:r w:rsidR="00D60C27">
              <w:rPr>
                <w:rFonts w:ascii="Gill Sans MT" w:hAnsi="Gill Sans MT"/>
                <w:b w:val="0"/>
                <w:sz w:val="18"/>
                <w:szCs w:val="18"/>
              </w:rPr>
              <w:t>5</w:t>
            </w:r>
            <w:r>
              <w:rPr>
                <w:rFonts w:ascii="Gill Sans MT" w:hAnsi="Gill Sans MT"/>
                <w:b w:val="0"/>
                <w:sz w:val="18"/>
                <w:szCs w:val="18"/>
              </w:rPr>
              <w:t>)</w:t>
            </w:r>
          </w:p>
        </w:tc>
        <w:tc>
          <w:tcPr>
            <w:tcW w:w="2528" w:type="dxa"/>
            <w:vAlign w:val="center"/>
          </w:tcPr>
          <w:p w14:paraId="50A98D95" w14:textId="77777777" w:rsidR="00126037" w:rsidRPr="00C22545" w:rsidRDefault="00126037"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[disclosed / described / identified]</w:t>
            </w:r>
          </w:p>
        </w:tc>
        <w:tc>
          <w:tcPr>
            <w:tcW w:w="2063" w:type="dxa"/>
            <w:tcBorders>
              <w:right w:val="single" w:sz="4" w:space="0" w:color="auto"/>
            </w:tcBorders>
            <w:vAlign w:val="center"/>
          </w:tcPr>
          <w:p w14:paraId="13A97043" w14:textId="77777777" w:rsidR="00126037" w:rsidRPr="00C22545" w:rsidRDefault="00126037"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[difference / difficulty]</w:t>
            </w:r>
          </w:p>
        </w:tc>
        <w:tc>
          <w:tcPr>
            <w:tcW w:w="1646" w:type="dxa"/>
            <w:tcBorders>
              <w:left w:val="single" w:sz="4" w:space="0" w:color="auto"/>
            </w:tcBorders>
            <w:vAlign w:val="center"/>
          </w:tcPr>
          <w:p w14:paraId="664479BA" w14:textId="2837530E" w:rsidR="00126037" w:rsidRPr="003837AE" w:rsidRDefault="00734002"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66.59</w:t>
            </w:r>
          </w:p>
        </w:tc>
        <w:tc>
          <w:tcPr>
            <w:tcW w:w="2409" w:type="dxa"/>
            <w:vAlign w:val="center"/>
          </w:tcPr>
          <w:p w14:paraId="6BFEC808" w14:textId="1CFC814B" w:rsidR="00126037" w:rsidRPr="003837AE" w:rsidRDefault="00734002"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68.78</w:t>
            </w:r>
          </w:p>
        </w:tc>
        <w:tc>
          <w:tcPr>
            <w:tcW w:w="2410" w:type="dxa"/>
            <w:vAlign w:val="center"/>
          </w:tcPr>
          <w:p w14:paraId="284CD797" w14:textId="30AF13B9" w:rsidR="00126037" w:rsidRPr="003837AE" w:rsidRDefault="00734002"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58.49</w:t>
            </w:r>
          </w:p>
        </w:tc>
        <w:tc>
          <w:tcPr>
            <w:tcW w:w="2410" w:type="dxa"/>
            <w:vAlign w:val="center"/>
          </w:tcPr>
          <w:p w14:paraId="77ECA99D" w14:textId="6D6BF29E" w:rsidR="00126037" w:rsidRPr="003837AE" w:rsidRDefault="00734002"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74.52</w:t>
            </w:r>
          </w:p>
        </w:tc>
      </w:tr>
      <w:tr w:rsidR="00126037" w:rsidRPr="00A315A3" w14:paraId="580F98E9" w14:textId="77777777" w:rsidTr="00933B1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BAFF545" w14:textId="030017FF" w:rsidR="00126037" w:rsidRPr="004B0391" w:rsidRDefault="00126037" w:rsidP="00933B1E">
            <w:pPr>
              <w:spacing w:before="0" w:after="0"/>
              <w:jc w:val="center"/>
              <w:rPr>
                <w:rFonts w:ascii="Gill Sans MT" w:hAnsi="Gill Sans MT"/>
                <w:b w:val="0"/>
                <w:sz w:val="18"/>
                <w:szCs w:val="18"/>
              </w:rPr>
            </w:pPr>
            <w:r>
              <w:rPr>
                <w:rFonts w:ascii="Gill Sans MT" w:hAnsi="Gill Sans MT"/>
                <w:sz w:val="18"/>
                <w:szCs w:val="18"/>
              </w:rPr>
              <w:t>subgroup DF</w:t>
            </w:r>
            <w:r>
              <w:rPr>
                <w:rFonts w:ascii="Gill Sans MT" w:hAnsi="Gill Sans MT"/>
                <w:b w:val="0"/>
                <w:sz w:val="18"/>
                <w:szCs w:val="18"/>
              </w:rPr>
              <w:t>(1</w:t>
            </w:r>
            <w:r w:rsidR="00D60C27">
              <w:rPr>
                <w:rFonts w:ascii="Gill Sans MT" w:hAnsi="Gill Sans MT"/>
                <w:b w:val="0"/>
                <w:sz w:val="18"/>
                <w:szCs w:val="18"/>
              </w:rPr>
              <w:t>9</w:t>
            </w:r>
            <w:r>
              <w:rPr>
                <w:rFonts w:ascii="Gill Sans MT" w:hAnsi="Gill Sans MT"/>
                <w:b w:val="0"/>
                <w:sz w:val="18"/>
                <w:szCs w:val="18"/>
              </w:rPr>
              <w:t>)</w:t>
            </w:r>
          </w:p>
        </w:tc>
        <w:tc>
          <w:tcPr>
            <w:tcW w:w="2528" w:type="dxa"/>
            <w:vAlign w:val="center"/>
          </w:tcPr>
          <w:p w14:paraId="0861307C" w14:textId="77777777" w:rsidR="00126037" w:rsidRPr="00C22545" w:rsidRDefault="00126037"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[diagnosed]</w:t>
            </w:r>
          </w:p>
        </w:tc>
        <w:tc>
          <w:tcPr>
            <w:tcW w:w="2063" w:type="dxa"/>
            <w:tcBorders>
              <w:right w:val="single" w:sz="4" w:space="0" w:color="auto"/>
            </w:tcBorders>
            <w:vAlign w:val="center"/>
          </w:tcPr>
          <w:p w14:paraId="138DC56A" w14:textId="77777777" w:rsidR="00126037" w:rsidRPr="00C22545" w:rsidRDefault="00126037"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[difficulty]</w:t>
            </w:r>
          </w:p>
        </w:tc>
        <w:tc>
          <w:tcPr>
            <w:tcW w:w="1646" w:type="dxa"/>
            <w:tcBorders>
              <w:left w:val="single" w:sz="4" w:space="0" w:color="auto"/>
            </w:tcBorders>
            <w:vAlign w:val="center"/>
          </w:tcPr>
          <w:p w14:paraId="40DB281C" w14:textId="6126A903" w:rsidR="00126037" w:rsidRPr="003837AE" w:rsidRDefault="00933B1E"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55.44</w:t>
            </w:r>
          </w:p>
        </w:tc>
        <w:tc>
          <w:tcPr>
            <w:tcW w:w="2409" w:type="dxa"/>
            <w:vAlign w:val="center"/>
          </w:tcPr>
          <w:p w14:paraId="329E8148" w14:textId="2C5B2762" w:rsidR="00126037" w:rsidRPr="003837AE" w:rsidRDefault="00933B1E"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57.72</w:t>
            </w:r>
          </w:p>
        </w:tc>
        <w:tc>
          <w:tcPr>
            <w:tcW w:w="2410" w:type="dxa"/>
            <w:vAlign w:val="center"/>
          </w:tcPr>
          <w:p w14:paraId="05D26919" w14:textId="78767F64" w:rsidR="00126037" w:rsidRPr="003837AE" w:rsidRDefault="00933B1E"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48.85</w:t>
            </w:r>
          </w:p>
        </w:tc>
        <w:tc>
          <w:tcPr>
            <w:tcW w:w="2410" w:type="dxa"/>
            <w:vAlign w:val="center"/>
          </w:tcPr>
          <w:p w14:paraId="1226080D" w14:textId="4E42CC9E" w:rsidR="00126037" w:rsidRPr="003837AE" w:rsidRDefault="00933B1E"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61.30</w:t>
            </w:r>
          </w:p>
        </w:tc>
      </w:tr>
      <w:tr w:rsidR="00126037" w:rsidRPr="00A315A3" w14:paraId="07F5BEA3" w14:textId="77777777" w:rsidTr="00933B1E">
        <w:trPr>
          <w:trHeight w:val="680"/>
        </w:trPr>
        <w:tc>
          <w:tcPr>
            <w:cnfStyle w:val="001000000000" w:firstRow="0" w:lastRow="0" w:firstColumn="1" w:lastColumn="0" w:oddVBand="0" w:evenVBand="0" w:oddHBand="0" w:evenHBand="0" w:firstRowFirstColumn="0" w:firstRowLastColumn="0" w:lastRowFirstColumn="0" w:lastRowLastColumn="0"/>
            <w:tcW w:w="1838" w:type="dxa"/>
            <w:tcBorders>
              <w:bottom w:val="single" w:sz="4" w:space="0" w:color="FFFFFF" w:themeColor="background1"/>
            </w:tcBorders>
            <w:vAlign w:val="center"/>
          </w:tcPr>
          <w:p w14:paraId="696A19B4" w14:textId="77777777" w:rsidR="00126037" w:rsidRPr="004B0391" w:rsidRDefault="00126037" w:rsidP="00933B1E">
            <w:pPr>
              <w:spacing w:before="0" w:after="0"/>
              <w:jc w:val="center"/>
              <w:rPr>
                <w:rFonts w:ascii="Gill Sans MT" w:hAnsi="Gill Sans MT"/>
                <w:b w:val="0"/>
                <w:sz w:val="18"/>
                <w:szCs w:val="18"/>
              </w:rPr>
            </w:pPr>
            <w:r>
              <w:rPr>
                <w:rFonts w:ascii="Gill Sans MT" w:hAnsi="Gill Sans MT"/>
                <w:sz w:val="18"/>
                <w:szCs w:val="18"/>
              </w:rPr>
              <w:t>subgroup DS</w:t>
            </w:r>
            <w:r>
              <w:rPr>
                <w:rFonts w:ascii="Gill Sans MT" w:hAnsi="Gill Sans MT"/>
                <w:b w:val="0"/>
                <w:sz w:val="18"/>
                <w:szCs w:val="18"/>
              </w:rPr>
              <w:t>(22)</w:t>
            </w:r>
          </w:p>
        </w:tc>
        <w:tc>
          <w:tcPr>
            <w:tcW w:w="2528" w:type="dxa"/>
            <w:tcBorders>
              <w:bottom w:val="single" w:sz="4" w:space="0" w:color="FFFFFF" w:themeColor="background1"/>
            </w:tcBorders>
            <w:vAlign w:val="center"/>
          </w:tcPr>
          <w:p w14:paraId="26690049" w14:textId="77777777" w:rsidR="00126037" w:rsidRPr="00C22545" w:rsidRDefault="00126037"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[diagnosed]</w:t>
            </w:r>
          </w:p>
        </w:tc>
        <w:tc>
          <w:tcPr>
            <w:tcW w:w="2063" w:type="dxa"/>
            <w:tcBorders>
              <w:bottom w:val="single" w:sz="4" w:space="0" w:color="FFFFFF" w:themeColor="background1"/>
              <w:right w:val="single" w:sz="4" w:space="0" w:color="auto"/>
            </w:tcBorders>
            <w:vAlign w:val="center"/>
          </w:tcPr>
          <w:p w14:paraId="253CA798" w14:textId="77777777" w:rsidR="00126037" w:rsidRPr="00C22545" w:rsidRDefault="00126037"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[disability]</w:t>
            </w:r>
          </w:p>
        </w:tc>
        <w:tc>
          <w:tcPr>
            <w:tcW w:w="1646" w:type="dxa"/>
            <w:tcBorders>
              <w:left w:val="single" w:sz="4" w:space="0" w:color="auto"/>
              <w:bottom w:val="single" w:sz="4" w:space="0" w:color="FFFFFF" w:themeColor="background1"/>
            </w:tcBorders>
            <w:vAlign w:val="center"/>
          </w:tcPr>
          <w:p w14:paraId="22F6391A" w14:textId="2723C26A" w:rsidR="00126037" w:rsidRPr="003837AE" w:rsidRDefault="00933B1E"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58.26</w:t>
            </w:r>
          </w:p>
        </w:tc>
        <w:tc>
          <w:tcPr>
            <w:tcW w:w="2409" w:type="dxa"/>
            <w:tcBorders>
              <w:bottom w:val="single" w:sz="4" w:space="0" w:color="FFFFFF" w:themeColor="background1"/>
            </w:tcBorders>
            <w:vAlign w:val="center"/>
          </w:tcPr>
          <w:p w14:paraId="5AF96DD7" w14:textId="1F2B8F12" w:rsidR="00126037" w:rsidRPr="003837AE" w:rsidRDefault="00933B1E"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61.06</w:t>
            </w:r>
          </w:p>
        </w:tc>
        <w:tc>
          <w:tcPr>
            <w:tcW w:w="2410" w:type="dxa"/>
            <w:tcBorders>
              <w:bottom w:val="single" w:sz="4" w:space="0" w:color="FFFFFF" w:themeColor="background1"/>
            </w:tcBorders>
            <w:vAlign w:val="center"/>
          </w:tcPr>
          <w:p w14:paraId="2DF7B151" w14:textId="67593B36" w:rsidR="00126037" w:rsidRPr="003837AE" w:rsidRDefault="00933B1E"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51.37</w:t>
            </w:r>
          </w:p>
        </w:tc>
        <w:tc>
          <w:tcPr>
            <w:tcW w:w="2410" w:type="dxa"/>
            <w:tcBorders>
              <w:bottom w:val="single" w:sz="4" w:space="0" w:color="FFFFFF" w:themeColor="background1"/>
            </w:tcBorders>
            <w:vAlign w:val="center"/>
          </w:tcPr>
          <w:p w14:paraId="0F5D4391" w14:textId="12303763" w:rsidR="00126037" w:rsidRPr="003837AE" w:rsidRDefault="00933B1E"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63.91</w:t>
            </w:r>
          </w:p>
        </w:tc>
      </w:tr>
      <w:tr w:rsidR="00126037" w:rsidRPr="00A315A3" w14:paraId="1E694726" w14:textId="77777777" w:rsidTr="00933B1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38" w:type="dxa"/>
            <w:tcBorders>
              <w:bottom w:val="single" w:sz="4" w:space="0" w:color="auto"/>
            </w:tcBorders>
            <w:vAlign w:val="center"/>
          </w:tcPr>
          <w:p w14:paraId="799F2617" w14:textId="1F73458F" w:rsidR="00126037" w:rsidRPr="004B0391" w:rsidRDefault="00126037" w:rsidP="00933B1E">
            <w:pPr>
              <w:spacing w:before="0" w:after="0"/>
              <w:jc w:val="center"/>
              <w:rPr>
                <w:rFonts w:ascii="Gill Sans MT" w:hAnsi="Gill Sans MT"/>
                <w:b w:val="0"/>
                <w:sz w:val="18"/>
                <w:szCs w:val="18"/>
              </w:rPr>
            </w:pPr>
            <w:r>
              <w:rPr>
                <w:rFonts w:ascii="Gill Sans MT" w:hAnsi="Gill Sans MT"/>
                <w:sz w:val="18"/>
                <w:szCs w:val="18"/>
              </w:rPr>
              <w:t>subgroup DS+DF</w:t>
            </w:r>
            <w:r>
              <w:rPr>
                <w:rFonts w:ascii="Gill Sans MT" w:hAnsi="Gill Sans MT"/>
                <w:b w:val="0"/>
                <w:sz w:val="18"/>
                <w:szCs w:val="18"/>
              </w:rPr>
              <w:t>(4</w:t>
            </w:r>
            <w:r w:rsidR="00D60C27">
              <w:rPr>
                <w:rFonts w:ascii="Gill Sans MT" w:hAnsi="Gill Sans MT"/>
                <w:b w:val="0"/>
                <w:sz w:val="18"/>
                <w:szCs w:val="18"/>
              </w:rPr>
              <w:t>1</w:t>
            </w:r>
            <w:r>
              <w:rPr>
                <w:rFonts w:ascii="Gill Sans MT" w:hAnsi="Gill Sans MT"/>
                <w:b w:val="0"/>
                <w:sz w:val="18"/>
                <w:szCs w:val="18"/>
              </w:rPr>
              <w:t>)</w:t>
            </w:r>
          </w:p>
        </w:tc>
        <w:tc>
          <w:tcPr>
            <w:tcW w:w="2528" w:type="dxa"/>
            <w:tcBorders>
              <w:bottom w:val="single" w:sz="4" w:space="0" w:color="auto"/>
            </w:tcBorders>
            <w:vAlign w:val="center"/>
          </w:tcPr>
          <w:p w14:paraId="69852701" w14:textId="77777777" w:rsidR="00126037" w:rsidRPr="00C22545" w:rsidRDefault="00126037"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[diagnosed]</w:t>
            </w:r>
          </w:p>
        </w:tc>
        <w:tc>
          <w:tcPr>
            <w:tcW w:w="2063" w:type="dxa"/>
            <w:tcBorders>
              <w:bottom w:val="single" w:sz="4" w:space="0" w:color="auto"/>
              <w:right w:val="single" w:sz="4" w:space="0" w:color="auto"/>
            </w:tcBorders>
            <w:vAlign w:val="center"/>
          </w:tcPr>
          <w:p w14:paraId="34364BDF" w14:textId="77777777" w:rsidR="00126037" w:rsidRPr="00C22545" w:rsidRDefault="00126037"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[disability / difficulty]</w:t>
            </w:r>
          </w:p>
        </w:tc>
        <w:tc>
          <w:tcPr>
            <w:tcW w:w="1646" w:type="dxa"/>
            <w:tcBorders>
              <w:left w:val="single" w:sz="4" w:space="0" w:color="auto"/>
              <w:bottom w:val="single" w:sz="4" w:space="0" w:color="auto"/>
            </w:tcBorders>
            <w:vAlign w:val="center"/>
          </w:tcPr>
          <w:p w14:paraId="2209832E" w14:textId="1DFB9D71" w:rsidR="00126037" w:rsidRPr="003837AE" w:rsidRDefault="00933B1E"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56.95</w:t>
            </w:r>
          </w:p>
        </w:tc>
        <w:tc>
          <w:tcPr>
            <w:tcW w:w="2409" w:type="dxa"/>
            <w:tcBorders>
              <w:bottom w:val="single" w:sz="4" w:space="0" w:color="auto"/>
            </w:tcBorders>
            <w:vAlign w:val="center"/>
          </w:tcPr>
          <w:p w14:paraId="61FA3508" w14:textId="3DC9F66F" w:rsidR="00126037" w:rsidRPr="003837AE" w:rsidRDefault="00933B1E"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59.52</w:t>
            </w:r>
          </w:p>
        </w:tc>
        <w:tc>
          <w:tcPr>
            <w:tcW w:w="2410" w:type="dxa"/>
            <w:tcBorders>
              <w:bottom w:val="single" w:sz="4" w:space="0" w:color="auto"/>
            </w:tcBorders>
            <w:vAlign w:val="center"/>
          </w:tcPr>
          <w:p w14:paraId="56D14C05" w14:textId="030E23A1" w:rsidR="00126037" w:rsidRPr="003837AE" w:rsidRDefault="00933B1E"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50.20</w:t>
            </w:r>
          </w:p>
        </w:tc>
        <w:tc>
          <w:tcPr>
            <w:tcW w:w="2410" w:type="dxa"/>
            <w:tcBorders>
              <w:bottom w:val="single" w:sz="4" w:space="0" w:color="auto"/>
            </w:tcBorders>
            <w:vAlign w:val="center"/>
          </w:tcPr>
          <w:p w14:paraId="4992C3AB" w14:textId="787B7A02" w:rsidR="00126037" w:rsidRPr="003837AE" w:rsidRDefault="00933B1E"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62.70</w:t>
            </w:r>
          </w:p>
        </w:tc>
      </w:tr>
      <w:tr w:rsidR="00933B1E" w:rsidRPr="00A315A3" w14:paraId="2A7875EF" w14:textId="77777777" w:rsidTr="0008468E">
        <w:trPr>
          <w:trHeight w:val="68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tcBorders>
            <w:vAlign w:val="center"/>
          </w:tcPr>
          <w:p w14:paraId="47DB2FFB" w14:textId="77777777" w:rsidR="00933B1E" w:rsidRPr="00A315A3" w:rsidRDefault="00933B1E" w:rsidP="00933B1E">
            <w:pPr>
              <w:spacing w:before="0" w:after="0"/>
              <w:jc w:val="center"/>
              <w:rPr>
                <w:rFonts w:ascii="Gill Sans MT" w:hAnsi="Gill Sans MT"/>
                <w:sz w:val="18"/>
                <w:szCs w:val="18"/>
              </w:rPr>
            </w:pPr>
            <w:r>
              <w:rPr>
                <w:rFonts w:ascii="Gill Sans MT" w:hAnsi="Gill Sans MT"/>
                <w:sz w:val="18"/>
                <w:szCs w:val="18"/>
              </w:rPr>
              <w:t>comparing:</w:t>
            </w:r>
          </w:p>
        </w:tc>
        <w:tc>
          <w:tcPr>
            <w:tcW w:w="2528" w:type="dxa"/>
            <w:vMerge w:val="restart"/>
            <w:tcBorders>
              <w:top w:val="single" w:sz="4" w:space="0" w:color="auto"/>
            </w:tcBorders>
            <w:vAlign w:val="center"/>
          </w:tcPr>
          <w:p w14:paraId="3ECC8C59" w14:textId="77777777" w:rsidR="00933B1E" w:rsidRPr="00C22545" w:rsidRDefault="00933B1E"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subgroup E against subgroup DF</w:t>
            </w:r>
          </w:p>
        </w:tc>
        <w:tc>
          <w:tcPr>
            <w:tcW w:w="2063" w:type="dxa"/>
            <w:tcBorders>
              <w:top w:val="single" w:sz="4" w:space="0" w:color="auto"/>
              <w:bottom w:val="single" w:sz="4" w:space="0" w:color="FFFFFF" w:themeColor="background1"/>
              <w:right w:val="single" w:sz="4" w:space="0" w:color="auto"/>
            </w:tcBorders>
            <w:vAlign w:val="center"/>
          </w:tcPr>
          <w:p w14:paraId="4830F5D8" w14:textId="77777777" w:rsidR="00933B1E" w:rsidRPr="00C22545" w:rsidRDefault="00933B1E"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effect size: Hedges g</w:t>
            </w:r>
          </w:p>
        </w:tc>
        <w:tc>
          <w:tcPr>
            <w:tcW w:w="1646" w:type="dxa"/>
            <w:tcBorders>
              <w:top w:val="single" w:sz="4" w:space="0" w:color="auto"/>
              <w:left w:val="single" w:sz="4" w:space="0" w:color="auto"/>
              <w:bottom w:val="single" w:sz="4" w:space="0" w:color="FFFFFF" w:themeColor="background1"/>
            </w:tcBorders>
            <w:vAlign w:val="center"/>
          </w:tcPr>
          <w:p w14:paraId="19542C33" w14:textId="059EBFA0" w:rsidR="00933B1E" w:rsidRPr="003837AE" w:rsidRDefault="00933B1E"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0.7040</w:t>
            </w:r>
          </w:p>
        </w:tc>
        <w:tc>
          <w:tcPr>
            <w:tcW w:w="2409" w:type="dxa"/>
            <w:tcBorders>
              <w:top w:val="single" w:sz="4" w:space="0" w:color="auto"/>
              <w:bottom w:val="single" w:sz="4" w:space="0" w:color="FFFFFF" w:themeColor="background1"/>
            </w:tcBorders>
            <w:vAlign w:val="center"/>
          </w:tcPr>
          <w:p w14:paraId="4D305401" w14:textId="0BA0A03F" w:rsidR="00933B1E" w:rsidRPr="003837AE" w:rsidRDefault="00933B1E"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0.4667</w:t>
            </w:r>
          </w:p>
        </w:tc>
        <w:tc>
          <w:tcPr>
            <w:tcW w:w="2410" w:type="dxa"/>
            <w:tcBorders>
              <w:top w:val="single" w:sz="4" w:space="0" w:color="auto"/>
              <w:bottom w:val="single" w:sz="4" w:space="0" w:color="FFFFFF" w:themeColor="background1"/>
            </w:tcBorders>
            <w:vAlign w:val="center"/>
          </w:tcPr>
          <w:p w14:paraId="52137C09" w14:textId="5E2A5170" w:rsidR="00933B1E" w:rsidRPr="003837AE" w:rsidRDefault="00933B1E"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0.4906</w:t>
            </w:r>
          </w:p>
        </w:tc>
        <w:tc>
          <w:tcPr>
            <w:tcW w:w="2410" w:type="dxa"/>
            <w:tcBorders>
              <w:top w:val="single" w:sz="4" w:space="0" w:color="auto"/>
              <w:bottom w:val="single" w:sz="4" w:space="0" w:color="FFFFFF" w:themeColor="background1"/>
            </w:tcBorders>
            <w:vAlign w:val="center"/>
          </w:tcPr>
          <w:p w14:paraId="2F354A84" w14:textId="6F5B794F" w:rsidR="00933B1E" w:rsidRPr="003837AE" w:rsidRDefault="00933B1E"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0.6708</w:t>
            </w:r>
          </w:p>
        </w:tc>
      </w:tr>
      <w:tr w:rsidR="00933B1E" w:rsidRPr="00A315A3" w14:paraId="3697B7F7" w14:textId="77777777" w:rsidTr="00933B1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A510C57" w14:textId="77777777" w:rsidR="00933B1E" w:rsidRPr="00A315A3" w:rsidRDefault="00933B1E" w:rsidP="00933B1E">
            <w:pPr>
              <w:spacing w:before="0" w:after="0"/>
              <w:jc w:val="center"/>
              <w:rPr>
                <w:rFonts w:ascii="Gill Sans MT" w:hAnsi="Gill Sans MT"/>
                <w:sz w:val="18"/>
                <w:szCs w:val="18"/>
              </w:rPr>
            </w:pPr>
          </w:p>
        </w:tc>
        <w:tc>
          <w:tcPr>
            <w:tcW w:w="2528" w:type="dxa"/>
            <w:vMerge/>
            <w:tcBorders>
              <w:bottom w:val="single" w:sz="4" w:space="0" w:color="auto"/>
            </w:tcBorders>
            <w:vAlign w:val="center"/>
          </w:tcPr>
          <w:p w14:paraId="4253607D" w14:textId="77777777" w:rsidR="00933B1E" w:rsidRPr="00C22545" w:rsidRDefault="00933B1E"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2063" w:type="dxa"/>
            <w:tcBorders>
              <w:bottom w:val="single" w:sz="4" w:space="0" w:color="auto"/>
              <w:right w:val="single" w:sz="4" w:space="0" w:color="auto"/>
            </w:tcBorders>
            <w:vAlign w:val="center"/>
          </w:tcPr>
          <w:p w14:paraId="13A9710E" w14:textId="77777777" w:rsidR="00933B1E" w:rsidRPr="00C22545" w:rsidRDefault="00933B1E"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t-test</w:t>
            </w:r>
          </w:p>
        </w:tc>
        <w:tc>
          <w:tcPr>
            <w:tcW w:w="1646" w:type="dxa"/>
            <w:tcBorders>
              <w:left w:val="single" w:sz="4" w:space="0" w:color="auto"/>
              <w:bottom w:val="single" w:sz="4" w:space="0" w:color="auto"/>
            </w:tcBorders>
            <w:vAlign w:val="center"/>
          </w:tcPr>
          <w:p w14:paraId="7FC71996" w14:textId="5BD052D6" w:rsidR="00933B1E" w:rsidRDefault="00933B1E" w:rsidP="00933B1E">
            <w:pPr>
              <w:spacing w:before="0" w:after="0" w:line="288"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t(31) = 2.1</w:t>
            </w:r>
            <w:r w:rsidR="008A6D67">
              <w:rPr>
                <w:rFonts w:ascii="Gill Sans MT" w:hAnsi="Gill Sans MT"/>
                <w:sz w:val="18"/>
                <w:szCs w:val="18"/>
              </w:rPr>
              <w:t>4</w:t>
            </w:r>
          </w:p>
          <w:p w14:paraId="6662F129" w14:textId="3D4C9D1F" w:rsidR="00933B1E" w:rsidRPr="00017F3D" w:rsidRDefault="00933B1E" w:rsidP="00933B1E">
            <w:pPr>
              <w:spacing w:before="0" w:after="0" w:line="288"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p = 0.02</w:t>
            </w:r>
          </w:p>
        </w:tc>
        <w:tc>
          <w:tcPr>
            <w:tcW w:w="2409" w:type="dxa"/>
            <w:tcBorders>
              <w:bottom w:val="single" w:sz="4" w:space="0" w:color="auto"/>
            </w:tcBorders>
            <w:vAlign w:val="center"/>
          </w:tcPr>
          <w:p w14:paraId="403D2698" w14:textId="6206BDAC" w:rsidR="00933B1E" w:rsidRDefault="00933B1E" w:rsidP="00933B1E">
            <w:pPr>
              <w:spacing w:before="0" w:after="0" w:line="288"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t(32) = 1.70</w:t>
            </w:r>
          </w:p>
          <w:p w14:paraId="7CCAB23E" w14:textId="43B84A69" w:rsidR="00933B1E" w:rsidRPr="00017F3D" w:rsidRDefault="00933B1E" w:rsidP="00933B1E">
            <w:pPr>
              <w:spacing w:before="0" w:after="0" w:line="288"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p = 0.0</w:t>
            </w:r>
            <w:r w:rsidR="008A6D67">
              <w:rPr>
                <w:rFonts w:ascii="Gill Sans MT" w:hAnsi="Gill Sans MT"/>
                <w:sz w:val="18"/>
                <w:szCs w:val="18"/>
              </w:rPr>
              <w:t>5 (0.0491)</w:t>
            </w:r>
          </w:p>
        </w:tc>
        <w:tc>
          <w:tcPr>
            <w:tcW w:w="2410" w:type="dxa"/>
            <w:tcBorders>
              <w:bottom w:val="single" w:sz="4" w:space="0" w:color="auto"/>
            </w:tcBorders>
            <w:vAlign w:val="center"/>
          </w:tcPr>
          <w:p w14:paraId="7F77324D" w14:textId="082C056A" w:rsidR="00933B1E" w:rsidRDefault="00933B1E" w:rsidP="00933B1E">
            <w:pPr>
              <w:spacing w:before="0" w:after="0" w:line="288"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t(3</w:t>
            </w:r>
            <w:r w:rsidR="00AC41FC">
              <w:rPr>
                <w:rFonts w:ascii="Gill Sans MT" w:hAnsi="Gill Sans MT"/>
                <w:sz w:val="18"/>
                <w:szCs w:val="18"/>
              </w:rPr>
              <w:t>2</w:t>
            </w:r>
            <w:r>
              <w:rPr>
                <w:rFonts w:ascii="Gill Sans MT" w:hAnsi="Gill Sans MT"/>
                <w:sz w:val="18"/>
                <w:szCs w:val="18"/>
              </w:rPr>
              <w:t>) = 1.</w:t>
            </w:r>
            <w:r w:rsidR="00AC41FC">
              <w:rPr>
                <w:rFonts w:ascii="Gill Sans MT" w:hAnsi="Gill Sans MT"/>
                <w:sz w:val="18"/>
                <w:szCs w:val="18"/>
              </w:rPr>
              <w:t>5</w:t>
            </w:r>
            <w:r w:rsidR="008A6D67">
              <w:rPr>
                <w:rFonts w:ascii="Gill Sans MT" w:hAnsi="Gill Sans MT"/>
                <w:sz w:val="18"/>
                <w:szCs w:val="18"/>
              </w:rPr>
              <w:t>1</w:t>
            </w:r>
          </w:p>
          <w:p w14:paraId="0724FA80" w14:textId="3F347F56" w:rsidR="00933B1E" w:rsidRPr="00017F3D" w:rsidRDefault="00933B1E" w:rsidP="00933B1E">
            <w:pPr>
              <w:spacing w:before="0" w:after="0" w:line="288"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p = 0.</w:t>
            </w:r>
            <w:r w:rsidR="00AC41FC">
              <w:rPr>
                <w:rFonts w:ascii="Gill Sans MT" w:hAnsi="Gill Sans MT"/>
                <w:sz w:val="18"/>
                <w:szCs w:val="18"/>
              </w:rPr>
              <w:t>07</w:t>
            </w:r>
          </w:p>
        </w:tc>
        <w:tc>
          <w:tcPr>
            <w:tcW w:w="2410" w:type="dxa"/>
            <w:tcBorders>
              <w:bottom w:val="single" w:sz="4" w:space="0" w:color="auto"/>
            </w:tcBorders>
            <w:vAlign w:val="center"/>
          </w:tcPr>
          <w:p w14:paraId="76AE6E4B" w14:textId="1BD85C32" w:rsidR="00933B1E" w:rsidRDefault="00933B1E" w:rsidP="00933B1E">
            <w:pPr>
              <w:spacing w:before="0" w:after="0" w:line="288"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t(35) = 2.12</w:t>
            </w:r>
          </w:p>
          <w:p w14:paraId="445972D9" w14:textId="100B6568" w:rsidR="00933B1E" w:rsidRPr="00017F3D" w:rsidRDefault="00933B1E" w:rsidP="00933B1E">
            <w:pPr>
              <w:spacing w:before="0" w:after="0" w:line="288"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p = 0.02</w:t>
            </w:r>
          </w:p>
        </w:tc>
      </w:tr>
      <w:tr w:rsidR="00126037" w:rsidRPr="00A315A3" w14:paraId="4D2B18C0" w14:textId="77777777" w:rsidTr="00933B1E">
        <w:trPr>
          <w:trHeight w:val="68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5793CFE" w14:textId="77777777" w:rsidR="00126037" w:rsidRPr="00A315A3" w:rsidRDefault="00126037" w:rsidP="00933B1E">
            <w:pPr>
              <w:spacing w:before="0" w:after="0"/>
              <w:jc w:val="center"/>
              <w:rPr>
                <w:rFonts w:ascii="Gill Sans MT" w:hAnsi="Gill Sans MT"/>
                <w:sz w:val="18"/>
                <w:szCs w:val="18"/>
              </w:rPr>
            </w:pPr>
          </w:p>
        </w:tc>
        <w:tc>
          <w:tcPr>
            <w:tcW w:w="2528" w:type="dxa"/>
            <w:vMerge w:val="restart"/>
            <w:tcBorders>
              <w:top w:val="single" w:sz="4" w:space="0" w:color="auto"/>
              <w:bottom w:val="single" w:sz="4" w:space="0" w:color="auto"/>
            </w:tcBorders>
            <w:vAlign w:val="center"/>
          </w:tcPr>
          <w:p w14:paraId="4725DA4D" w14:textId="77777777" w:rsidR="00126037" w:rsidRPr="00C22545" w:rsidRDefault="00126037"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subgroup E against subgroup DS</w:t>
            </w:r>
          </w:p>
        </w:tc>
        <w:tc>
          <w:tcPr>
            <w:tcW w:w="2063" w:type="dxa"/>
            <w:tcBorders>
              <w:top w:val="single" w:sz="4" w:space="0" w:color="auto"/>
              <w:bottom w:val="single" w:sz="4" w:space="0" w:color="FFFFFF" w:themeColor="background1"/>
              <w:right w:val="single" w:sz="4" w:space="0" w:color="auto"/>
            </w:tcBorders>
            <w:vAlign w:val="center"/>
          </w:tcPr>
          <w:p w14:paraId="1234A9E5" w14:textId="77777777" w:rsidR="00126037" w:rsidRPr="00C22545" w:rsidRDefault="00126037"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g</w:t>
            </w:r>
          </w:p>
        </w:tc>
        <w:tc>
          <w:tcPr>
            <w:tcW w:w="1646" w:type="dxa"/>
            <w:tcBorders>
              <w:top w:val="single" w:sz="4" w:space="0" w:color="auto"/>
              <w:left w:val="single" w:sz="4" w:space="0" w:color="auto"/>
              <w:bottom w:val="single" w:sz="4" w:space="0" w:color="FFFFFF" w:themeColor="background1"/>
            </w:tcBorders>
            <w:vAlign w:val="center"/>
          </w:tcPr>
          <w:p w14:paraId="09667B94" w14:textId="339166A5" w:rsidR="00126037" w:rsidRPr="003837AE" w:rsidRDefault="00933B1E"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0.6268</w:t>
            </w:r>
          </w:p>
        </w:tc>
        <w:tc>
          <w:tcPr>
            <w:tcW w:w="2409" w:type="dxa"/>
            <w:tcBorders>
              <w:top w:val="single" w:sz="4" w:space="0" w:color="auto"/>
              <w:bottom w:val="single" w:sz="4" w:space="0" w:color="FFFFFF" w:themeColor="background1"/>
            </w:tcBorders>
            <w:vAlign w:val="center"/>
          </w:tcPr>
          <w:p w14:paraId="3B9F97E2" w14:textId="5E90F2C2" w:rsidR="00126037" w:rsidRPr="003837AE" w:rsidRDefault="00933B1E"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0.3828</w:t>
            </w:r>
          </w:p>
        </w:tc>
        <w:tc>
          <w:tcPr>
            <w:tcW w:w="2410" w:type="dxa"/>
            <w:tcBorders>
              <w:top w:val="single" w:sz="4" w:space="0" w:color="auto"/>
              <w:bottom w:val="single" w:sz="4" w:space="0" w:color="FFFFFF" w:themeColor="background1"/>
            </w:tcBorders>
            <w:vAlign w:val="center"/>
          </w:tcPr>
          <w:p w14:paraId="74929F00" w14:textId="6FE683BA" w:rsidR="00126037" w:rsidRPr="003837AE" w:rsidRDefault="00933B1E"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0.3969</w:t>
            </w:r>
          </w:p>
        </w:tc>
        <w:tc>
          <w:tcPr>
            <w:tcW w:w="2410" w:type="dxa"/>
            <w:tcBorders>
              <w:top w:val="single" w:sz="4" w:space="0" w:color="auto"/>
              <w:bottom w:val="single" w:sz="4" w:space="0" w:color="FFFFFF" w:themeColor="background1"/>
            </w:tcBorders>
            <w:vAlign w:val="center"/>
          </w:tcPr>
          <w:p w14:paraId="1B7AB2D3" w14:textId="154BAEC8" w:rsidR="00126037" w:rsidRPr="003837AE" w:rsidRDefault="00933B1E"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0.6180</w:t>
            </w:r>
          </w:p>
        </w:tc>
      </w:tr>
      <w:tr w:rsidR="00126037" w:rsidRPr="00A315A3" w14:paraId="79C6DA8B" w14:textId="77777777" w:rsidTr="00933B1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9615E43" w14:textId="77777777" w:rsidR="00126037" w:rsidRPr="00A315A3" w:rsidRDefault="00126037" w:rsidP="00933B1E">
            <w:pPr>
              <w:spacing w:before="0" w:after="0"/>
              <w:jc w:val="center"/>
              <w:rPr>
                <w:rFonts w:ascii="Gill Sans MT" w:hAnsi="Gill Sans MT"/>
                <w:sz w:val="18"/>
                <w:szCs w:val="18"/>
              </w:rPr>
            </w:pPr>
          </w:p>
        </w:tc>
        <w:tc>
          <w:tcPr>
            <w:tcW w:w="2528" w:type="dxa"/>
            <w:vMerge/>
            <w:tcBorders>
              <w:bottom w:val="single" w:sz="4" w:space="0" w:color="auto"/>
            </w:tcBorders>
            <w:vAlign w:val="center"/>
          </w:tcPr>
          <w:p w14:paraId="7769E204" w14:textId="77777777" w:rsidR="00126037" w:rsidRPr="00C22545" w:rsidRDefault="00126037"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2063" w:type="dxa"/>
            <w:tcBorders>
              <w:bottom w:val="single" w:sz="4" w:space="0" w:color="auto"/>
              <w:right w:val="single" w:sz="4" w:space="0" w:color="auto"/>
            </w:tcBorders>
            <w:vAlign w:val="center"/>
          </w:tcPr>
          <w:p w14:paraId="34109DB4" w14:textId="77777777" w:rsidR="00126037" w:rsidRPr="00C22545" w:rsidRDefault="00126037"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t-test</w:t>
            </w:r>
          </w:p>
        </w:tc>
        <w:tc>
          <w:tcPr>
            <w:tcW w:w="1646" w:type="dxa"/>
            <w:tcBorders>
              <w:left w:val="single" w:sz="4" w:space="0" w:color="auto"/>
              <w:bottom w:val="single" w:sz="4" w:space="0" w:color="auto"/>
            </w:tcBorders>
            <w:vAlign w:val="center"/>
          </w:tcPr>
          <w:p w14:paraId="25D26A73" w14:textId="5E1F3943" w:rsidR="00126037" w:rsidRDefault="00933B1E" w:rsidP="00933B1E">
            <w:pPr>
              <w:spacing w:before="0" w:after="0" w:line="288"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t(33) = 1.93</w:t>
            </w:r>
          </w:p>
          <w:p w14:paraId="7C7ECBBE" w14:textId="203DF04B" w:rsidR="00933B1E" w:rsidRPr="00C11501" w:rsidRDefault="00933B1E" w:rsidP="00933B1E">
            <w:pPr>
              <w:spacing w:before="0" w:after="0" w:line="288"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p = 0.03</w:t>
            </w:r>
          </w:p>
        </w:tc>
        <w:tc>
          <w:tcPr>
            <w:tcW w:w="2409" w:type="dxa"/>
            <w:tcBorders>
              <w:bottom w:val="single" w:sz="4" w:space="0" w:color="auto"/>
            </w:tcBorders>
            <w:vAlign w:val="center"/>
          </w:tcPr>
          <w:p w14:paraId="688E79B4" w14:textId="1A49E189" w:rsidR="00126037" w:rsidRDefault="00933B1E" w:rsidP="00933B1E">
            <w:pPr>
              <w:spacing w:before="0" w:after="0" w:line="288"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t(32) = 1.3</w:t>
            </w:r>
            <w:r w:rsidR="008A6D67">
              <w:rPr>
                <w:rFonts w:ascii="Gill Sans MT" w:hAnsi="Gill Sans MT"/>
                <w:sz w:val="18"/>
                <w:szCs w:val="18"/>
              </w:rPr>
              <w:t>4</w:t>
            </w:r>
          </w:p>
          <w:p w14:paraId="275B318F" w14:textId="033838DA" w:rsidR="00933B1E" w:rsidRPr="00C11501" w:rsidRDefault="00933B1E" w:rsidP="00933B1E">
            <w:pPr>
              <w:spacing w:before="0" w:after="0" w:line="288"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p = 0.09</w:t>
            </w:r>
          </w:p>
        </w:tc>
        <w:tc>
          <w:tcPr>
            <w:tcW w:w="2410" w:type="dxa"/>
            <w:tcBorders>
              <w:bottom w:val="single" w:sz="4" w:space="0" w:color="auto"/>
            </w:tcBorders>
            <w:vAlign w:val="center"/>
          </w:tcPr>
          <w:p w14:paraId="1ADD349F" w14:textId="236ACBF4" w:rsidR="00126037" w:rsidRDefault="00933B1E" w:rsidP="00933B1E">
            <w:pPr>
              <w:spacing w:before="0" w:after="0" w:line="288"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t(30) = 1.2</w:t>
            </w:r>
            <w:r w:rsidR="008A6D67">
              <w:rPr>
                <w:rFonts w:ascii="Gill Sans MT" w:hAnsi="Gill Sans MT"/>
                <w:sz w:val="18"/>
                <w:szCs w:val="18"/>
              </w:rPr>
              <w:t>5</w:t>
            </w:r>
          </w:p>
          <w:p w14:paraId="70890666" w14:textId="1EE9C13D" w:rsidR="00933B1E" w:rsidRPr="00C11501" w:rsidRDefault="00933B1E" w:rsidP="00933B1E">
            <w:pPr>
              <w:spacing w:before="0" w:after="0" w:line="288"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p = 0.11</w:t>
            </w:r>
          </w:p>
        </w:tc>
        <w:tc>
          <w:tcPr>
            <w:tcW w:w="2410" w:type="dxa"/>
            <w:tcBorders>
              <w:bottom w:val="single" w:sz="4" w:space="0" w:color="auto"/>
            </w:tcBorders>
            <w:vAlign w:val="center"/>
          </w:tcPr>
          <w:p w14:paraId="4B75D5D5" w14:textId="531F031E" w:rsidR="00126037" w:rsidRDefault="00933B1E" w:rsidP="00933B1E">
            <w:pPr>
              <w:spacing w:before="0" w:after="0" w:line="288"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t(35) = 2.12</w:t>
            </w:r>
          </w:p>
          <w:p w14:paraId="42600C5B" w14:textId="08A703ED" w:rsidR="00933B1E" w:rsidRPr="00C11501" w:rsidRDefault="00933B1E" w:rsidP="00933B1E">
            <w:pPr>
              <w:spacing w:before="0" w:after="0" w:line="288"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p = 0</w:t>
            </w:r>
            <w:r w:rsidR="00AC41FC">
              <w:rPr>
                <w:rFonts w:ascii="Gill Sans MT" w:hAnsi="Gill Sans MT"/>
                <w:sz w:val="18"/>
                <w:szCs w:val="18"/>
              </w:rPr>
              <w:t>.</w:t>
            </w:r>
            <w:r>
              <w:rPr>
                <w:rFonts w:ascii="Gill Sans MT" w:hAnsi="Gill Sans MT"/>
                <w:sz w:val="18"/>
                <w:szCs w:val="18"/>
              </w:rPr>
              <w:t>02</w:t>
            </w:r>
          </w:p>
        </w:tc>
      </w:tr>
      <w:tr w:rsidR="00126037" w:rsidRPr="00A315A3" w14:paraId="2011192E" w14:textId="77777777" w:rsidTr="00933B1E">
        <w:trPr>
          <w:trHeight w:val="68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CBAFE61" w14:textId="77777777" w:rsidR="00126037" w:rsidRPr="00A315A3" w:rsidRDefault="00126037" w:rsidP="00933B1E">
            <w:pPr>
              <w:spacing w:before="0" w:after="0"/>
              <w:jc w:val="center"/>
              <w:rPr>
                <w:rFonts w:ascii="Gill Sans MT" w:hAnsi="Gill Sans MT"/>
                <w:sz w:val="18"/>
                <w:szCs w:val="18"/>
              </w:rPr>
            </w:pPr>
          </w:p>
        </w:tc>
        <w:tc>
          <w:tcPr>
            <w:tcW w:w="2528" w:type="dxa"/>
            <w:vMerge w:val="restart"/>
            <w:tcBorders>
              <w:top w:val="single" w:sz="4" w:space="0" w:color="auto"/>
              <w:bottom w:val="single" w:sz="4" w:space="0" w:color="auto"/>
            </w:tcBorders>
            <w:vAlign w:val="center"/>
          </w:tcPr>
          <w:p w14:paraId="0CBDC10F" w14:textId="77777777" w:rsidR="00126037" w:rsidRPr="00C22545" w:rsidRDefault="00126037"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subgroup E against subgroup DF+DS</w:t>
            </w:r>
          </w:p>
        </w:tc>
        <w:tc>
          <w:tcPr>
            <w:tcW w:w="2063" w:type="dxa"/>
            <w:tcBorders>
              <w:top w:val="single" w:sz="4" w:space="0" w:color="auto"/>
              <w:bottom w:val="single" w:sz="4" w:space="0" w:color="FFFFFF" w:themeColor="background1"/>
              <w:right w:val="single" w:sz="4" w:space="0" w:color="auto"/>
            </w:tcBorders>
            <w:vAlign w:val="center"/>
          </w:tcPr>
          <w:p w14:paraId="66A40C8D" w14:textId="77777777" w:rsidR="00126037" w:rsidRPr="00C22545" w:rsidRDefault="00126037"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g</w:t>
            </w:r>
          </w:p>
        </w:tc>
        <w:tc>
          <w:tcPr>
            <w:tcW w:w="1646" w:type="dxa"/>
            <w:tcBorders>
              <w:top w:val="single" w:sz="4" w:space="0" w:color="auto"/>
              <w:left w:val="single" w:sz="4" w:space="0" w:color="auto"/>
              <w:bottom w:val="single" w:sz="4" w:space="0" w:color="FFFFFF" w:themeColor="background1"/>
            </w:tcBorders>
            <w:vAlign w:val="center"/>
          </w:tcPr>
          <w:p w14:paraId="3E826E97" w14:textId="4471E160" w:rsidR="00126037" w:rsidRPr="003837AE" w:rsidRDefault="00933B1E"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0.6394</w:t>
            </w:r>
          </w:p>
        </w:tc>
        <w:tc>
          <w:tcPr>
            <w:tcW w:w="2409" w:type="dxa"/>
            <w:tcBorders>
              <w:top w:val="single" w:sz="4" w:space="0" w:color="auto"/>
              <w:bottom w:val="single" w:sz="4" w:space="0" w:color="FFFFFF" w:themeColor="background1"/>
            </w:tcBorders>
            <w:vAlign w:val="center"/>
          </w:tcPr>
          <w:p w14:paraId="2CD969E1" w14:textId="1237F056" w:rsidR="00126037" w:rsidRPr="003837AE" w:rsidRDefault="00933B1E"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0.4924</w:t>
            </w:r>
          </w:p>
        </w:tc>
        <w:tc>
          <w:tcPr>
            <w:tcW w:w="2410" w:type="dxa"/>
            <w:tcBorders>
              <w:top w:val="single" w:sz="4" w:space="0" w:color="auto"/>
              <w:bottom w:val="single" w:sz="4" w:space="0" w:color="FFFFFF" w:themeColor="background1"/>
            </w:tcBorders>
            <w:vAlign w:val="center"/>
          </w:tcPr>
          <w:p w14:paraId="2BBF9A1B" w14:textId="0B538F9E" w:rsidR="00126037" w:rsidRPr="003837AE" w:rsidRDefault="00933B1E"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0.4598</w:t>
            </w:r>
          </w:p>
        </w:tc>
        <w:tc>
          <w:tcPr>
            <w:tcW w:w="2410" w:type="dxa"/>
            <w:tcBorders>
              <w:top w:val="single" w:sz="4" w:space="0" w:color="auto"/>
              <w:bottom w:val="single" w:sz="4" w:space="0" w:color="FFFFFF" w:themeColor="background1"/>
            </w:tcBorders>
            <w:vAlign w:val="center"/>
          </w:tcPr>
          <w:p w14:paraId="7E445F83" w14:textId="49C3A40A" w:rsidR="00126037" w:rsidRPr="003837AE" w:rsidRDefault="00933B1E"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0.6231</w:t>
            </w:r>
          </w:p>
        </w:tc>
      </w:tr>
      <w:tr w:rsidR="00126037" w:rsidRPr="00A315A3" w14:paraId="03092F26" w14:textId="77777777" w:rsidTr="00933B1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AFFC577" w14:textId="77777777" w:rsidR="00126037" w:rsidRPr="00A315A3" w:rsidRDefault="00126037" w:rsidP="00933B1E">
            <w:pPr>
              <w:spacing w:before="0" w:after="0"/>
              <w:jc w:val="center"/>
              <w:rPr>
                <w:rFonts w:ascii="Gill Sans MT" w:hAnsi="Gill Sans MT"/>
                <w:sz w:val="18"/>
                <w:szCs w:val="18"/>
              </w:rPr>
            </w:pPr>
          </w:p>
        </w:tc>
        <w:tc>
          <w:tcPr>
            <w:tcW w:w="2528" w:type="dxa"/>
            <w:vMerge/>
            <w:tcBorders>
              <w:bottom w:val="single" w:sz="4" w:space="0" w:color="auto"/>
            </w:tcBorders>
            <w:vAlign w:val="center"/>
          </w:tcPr>
          <w:p w14:paraId="51473235" w14:textId="77777777" w:rsidR="00126037" w:rsidRPr="00C22545" w:rsidRDefault="00126037"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2063" w:type="dxa"/>
            <w:tcBorders>
              <w:bottom w:val="single" w:sz="4" w:space="0" w:color="auto"/>
              <w:right w:val="single" w:sz="4" w:space="0" w:color="auto"/>
            </w:tcBorders>
            <w:vAlign w:val="center"/>
          </w:tcPr>
          <w:p w14:paraId="335DFC23" w14:textId="77777777" w:rsidR="00126037" w:rsidRPr="00C22545" w:rsidRDefault="00126037"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t-test</w:t>
            </w:r>
          </w:p>
        </w:tc>
        <w:tc>
          <w:tcPr>
            <w:tcW w:w="1646" w:type="dxa"/>
            <w:tcBorders>
              <w:left w:val="single" w:sz="4" w:space="0" w:color="auto"/>
              <w:bottom w:val="single" w:sz="4" w:space="0" w:color="auto"/>
            </w:tcBorders>
            <w:vAlign w:val="center"/>
          </w:tcPr>
          <w:p w14:paraId="65B6E9FA" w14:textId="36245C4D" w:rsidR="00126037" w:rsidRDefault="00933B1E"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t(33) = 2.4</w:t>
            </w:r>
            <w:r w:rsidR="00C22B08">
              <w:rPr>
                <w:rFonts w:ascii="Gill Sans MT" w:hAnsi="Gill Sans MT"/>
                <w:sz w:val="18"/>
                <w:szCs w:val="18"/>
              </w:rPr>
              <w:t>2</w:t>
            </w:r>
          </w:p>
          <w:p w14:paraId="379E9F3C" w14:textId="3195230F" w:rsidR="00933B1E" w:rsidRPr="00C11501" w:rsidRDefault="00933B1E"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p = 0.01</w:t>
            </w:r>
          </w:p>
        </w:tc>
        <w:tc>
          <w:tcPr>
            <w:tcW w:w="2409" w:type="dxa"/>
            <w:tcBorders>
              <w:bottom w:val="single" w:sz="4" w:space="0" w:color="auto"/>
            </w:tcBorders>
            <w:vAlign w:val="center"/>
          </w:tcPr>
          <w:p w14:paraId="32B811AD" w14:textId="7E9B4F61" w:rsidR="00126037" w:rsidRDefault="00933B1E"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t(29) = 1.7</w:t>
            </w:r>
            <w:r w:rsidR="00C22B08">
              <w:rPr>
                <w:rFonts w:ascii="Gill Sans MT" w:hAnsi="Gill Sans MT"/>
                <w:sz w:val="18"/>
                <w:szCs w:val="18"/>
              </w:rPr>
              <w:t>7</w:t>
            </w:r>
          </w:p>
          <w:p w14:paraId="5B4F9670" w14:textId="5079383D" w:rsidR="00933B1E" w:rsidRPr="00C11501" w:rsidRDefault="00933B1E"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p = 0.04</w:t>
            </w:r>
          </w:p>
        </w:tc>
        <w:tc>
          <w:tcPr>
            <w:tcW w:w="2410" w:type="dxa"/>
            <w:tcBorders>
              <w:bottom w:val="single" w:sz="4" w:space="0" w:color="auto"/>
            </w:tcBorders>
            <w:vAlign w:val="center"/>
          </w:tcPr>
          <w:p w14:paraId="5F8825FE" w14:textId="3AD5EA6E" w:rsidR="00126037" w:rsidRDefault="00933B1E"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t(27) = 1.5</w:t>
            </w:r>
            <w:r w:rsidR="00C22B08">
              <w:rPr>
                <w:rFonts w:ascii="Gill Sans MT" w:hAnsi="Gill Sans MT"/>
                <w:sz w:val="18"/>
                <w:szCs w:val="18"/>
              </w:rPr>
              <w:t>8</w:t>
            </w:r>
          </w:p>
          <w:p w14:paraId="174B3822" w14:textId="2D065B5F" w:rsidR="00933B1E" w:rsidRPr="00C11501" w:rsidRDefault="00933B1E"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p = 0.06</w:t>
            </w:r>
          </w:p>
        </w:tc>
        <w:tc>
          <w:tcPr>
            <w:tcW w:w="2410" w:type="dxa"/>
            <w:tcBorders>
              <w:bottom w:val="single" w:sz="4" w:space="0" w:color="auto"/>
            </w:tcBorders>
            <w:vAlign w:val="center"/>
          </w:tcPr>
          <w:p w14:paraId="11E04530" w14:textId="1F4094A6" w:rsidR="00126037" w:rsidRDefault="00933B1E"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t(44) = 2.6</w:t>
            </w:r>
            <w:r w:rsidR="00C22B08">
              <w:rPr>
                <w:rFonts w:ascii="Gill Sans MT" w:hAnsi="Gill Sans MT"/>
                <w:sz w:val="18"/>
                <w:szCs w:val="18"/>
              </w:rPr>
              <w:t>5</w:t>
            </w:r>
          </w:p>
          <w:p w14:paraId="2E3A061C" w14:textId="403C2834" w:rsidR="00933B1E" w:rsidRPr="00C11501" w:rsidRDefault="00933B1E"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 xml:space="preserve">p </w:t>
            </w:r>
            <w:r w:rsidR="00C22B08">
              <w:rPr>
                <w:rFonts w:ascii="Gill Sans MT" w:hAnsi="Gill Sans MT"/>
                <w:sz w:val="18"/>
                <w:szCs w:val="18"/>
              </w:rPr>
              <w:t>&lt;</w:t>
            </w:r>
            <w:r>
              <w:rPr>
                <w:rFonts w:ascii="Gill Sans MT" w:hAnsi="Gill Sans MT"/>
                <w:sz w:val="18"/>
                <w:szCs w:val="18"/>
              </w:rPr>
              <w:t xml:space="preserve"> 0.0</w:t>
            </w:r>
            <w:r w:rsidR="00C22B08">
              <w:rPr>
                <w:rFonts w:ascii="Gill Sans MT" w:hAnsi="Gill Sans MT"/>
                <w:sz w:val="18"/>
                <w:szCs w:val="18"/>
              </w:rPr>
              <w:t>1</w:t>
            </w:r>
          </w:p>
        </w:tc>
      </w:tr>
      <w:tr w:rsidR="007B0625" w:rsidRPr="00A315A3" w14:paraId="4555BF58" w14:textId="77777777" w:rsidTr="00933B1E">
        <w:trPr>
          <w:trHeight w:val="283"/>
        </w:trPr>
        <w:tc>
          <w:tcPr>
            <w:cnfStyle w:val="001000000000" w:firstRow="0" w:lastRow="0" w:firstColumn="1" w:lastColumn="0" w:oddVBand="0" w:evenVBand="0" w:oddHBand="0" w:evenHBand="0" w:firstRowFirstColumn="0" w:firstRowLastColumn="0" w:lastRowFirstColumn="0" w:lastRowLastColumn="0"/>
            <w:tcW w:w="15304" w:type="dxa"/>
            <w:gridSpan w:val="7"/>
            <w:vAlign w:val="center"/>
          </w:tcPr>
          <w:p w14:paraId="763AB59A" w14:textId="77777777" w:rsidR="007B0625" w:rsidRPr="00AA0FC4" w:rsidRDefault="007B0625" w:rsidP="00933B1E">
            <w:pPr>
              <w:spacing w:before="0" w:after="0"/>
              <w:jc w:val="right"/>
              <w:rPr>
                <w:rFonts w:ascii="Gill Sans MT" w:hAnsi="Gill Sans MT"/>
                <w:b w:val="0"/>
                <w:sz w:val="18"/>
                <w:szCs w:val="18"/>
              </w:rPr>
            </w:pPr>
            <w:r w:rsidRPr="00AA0FC4">
              <w:rPr>
                <w:rFonts w:ascii="Arial" w:hAnsi="Arial" w:cs="Arial"/>
                <w:b w:val="0"/>
                <w:color w:val="BFBFBF" w:themeColor="background1" w:themeShade="BF"/>
                <w:sz w:val="18"/>
                <w:szCs w:val="18"/>
                <w:vertAlign w:val="superscript"/>
              </w:rPr>
              <w:t xml:space="preserve">† </w:t>
            </w:r>
            <w:r w:rsidRPr="00AA0FC4">
              <w:rPr>
                <w:rFonts w:ascii="Gill Sans MT" w:hAnsi="Gill Sans MT" w:cs="Arial"/>
                <w:b w:val="0"/>
                <w:color w:val="BFBFBF" w:themeColor="background1" w:themeShade="BF"/>
                <w:sz w:val="16"/>
                <w:szCs w:val="16"/>
              </w:rPr>
              <w:t>homogeneity of variances violated (Levene’s Test)</w:t>
            </w:r>
          </w:p>
        </w:tc>
      </w:tr>
    </w:tbl>
    <w:p w14:paraId="059A6A1D" w14:textId="27AF9009" w:rsidR="007B0625" w:rsidRDefault="007B0625" w:rsidP="004D5123">
      <w:pPr>
        <w:pStyle w:val="Tables"/>
        <w:sectPr w:rsidR="007B0625" w:rsidSect="00A2665A">
          <w:type w:val="continuous"/>
          <w:pgSz w:w="16838" w:h="11906" w:orient="landscape"/>
          <w:pgMar w:top="2268" w:right="720" w:bottom="964" w:left="720" w:header="708" w:footer="708" w:gutter="0"/>
          <w:cols w:space="708"/>
          <w:docGrid w:linePitch="360"/>
        </w:sectPr>
      </w:pPr>
      <w:bookmarkStart w:id="194" w:name="_Toc9796162"/>
      <w:bookmarkStart w:id="195" w:name="_Toc9796240"/>
      <w:bookmarkStart w:id="196" w:name="_Toc57033188"/>
      <w:bookmarkEnd w:id="193"/>
      <w:r>
        <w:t xml:space="preserve">Table </w:t>
      </w:r>
      <w:r w:rsidR="005F0F49">
        <w:t>9</w:t>
      </w:r>
      <w:r>
        <w:t>:</w:t>
      </w:r>
      <w:r w:rsidR="003214C8">
        <w:tab/>
      </w:r>
      <w:r>
        <w:t>Comparing ABC mean values of dyslexic students according to how they learned of their dyslexia</w:t>
      </w:r>
      <w:bookmarkEnd w:id="194"/>
      <w:bookmarkEnd w:id="195"/>
      <w:bookmarkEnd w:id="196"/>
    </w:p>
    <w:p w14:paraId="14AB674E" w14:textId="498E8B53" w:rsidR="00A22E09" w:rsidRDefault="007B0625" w:rsidP="00A70722">
      <w:pPr>
        <w:pStyle w:val="Heading3"/>
      </w:pPr>
      <w:bookmarkStart w:id="197" w:name="_Toc9795763"/>
      <w:bookmarkStart w:id="198" w:name="_Toc57035926"/>
      <w:r>
        <w:lastRenderedPageBreak/>
        <w:t>III</w:t>
      </w:r>
      <w:r w:rsidR="004D5123">
        <w:tab/>
      </w:r>
      <w:r w:rsidR="00702A9B">
        <w:t xml:space="preserve">The </w:t>
      </w:r>
      <w:r>
        <w:t>D</w:t>
      </w:r>
      <w:r w:rsidRPr="00537A60">
        <w:t>yslexia Index</w:t>
      </w:r>
      <w:r>
        <w:t xml:space="preserve"> Profiler</w:t>
      </w:r>
      <w:bookmarkEnd w:id="197"/>
      <w:bookmarkEnd w:id="198"/>
    </w:p>
    <w:p w14:paraId="65D114CF" w14:textId="77777777" w:rsidR="004D5123" w:rsidRDefault="004D5123" w:rsidP="00EF327A">
      <w:pPr>
        <w:pStyle w:val="Heading4"/>
      </w:pPr>
    </w:p>
    <w:p w14:paraId="10AC9CC0" w14:textId="7C83C2B2" w:rsidR="00A22E09" w:rsidRPr="00A22E09" w:rsidRDefault="00A22E09" w:rsidP="00EF327A">
      <w:pPr>
        <w:pStyle w:val="Heading4"/>
      </w:pPr>
      <w:r>
        <w:t>I Internal reliability of the Dx Profiler</w:t>
      </w:r>
      <w:r w:rsidR="00702A9B">
        <w:t xml:space="preserve"> - the Dx20 and Dx16 scales</w:t>
      </w:r>
    </w:p>
    <w:p w14:paraId="48208388" w14:textId="445EEEA6" w:rsidR="00702A9B" w:rsidRPr="00702A9B" w:rsidRDefault="00702A9B" w:rsidP="00EF327A">
      <w:pPr>
        <w:rPr>
          <w:rFonts w:eastAsia="Times New Roman"/>
          <w:lang w:eastAsia="en-GB"/>
        </w:rPr>
      </w:pPr>
      <w:r w:rsidRPr="00702A9B">
        <w:rPr>
          <w:rFonts w:eastAsia="Times New Roman"/>
          <w:lang w:eastAsia="en-GB"/>
        </w:rPr>
        <w:t>The Dx Profiler was at first, a 20-item scale, later</w:t>
      </w:r>
      <w:r w:rsidR="00C60D5F">
        <w:rPr>
          <w:rFonts w:eastAsia="Times New Roman"/>
          <w:lang w:eastAsia="en-GB"/>
        </w:rPr>
        <w:t xml:space="preserve"> </w:t>
      </w:r>
      <w:r w:rsidRPr="00702A9B">
        <w:rPr>
          <w:rFonts w:eastAsia="Times New Roman"/>
          <w:lang w:eastAsia="en-GB"/>
        </w:rPr>
        <w:t xml:space="preserve">found to have a </w:t>
      </w:r>
      <w:r w:rsidR="00C60D5F">
        <w:rPr>
          <w:rFonts w:eastAsia="Times New Roman"/>
          <w:lang w:eastAsia="en-GB"/>
        </w:rPr>
        <w:t xml:space="preserve">possible, </w:t>
      </w:r>
      <w:r w:rsidRPr="00702A9B">
        <w:rPr>
          <w:rFonts w:eastAsia="Times New Roman"/>
          <w:lang w:eastAsia="en-GB"/>
        </w:rPr>
        <w:t>3-factor,</w:t>
      </w:r>
      <w:r w:rsidR="00C60D5F">
        <w:rPr>
          <w:rFonts w:eastAsia="Times New Roman"/>
          <w:lang w:eastAsia="en-GB"/>
        </w:rPr>
        <w:t xml:space="preserve"> </w:t>
      </w:r>
      <w:r w:rsidRPr="00702A9B">
        <w:rPr>
          <w:rFonts w:eastAsia="Times New Roman"/>
          <w:lang w:eastAsia="en-GB"/>
        </w:rPr>
        <w:t xml:space="preserve">sub-scale structure (see </w:t>
      </w:r>
      <w:r w:rsidR="005F0F49">
        <w:rPr>
          <w:rFonts w:eastAsia="Times New Roman"/>
          <w:lang w:eastAsia="en-GB"/>
        </w:rPr>
        <w:t>S</w:t>
      </w:r>
      <w:r w:rsidRPr="00702A9B">
        <w:rPr>
          <w:rFonts w:eastAsia="Times New Roman"/>
          <w:lang w:eastAsia="en-GB"/>
        </w:rPr>
        <w:t>ection 4.5</w:t>
      </w:r>
      <w:r w:rsidR="005F0F49">
        <w:rPr>
          <w:rFonts w:eastAsia="Times New Roman"/>
          <w:lang w:eastAsia="en-GB"/>
        </w:rPr>
        <w:t>)</w:t>
      </w:r>
      <w:r w:rsidRPr="00702A9B">
        <w:rPr>
          <w:rFonts w:eastAsia="Times New Roman"/>
          <w:lang w:eastAsia="en-GB"/>
        </w:rPr>
        <w:t>. The levels of internal reliability of the scale and of the sub-scales were</w:t>
      </w:r>
      <w:r w:rsidR="00C60D5F">
        <w:rPr>
          <w:rFonts w:eastAsia="Times New Roman"/>
          <w:lang w:eastAsia="en-GB"/>
        </w:rPr>
        <w:t xml:space="preserve"> </w:t>
      </w:r>
      <w:r w:rsidRPr="00702A9B">
        <w:rPr>
          <w:rFonts w:eastAsia="Times New Roman"/>
          <w:lang w:eastAsia="en-GB"/>
        </w:rPr>
        <w:t xml:space="preserve">assessed using the Cronbachs's ɑ criterion. According to the conventional interpretation of ɑ values (see </w:t>
      </w:r>
      <w:r w:rsidR="005F0F49">
        <w:rPr>
          <w:rFonts w:eastAsia="Times New Roman"/>
          <w:lang w:eastAsia="en-GB"/>
        </w:rPr>
        <w:t xml:space="preserve">sub-section </w:t>
      </w:r>
      <w:r w:rsidRPr="00702A9B">
        <w:rPr>
          <w:rFonts w:eastAsia="Times New Roman"/>
          <w:lang w:eastAsia="en-GB"/>
        </w:rPr>
        <w:t>4.1</w:t>
      </w:r>
      <w:r w:rsidR="005F0F49">
        <w:rPr>
          <w:rFonts w:eastAsia="Times New Roman"/>
          <w:lang w:eastAsia="en-GB"/>
        </w:rPr>
        <w:t>/</w:t>
      </w:r>
      <w:r w:rsidRPr="00702A9B">
        <w:rPr>
          <w:rFonts w:eastAsia="Times New Roman"/>
          <w:lang w:eastAsia="en-GB"/>
        </w:rPr>
        <w:t>II</w:t>
      </w:r>
      <w:r w:rsidR="005F0F49">
        <w:rPr>
          <w:rFonts w:eastAsia="Times New Roman"/>
          <w:lang w:eastAsia="en-GB"/>
        </w:rPr>
        <w:t>.1</w:t>
      </w:r>
      <w:r w:rsidRPr="00702A9B">
        <w:rPr>
          <w:rFonts w:eastAsia="Times New Roman"/>
          <w:lang w:eastAsia="en-GB"/>
        </w:rPr>
        <w:t>), the Dx Profiler overall, together with each of the sub-scales, presented acceptable levels of internal reliability for examining the datasets in this datapool</w:t>
      </w:r>
      <w:r w:rsidR="00C60D5F">
        <w:rPr>
          <w:rFonts w:eastAsia="Times New Roman"/>
          <w:lang w:eastAsia="en-GB"/>
        </w:rPr>
        <w:t>, although there was some concern about the low levels of reliability of the Factor 3 sub-scale in comparison to both the other factors and to the scale overall. Later evidence from dimension reduction analysis confirmed the unstable nature of the 3-factor sub-scale structure for the Dx Profiler, as based on only the data in this current study (see sub-section 4.5</w:t>
      </w:r>
      <w:r w:rsidR="005F0F49">
        <w:rPr>
          <w:rFonts w:eastAsia="Times New Roman"/>
          <w:lang w:eastAsia="en-GB"/>
        </w:rPr>
        <w:t>/</w:t>
      </w:r>
      <w:r w:rsidR="00C60D5F">
        <w:rPr>
          <w:rFonts w:eastAsia="Times New Roman"/>
          <w:lang w:eastAsia="en-GB"/>
        </w:rPr>
        <w:t>III).</w:t>
      </w:r>
    </w:p>
    <w:p w14:paraId="4D71BC78" w14:textId="1B8451E4" w:rsidR="00702A9B" w:rsidRPr="00702A9B" w:rsidRDefault="00C60D5F" w:rsidP="00EF327A">
      <w:pPr>
        <w:rPr>
          <w:rFonts w:eastAsia="Times New Roman"/>
          <w:lang w:eastAsia="en-GB"/>
        </w:rPr>
      </w:pPr>
      <w:r>
        <w:rPr>
          <w:rFonts w:eastAsia="Times New Roman"/>
          <w:lang w:eastAsia="en-GB"/>
        </w:rPr>
        <w:t>Furthermore, t</w:t>
      </w:r>
      <w:r w:rsidR="00702A9B" w:rsidRPr="00702A9B">
        <w:rPr>
          <w:rFonts w:eastAsia="Times New Roman"/>
          <w:lang w:eastAsia="en-GB"/>
        </w:rPr>
        <w:t>he reliability analysis also suggested that some dimensions in the 20-item scale may be redundant by contributing minimally to the overall Dyslexia Index value for each respondent</w:t>
      </w:r>
      <w:r>
        <w:rPr>
          <w:rFonts w:eastAsia="Times New Roman"/>
          <w:lang w:eastAsia="en-GB"/>
        </w:rPr>
        <w:t xml:space="preserve"> - considered as possible, additional evidence of uncertainty about a sub-scale structure for the metric</w:t>
      </w:r>
      <w:r w:rsidR="00702A9B" w:rsidRPr="00702A9B">
        <w:rPr>
          <w:rFonts w:eastAsia="Times New Roman"/>
          <w:lang w:eastAsia="en-GB"/>
        </w:rPr>
        <w:t>. Interpretation of</w:t>
      </w:r>
      <w:r>
        <w:rPr>
          <w:rFonts w:eastAsia="Times New Roman"/>
          <w:lang w:eastAsia="en-GB"/>
        </w:rPr>
        <w:t xml:space="preserve"> </w:t>
      </w:r>
      <w:r w:rsidR="00702A9B" w:rsidRPr="00702A9B">
        <w:rPr>
          <w:rFonts w:eastAsia="Times New Roman"/>
          <w:lang w:eastAsia="en-GB"/>
        </w:rPr>
        <w:t xml:space="preserve">the matrix of correlation coefficients </w:t>
      </w:r>
      <w:r w:rsidR="00DD708C">
        <w:rPr>
          <w:rFonts w:eastAsia="Times New Roman"/>
          <w:lang w:eastAsia="en-GB"/>
        </w:rPr>
        <w:t xml:space="preserve">(not shown) </w:t>
      </w:r>
      <w:r w:rsidR="00702A9B" w:rsidRPr="00702A9B">
        <w:rPr>
          <w:rFonts w:eastAsia="Times New Roman"/>
          <w:lang w:eastAsia="en-GB"/>
        </w:rPr>
        <w:t>to identify pairs of dimensions that showed a correlation of r &gt; 0.7, enabled each of the potentially redundant dimensions to be eliminated in turn and in permutations, to permit corresponding re-runs of</w:t>
      </w:r>
      <w:r w:rsidR="00DD708C">
        <w:rPr>
          <w:rFonts w:eastAsia="Times New Roman"/>
          <w:lang w:eastAsia="en-GB"/>
        </w:rPr>
        <w:t xml:space="preserve"> </w:t>
      </w:r>
      <w:r w:rsidR="00702A9B" w:rsidRPr="00702A9B">
        <w:rPr>
          <w:rFonts w:eastAsia="Times New Roman"/>
          <w:lang w:eastAsia="en-GB"/>
        </w:rPr>
        <w:t>the reliability analysis. Several iterations of this</w:t>
      </w:r>
      <w:r w:rsidR="00DD708C">
        <w:rPr>
          <w:rFonts w:eastAsia="Times New Roman"/>
          <w:lang w:eastAsia="en-GB"/>
        </w:rPr>
        <w:t xml:space="preserve"> </w:t>
      </w:r>
      <w:r w:rsidR="00702A9B" w:rsidRPr="00702A9B">
        <w:rPr>
          <w:rFonts w:eastAsia="Times New Roman"/>
          <w:lang w:eastAsia="en-GB"/>
        </w:rPr>
        <w:t>process subsequently enabled similar, acceptable levels of reliability to be established by reducing the 20-item scale to</w:t>
      </w:r>
      <w:r w:rsidR="00DD708C">
        <w:rPr>
          <w:rFonts w:eastAsia="Times New Roman"/>
          <w:lang w:eastAsia="en-GB"/>
        </w:rPr>
        <w:t xml:space="preserve"> </w:t>
      </w:r>
      <w:r w:rsidR="00702A9B" w:rsidRPr="00702A9B">
        <w:rPr>
          <w:rFonts w:eastAsia="Times New Roman"/>
          <w:lang w:eastAsia="en-GB"/>
        </w:rPr>
        <w:t>16 items. The ɑ</w:t>
      </w:r>
      <w:r w:rsidR="00DD708C">
        <w:rPr>
          <w:rFonts w:eastAsia="Times New Roman"/>
          <w:lang w:eastAsia="en-GB"/>
        </w:rPr>
        <w:t xml:space="preserve"> </w:t>
      </w:r>
      <w:r w:rsidR="00702A9B" w:rsidRPr="00702A9B">
        <w:rPr>
          <w:rFonts w:eastAsia="Times New Roman"/>
          <w:lang w:eastAsia="en-GB"/>
        </w:rPr>
        <w:t xml:space="preserve">coefficients for both scales were calculated for the datapool and also for the two primary research groups. The 95% upper boundary of confidence intervals for ɑ are also provided </w:t>
      </w:r>
      <w:r w:rsidR="00702A9B">
        <w:rPr>
          <w:rFonts w:eastAsia="Times New Roman"/>
          <w:lang w:eastAsia="en-GB"/>
        </w:rPr>
        <w:t xml:space="preserve">[~, upper boundary] </w:t>
      </w:r>
      <w:r w:rsidR="00702A9B" w:rsidRPr="00702A9B">
        <w:rPr>
          <w:rFonts w:eastAsia="Times New Roman"/>
          <w:lang w:eastAsia="en-GB"/>
        </w:rPr>
        <w:t xml:space="preserve">(Table </w:t>
      </w:r>
      <w:r w:rsidR="00EF327A">
        <w:rPr>
          <w:rFonts w:eastAsia="Times New Roman"/>
          <w:lang w:eastAsia="en-GB"/>
        </w:rPr>
        <w:t>1</w:t>
      </w:r>
      <w:r w:rsidR="005F0F49">
        <w:rPr>
          <w:rFonts w:eastAsia="Times New Roman"/>
          <w:lang w:eastAsia="en-GB"/>
        </w:rPr>
        <w:t>0</w:t>
      </w:r>
      <w:r w:rsidR="00702A9B" w:rsidRPr="00702A9B">
        <w:rPr>
          <w:rFonts w:eastAsia="Times New Roman"/>
          <w:lang w:eastAsia="en-GB"/>
        </w:rPr>
        <w:t>).</w:t>
      </w:r>
    </w:p>
    <w:tbl>
      <w:tblPr>
        <w:tblStyle w:val="GridTable5Dark-Accent1"/>
        <w:tblW w:w="0" w:type="auto"/>
        <w:tblLook w:val="04A0" w:firstRow="1" w:lastRow="0" w:firstColumn="1" w:lastColumn="0" w:noHBand="0" w:noVBand="1"/>
      </w:tblPr>
      <w:tblGrid>
        <w:gridCol w:w="950"/>
        <w:gridCol w:w="1000"/>
        <w:gridCol w:w="1514"/>
        <w:gridCol w:w="1497"/>
        <w:gridCol w:w="1496"/>
        <w:gridCol w:w="1497"/>
      </w:tblGrid>
      <w:tr w:rsidR="00702A9B" w:rsidRPr="00702A9B" w14:paraId="45856B66" w14:textId="77777777" w:rsidTr="00702A9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20" w:type="dxa"/>
            <w:vAlign w:val="center"/>
          </w:tcPr>
          <w:p w14:paraId="6E6C0C40" w14:textId="1A710B33" w:rsidR="00702A9B" w:rsidRPr="00702A9B" w:rsidRDefault="00702A9B" w:rsidP="00702A9B">
            <w:pPr>
              <w:spacing w:before="0" w:after="0" w:line="240" w:lineRule="auto"/>
              <w:jc w:val="center"/>
              <w:rPr>
                <w:rFonts w:ascii="Gill Sans MT" w:hAnsi="Gill Sans MT"/>
                <w:b w:val="0"/>
                <w:bCs w:val="0"/>
              </w:rPr>
            </w:pPr>
            <w:r w:rsidRPr="00702A9B">
              <w:rPr>
                <w:rFonts w:ascii="Gill Sans MT" w:hAnsi="Gill Sans MT"/>
                <w:b w:val="0"/>
                <w:bCs w:val="0"/>
              </w:rPr>
              <w:t>Scale</w:t>
            </w:r>
          </w:p>
        </w:tc>
        <w:tc>
          <w:tcPr>
            <w:tcW w:w="1020" w:type="dxa"/>
            <w:vAlign w:val="center"/>
          </w:tcPr>
          <w:p w14:paraId="421ED64E" w14:textId="5D4ACC93" w:rsidR="00702A9B" w:rsidRPr="00702A9B" w:rsidRDefault="00702A9B" w:rsidP="00702A9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Sample</w:t>
            </w:r>
          </w:p>
        </w:tc>
        <w:tc>
          <w:tcPr>
            <w:tcW w:w="1650" w:type="dxa"/>
            <w:vAlign w:val="center"/>
          </w:tcPr>
          <w:p w14:paraId="34104D45" w14:textId="747500D3" w:rsidR="00702A9B" w:rsidRPr="00702A9B" w:rsidRDefault="00702A9B" w:rsidP="00702A9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cs="Arial"/>
                <w:b w:val="0"/>
                <w:bCs w:val="0"/>
                <w:lang w:eastAsia="zh-CN"/>
              </w:rPr>
            </w:pPr>
            <w:r w:rsidRPr="00702A9B">
              <w:rPr>
                <w:rFonts w:ascii="Arial" w:hAnsi="Arial" w:cs="Arial"/>
                <w:b w:val="0"/>
                <w:bCs w:val="0"/>
                <w:lang w:eastAsia="zh-CN"/>
              </w:rPr>
              <w:t>ɑ</w:t>
            </w:r>
            <w:r w:rsidRPr="00702A9B">
              <w:rPr>
                <w:rFonts w:ascii="Gill Sans MT" w:hAnsi="Gill Sans MT" w:cs="Arial"/>
                <w:b w:val="0"/>
                <w:bCs w:val="0"/>
                <w:lang w:eastAsia="zh-CN"/>
              </w:rPr>
              <w:t>, complete scale</w:t>
            </w:r>
          </w:p>
        </w:tc>
        <w:tc>
          <w:tcPr>
            <w:tcW w:w="1651" w:type="dxa"/>
            <w:vAlign w:val="center"/>
          </w:tcPr>
          <w:p w14:paraId="70712F39" w14:textId="00EFC7BD" w:rsidR="00702A9B" w:rsidRPr="00702A9B" w:rsidRDefault="00702A9B" w:rsidP="00702A9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sidRPr="00702A9B">
              <w:rPr>
                <w:rFonts w:ascii="Arial" w:hAnsi="Arial" w:cs="Arial"/>
                <w:b w:val="0"/>
                <w:bCs w:val="0"/>
                <w:lang w:eastAsia="zh-CN"/>
              </w:rPr>
              <w:t>ɑ</w:t>
            </w:r>
            <w:r w:rsidRPr="00702A9B">
              <w:rPr>
                <w:rFonts w:ascii="Gill Sans MT" w:hAnsi="Gill Sans MT" w:cs="Arial"/>
                <w:b w:val="0"/>
                <w:bCs w:val="0"/>
                <w:lang w:eastAsia="zh-CN"/>
              </w:rPr>
              <w:t xml:space="preserve">, </w:t>
            </w:r>
            <w:r>
              <w:rPr>
                <w:rFonts w:ascii="Gill Sans MT" w:hAnsi="Gill Sans MT" w:cs="Arial"/>
                <w:b w:val="0"/>
                <w:bCs w:val="0"/>
                <w:lang w:eastAsia="zh-CN"/>
              </w:rPr>
              <w:t>Factor 1</w:t>
            </w:r>
          </w:p>
        </w:tc>
        <w:tc>
          <w:tcPr>
            <w:tcW w:w="1650" w:type="dxa"/>
            <w:vAlign w:val="center"/>
          </w:tcPr>
          <w:p w14:paraId="412D91C5" w14:textId="74301A7C" w:rsidR="00702A9B" w:rsidRPr="00702A9B" w:rsidRDefault="00702A9B" w:rsidP="00702A9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sidRPr="00702A9B">
              <w:rPr>
                <w:rFonts w:ascii="Arial" w:hAnsi="Arial" w:cs="Arial"/>
                <w:b w:val="0"/>
                <w:bCs w:val="0"/>
                <w:lang w:eastAsia="zh-CN"/>
              </w:rPr>
              <w:t>ɑ</w:t>
            </w:r>
            <w:r w:rsidRPr="00702A9B">
              <w:rPr>
                <w:rFonts w:ascii="Gill Sans MT" w:hAnsi="Gill Sans MT" w:cs="Arial"/>
                <w:b w:val="0"/>
                <w:bCs w:val="0"/>
                <w:lang w:eastAsia="zh-CN"/>
              </w:rPr>
              <w:t xml:space="preserve">, </w:t>
            </w:r>
            <w:r>
              <w:rPr>
                <w:rFonts w:ascii="Gill Sans MT" w:hAnsi="Gill Sans MT" w:cs="Arial"/>
                <w:b w:val="0"/>
                <w:bCs w:val="0"/>
                <w:lang w:eastAsia="zh-CN"/>
              </w:rPr>
              <w:t>Factor 2</w:t>
            </w:r>
          </w:p>
        </w:tc>
        <w:tc>
          <w:tcPr>
            <w:tcW w:w="1651" w:type="dxa"/>
            <w:vAlign w:val="center"/>
          </w:tcPr>
          <w:p w14:paraId="0C3E1A58" w14:textId="36768171" w:rsidR="00702A9B" w:rsidRPr="00702A9B" w:rsidRDefault="00702A9B" w:rsidP="00702A9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sidRPr="00702A9B">
              <w:rPr>
                <w:rFonts w:ascii="Arial" w:hAnsi="Arial" w:cs="Arial"/>
                <w:b w:val="0"/>
                <w:bCs w:val="0"/>
                <w:lang w:eastAsia="zh-CN"/>
              </w:rPr>
              <w:t>ɑ</w:t>
            </w:r>
            <w:r w:rsidRPr="00702A9B">
              <w:rPr>
                <w:rFonts w:ascii="Gill Sans MT" w:hAnsi="Gill Sans MT" w:cs="Arial"/>
                <w:b w:val="0"/>
                <w:bCs w:val="0"/>
                <w:lang w:eastAsia="zh-CN"/>
              </w:rPr>
              <w:t xml:space="preserve">, </w:t>
            </w:r>
            <w:r>
              <w:rPr>
                <w:rFonts w:ascii="Gill Sans MT" w:hAnsi="Gill Sans MT" w:cs="Arial"/>
                <w:b w:val="0"/>
                <w:bCs w:val="0"/>
                <w:lang w:eastAsia="zh-CN"/>
              </w:rPr>
              <w:t>Factor 3</w:t>
            </w:r>
          </w:p>
        </w:tc>
      </w:tr>
      <w:tr w:rsidR="00702A9B" w:rsidRPr="00702A9B" w14:paraId="172F483B" w14:textId="77777777" w:rsidTr="00702A9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20" w:type="dxa"/>
            <w:vAlign w:val="center"/>
          </w:tcPr>
          <w:p w14:paraId="2A760232" w14:textId="0BCC3510" w:rsidR="00702A9B" w:rsidRPr="00702A9B" w:rsidRDefault="00702A9B" w:rsidP="00702A9B">
            <w:pPr>
              <w:spacing w:before="0" w:after="0" w:line="240" w:lineRule="auto"/>
              <w:jc w:val="center"/>
              <w:rPr>
                <w:rFonts w:ascii="Gill Sans MT" w:hAnsi="Gill Sans MT"/>
                <w:b w:val="0"/>
                <w:bCs w:val="0"/>
              </w:rPr>
            </w:pPr>
            <w:r>
              <w:rPr>
                <w:rFonts w:ascii="Gill Sans MT" w:hAnsi="Gill Sans MT"/>
                <w:b w:val="0"/>
                <w:bCs w:val="0"/>
              </w:rPr>
              <w:t>Dx20</w:t>
            </w:r>
          </w:p>
        </w:tc>
        <w:tc>
          <w:tcPr>
            <w:tcW w:w="1020" w:type="dxa"/>
            <w:vAlign w:val="center"/>
          </w:tcPr>
          <w:p w14:paraId="0C3EFF59" w14:textId="6F472CD9" w:rsidR="00702A9B" w:rsidRPr="00702A9B" w:rsidRDefault="00702A9B" w:rsidP="00702A9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datapool</w:t>
            </w:r>
          </w:p>
        </w:tc>
        <w:tc>
          <w:tcPr>
            <w:tcW w:w="1650" w:type="dxa"/>
            <w:vAlign w:val="center"/>
          </w:tcPr>
          <w:p w14:paraId="67D6C23C" w14:textId="5256435B" w:rsidR="00702A9B" w:rsidRPr="00702A9B" w:rsidRDefault="00702A9B" w:rsidP="00702A9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 xml:space="preserve">0.849 </w:t>
            </w:r>
            <w:r w:rsidRPr="005939F2">
              <w:rPr>
                <w:rFonts w:ascii="Gill Sans MT" w:hAnsi="Gill Sans MT"/>
                <w:color w:val="44546A" w:themeColor="text2"/>
                <w:sz w:val="18"/>
                <w:szCs w:val="18"/>
              </w:rPr>
              <w:t>[~,0.887]</w:t>
            </w:r>
          </w:p>
        </w:tc>
        <w:tc>
          <w:tcPr>
            <w:tcW w:w="1651" w:type="dxa"/>
            <w:vAlign w:val="center"/>
          </w:tcPr>
          <w:p w14:paraId="34E66DE3" w14:textId="33D19AD5" w:rsidR="00702A9B" w:rsidRPr="00702A9B" w:rsidRDefault="005939F2" w:rsidP="00702A9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0.8</w:t>
            </w:r>
            <w:r>
              <w:rPr>
                <w:rFonts w:ascii="Gill Sans MT" w:hAnsi="Gill Sans MT"/>
                <w:sz w:val="18"/>
                <w:szCs w:val="18"/>
              </w:rPr>
              <w:t>75</w:t>
            </w:r>
            <w:r w:rsidRPr="00702A9B">
              <w:rPr>
                <w:rFonts w:ascii="Gill Sans MT" w:hAnsi="Gill Sans MT"/>
                <w:sz w:val="18"/>
                <w:szCs w:val="18"/>
              </w:rPr>
              <w:t xml:space="preserve"> </w:t>
            </w:r>
            <w:r w:rsidRPr="005939F2">
              <w:rPr>
                <w:rFonts w:ascii="Gill Sans MT" w:hAnsi="Gill Sans MT"/>
                <w:color w:val="44546A" w:themeColor="text2"/>
                <w:sz w:val="18"/>
                <w:szCs w:val="18"/>
              </w:rPr>
              <w:t>[~,0.</w:t>
            </w:r>
            <w:r>
              <w:rPr>
                <w:rFonts w:ascii="Gill Sans MT" w:hAnsi="Gill Sans MT"/>
                <w:color w:val="44546A" w:themeColor="text2"/>
                <w:sz w:val="18"/>
                <w:szCs w:val="18"/>
              </w:rPr>
              <w:t>90</w:t>
            </w:r>
            <w:r w:rsidRPr="005939F2">
              <w:rPr>
                <w:rFonts w:ascii="Gill Sans MT" w:hAnsi="Gill Sans MT"/>
                <w:color w:val="44546A" w:themeColor="text2"/>
                <w:sz w:val="18"/>
                <w:szCs w:val="18"/>
              </w:rPr>
              <w:t>7]</w:t>
            </w:r>
          </w:p>
        </w:tc>
        <w:tc>
          <w:tcPr>
            <w:tcW w:w="1650" w:type="dxa"/>
            <w:vAlign w:val="center"/>
          </w:tcPr>
          <w:p w14:paraId="07125B22" w14:textId="223F4330" w:rsidR="00702A9B" w:rsidRPr="00702A9B" w:rsidRDefault="005939F2" w:rsidP="00702A9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0.</w:t>
            </w:r>
            <w:r>
              <w:rPr>
                <w:rFonts w:ascii="Gill Sans MT" w:hAnsi="Gill Sans MT"/>
                <w:sz w:val="18"/>
                <w:szCs w:val="18"/>
              </w:rPr>
              <w:t>617</w:t>
            </w:r>
            <w:r w:rsidRPr="00702A9B">
              <w:rPr>
                <w:rFonts w:ascii="Gill Sans MT" w:hAnsi="Gill Sans MT"/>
                <w:sz w:val="18"/>
                <w:szCs w:val="18"/>
              </w:rPr>
              <w:t xml:space="preserve"> </w:t>
            </w:r>
            <w:r w:rsidRPr="005939F2">
              <w:rPr>
                <w:rFonts w:ascii="Gill Sans MT" w:hAnsi="Gill Sans MT"/>
                <w:color w:val="44546A" w:themeColor="text2"/>
                <w:sz w:val="18"/>
                <w:szCs w:val="18"/>
              </w:rPr>
              <w:t>[~,0.</w:t>
            </w:r>
            <w:r>
              <w:rPr>
                <w:rFonts w:ascii="Gill Sans MT" w:hAnsi="Gill Sans MT"/>
                <w:color w:val="44546A" w:themeColor="text2"/>
                <w:sz w:val="18"/>
                <w:szCs w:val="18"/>
              </w:rPr>
              <w:t>703</w:t>
            </w:r>
            <w:r w:rsidRPr="005939F2">
              <w:rPr>
                <w:rFonts w:ascii="Gill Sans MT" w:hAnsi="Gill Sans MT"/>
                <w:color w:val="44546A" w:themeColor="text2"/>
                <w:sz w:val="18"/>
                <w:szCs w:val="18"/>
              </w:rPr>
              <w:t>]</w:t>
            </w:r>
          </w:p>
        </w:tc>
        <w:tc>
          <w:tcPr>
            <w:tcW w:w="1651" w:type="dxa"/>
            <w:vAlign w:val="center"/>
          </w:tcPr>
          <w:p w14:paraId="663EEDA2" w14:textId="59D3EF2A" w:rsidR="00702A9B" w:rsidRPr="00702A9B" w:rsidRDefault="005939F2" w:rsidP="00702A9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0.</w:t>
            </w:r>
            <w:r>
              <w:rPr>
                <w:rFonts w:ascii="Gill Sans MT" w:hAnsi="Gill Sans MT"/>
                <w:sz w:val="18"/>
                <w:szCs w:val="18"/>
              </w:rPr>
              <w:t>481</w:t>
            </w:r>
            <w:r w:rsidRPr="00702A9B">
              <w:rPr>
                <w:rFonts w:ascii="Gill Sans MT" w:hAnsi="Gill Sans MT"/>
                <w:sz w:val="18"/>
                <w:szCs w:val="18"/>
              </w:rPr>
              <w:t xml:space="preserve"> </w:t>
            </w:r>
            <w:r w:rsidRPr="005939F2">
              <w:rPr>
                <w:rFonts w:ascii="Gill Sans MT" w:hAnsi="Gill Sans MT"/>
                <w:color w:val="44546A" w:themeColor="text2"/>
                <w:sz w:val="18"/>
                <w:szCs w:val="18"/>
              </w:rPr>
              <w:t>[~,0.</w:t>
            </w:r>
            <w:r>
              <w:rPr>
                <w:rFonts w:ascii="Gill Sans MT" w:hAnsi="Gill Sans MT"/>
                <w:color w:val="44546A" w:themeColor="text2"/>
                <w:sz w:val="18"/>
                <w:szCs w:val="18"/>
              </w:rPr>
              <w:t>590</w:t>
            </w:r>
            <w:r w:rsidRPr="005939F2">
              <w:rPr>
                <w:rFonts w:ascii="Gill Sans MT" w:hAnsi="Gill Sans MT"/>
                <w:color w:val="44546A" w:themeColor="text2"/>
                <w:sz w:val="18"/>
                <w:szCs w:val="18"/>
              </w:rPr>
              <w:t>]</w:t>
            </w:r>
          </w:p>
        </w:tc>
      </w:tr>
      <w:tr w:rsidR="00702A9B" w:rsidRPr="00702A9B" w14:paraId="6D973369" w14:textId="77777777" w:rsidTr="00702A9B">
        <w:trPr>
          <w:trHeight w:val="340"/>
        </w:trPr>
        <w:tc>
          <w:tcPr>
            <w:cnfStyle w:val="001000000000" w:firstRow="0" w:lastRow="0" w:firstColumn="1" w:lastColumn="0" w:oddVBand="0" w:evenVBand="0" w:oddHBand="0" w:evenHBand="0" w:firstRowFirstColumn="0" w:firstRowLastColumn="0" w:lastRowFirstColumn="0" w:lastRowLastColumn="0"/>
            <w:tcW w:w="1020" w:type="dxa"/>
            <w:vAlign w:val="center"/>
          </w:tcPr>
          <w:p w14:paraId="0BF2B3E3" w14:textId="77777777" w:rsidR="00702A9B" w:rsidRPr="00702A9B" w:rsidRDefault="00702A9B" w:rsidP="00702A9B">
            <w:pPr>
              <w:spacing w:before="0" w:after="0" w:line="240" w:lineRule="auto"/>
              <w:jc w:val="center"/>
              <w:rPr>
                <w:rFonts w:ascii="Gill Sans MT" w:hAnsi="Gill Sans MT"/>
                <w:b w:val="0"/>
                <w:bCs w:val="0"/>
              </w:rPr>
            </w:pPr>
          </w:p>
        </w:tc>
        <w:tc>
          <w:tcPr>
            <w:tcW w:w="1020" w:type="dxa"/>
            <w:vAlign w:val="center"/>
          </w:tcPr>
          <w:p w14:paraId="78EBC4A2" w14:textId="7A068FC6" w:rsidR="00702A9B" w:rsidRPr="00702A9B" w:rsidRDefault="00702A9B" w:rsidP="00702A9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ND</w:t>
            </w:r>
          </w:p>
        </w:tc>
        <w:tc>
          <w:tcPr>
            <w:tcW w:w="1650" w:type="dxa"/>
            <w:vAlign w:val="center"/>
          </w:tcPr>
          <w:p w14:paraId="07E36B66" w14:textId="08029B5C" w:rsidR="00702A9B" w:rsidRPr="00702A9B" w:rsidRDefault="005939F2" w:rsidP="00702A9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0.8</w:t>
            </w:r>
            <w:r>
              <w:rPr>
                <w:rFonts w:ascii="Gill Sans MT" w:hAnsi="Gill Sans MT"/>
                <w:sz w:val="18"/>
                <w:szCs w:val="18"/>
              </w:rPr>
              <w:t>50</w:t>
            </w:r>
            <w:r w:rsidRPr="00702A9B">
              <w:rPr>
                <w:rFonts w:ascii="Gill Sans MT" w:hAnsi="Gill Sans MT"/>
                <w:sz w:val="18"/>
                <w:szCs w:val="18"/>
              </w:rPr>
              <w:t xml:space="preserve"> </w:t>
            </w:r>
            <w:r w:rsidRPr="005939F2">
              <w:rPr>
                <w:rFonts w:ascii="Gill Sans MT" w:hAnsi="Gill Sans MT"/>
                <w:color w:val="44546A" w:themeColor="text2"/>
                <w:sz w:val="18"/>
                <w:szCs w:val="18"/>
              </w:rPr>
              <w:t>[~,0.897]</w:t>
            </w:r>
          </w:p>
        </w:tc>
        <w:tc>
          <w:tcPr>
            <w:tcW w:w="1651" w:type="dxa"/>
            <w:vAlign w:val="center"/>
          </w:tcPr>
          <w:p w14:paraId="3A9BD4F0" w14:textId="3AAE41BB" w:rsidR="00702A9B" w:rsidRPr="00702A9B" w:rsidRDefault="005939F2" w:rsidP="00702A9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0.8</w:t>
            </w:r>
            <w:r>
              <w:rPr>
                <w:rFonts w:ascii="Gill Sans MT" w:hAnsi="Gill Sans MT"/>
                <w:sz w:val="18"/>
                <w:szCs w:val="18"/>
              </w:rPr>
              <w:t>79</w:t>
            </w:r>
            <w:r w:rsidRPr="00702A9B">
              <w:rPr>
                <w:rFonts w:ascii="Gill Sans MT" w:hAnsi="Gill Sans MT"/>
                <w:sz w:val="18"/>
                <w:szCs w:val="18"/>
              </w:rPr>
              <w:t xml:space="preserve"> </w:t>
            </w:r>
            <w:r w:rsidRPr="005939F2">
              <w:rPr>
                <w:rFonts w:ascii="Gill Sans MT" w:hAnsi="Gill Sans MT"/>
                <w:color w:val="44546A" w:themeColor="text2"/>
                <w:sz w:val="18"/>
                <w:szCs w:val="18"/>
              </w:rPr>
              <w:t>[~,0.</w:t>
            </w:r>
            <w:r>
              <w:rPr>
                <w:rFonts w:ascii="Gill Sans MT" w:hAnsi="Gill Sans MT"/>
                <w:color w:val="44546A" w:themeColor="text2"/>
                <w:sz w:val="18"/>
                <w:szCs w:val="18"/>
              </w:rPr>
              <w:t>91</w:t>
            </w:r>
            <w:r w:rsidRPr="005939F2">
              <w:rPr>
                <w:rFonts w:ascii="Gill Sans MT" w:hAnsi="Gill Sans MT"/>
                <w:color w:val="44546A" w:themeColor="text2"/>
                <w:sz w:val="18"/>
                <w:szCs w:val="18"/>
              </w:rPr>
              <w:t>7]</w:t>
            </w:r>
          </w:p>
        </w:tc>
        <w:tc>
          <w:tcPr>
            <w:tcW w:w="1650" w:type="dxa"/>
            <w:vAlign w:val="center"/>
          </w:tcPr>
          <w:p w14:paraId="0744CD76" w14:textId="7F575A0D" w:rsidR="00702A9B" w:rsidRPr="00702A9B" w:rsidRDefault="005939F2" w:rsidP="00702A9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0.</w:t>
            </w:r>
            <w:r>
              <w:rPr>
                <w:rFonts w:ascii="Gill Sans MT" w:hAnsi="Gill Sans MT"/>
                <w:sz w:val="18"/>
                <w:szCs w:val="18"/>
              </w:rPr>
              <w:t>498</w:t>
            </w:r>
            <w:r w:rsidRPr="00702A9B">
              <w:rPr>
                <w:rFonts w:ascii="Gill Sans MT" w:hAnsi="Gill Sans MT"/>
                <w:sz w:val="18"/>
                <w:szCs w:val="18"/>
              </w:rPr>
              <w:t xml:space="preserve"> </w:t>
            </w:r>
            <w:r w:rsidRPr="005939F2">
              <w:rPr>
                <w:rFonts w:ascii="Gill Sans MT" w:hAnsi="Gill Sans MT"/>
                <w:color w:val="44546A" w:themeColor="text2"/>
                <w:sz w:val="18"/>
                <w:szCs w:val="18"/>
              </w:rPr>
              <w:t>[~,0.</w:t>
            </w:r>
            <w:r>
              <w:rPr>
                <w:rFonts w:ascii="Gill Sans MT" w:hAnsi="Gill Sans MT"/>
                <w:color w:val="44546A" w:themeColor="text2"/>
                <w:sz w:val="18"/>
                <w:szCs w:val="18"/>
              </w:rPr>
              <w:t>634</w:t>
            </w:r>
            <w:r w:rsidRPr="005939F2">
              <w:rPr>
                <w:rFonts w:ascii="Gill Sans MT" w:hAnsi="Gill Sans MT"/>
                <w:color w:val="44546A" w:themeColor="text2"/>
                <w:sz w:val="18"/>
                <w:szCs w:val="18"/>
              </w:rPr>
              <w:t>]</w:t>
            </w:r>
          </w:p>
        </w:tc>
        <w:tc>
          <w:tcPr>
            <w:tcW w:w="1651" w:type="dxa"/>
            <w:vAlign w:val="center"/>
          </w:tcPr>
          <w:p w14:paraId="758AEC46" w14:textId="5C87F04B" w:rsidR="00702A9B" w:rsidRPr="00702A9B" w:rsidRDefault="005939F2" w:rsidP="00702A9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0.</w:t>
            </w:r>
            <w:r>
              <w:rPr>
                <w:rFonts w:ascii="Gill Sans MT" w:hAnsi="Gill Sans MT"/>
                <w:sz w:val="18"/>
                <w:szCs w:val="18"/>
              </w:rPr>
              <w:t>569</w:t>
            </w:r>
            <w:r w:rsidRPr="00702A9B">
              <w:rPr>
                <w:rFonts w:ascii="Gill Sans MT" w:hAnsi="Gill Sans MT"/>
                <w:sz w:val="18"/>
                <w:szCs w:val="18"/>
              </w:rPr>
              <w:t xml:space="preserve"> </w:t>
            </w:r>
            <w:r w:rsidRPr="005939F2">
              <w:rPr>
                <w:rFonts w:ascii="Gill Sans MT" w:hAnsi="Gill Sans MT"/>
                <w:color w:val="44546A" w:themeColor="text2"/>
                <w:sz w:val="18"/>
                <w:szCs w:val="18"/>
              </w:rPr>
              <w:t>[~,0.</w:t>
            </w:r>
            <w:r>
              <w:rPr>
                <w:rFonts w:ascii="Gill Sans MT" w:hAnsi="Gill Sans MT"/>
                <w:color w:val="44546A" w:themeColor="text2"/>
                <w:sz w:val="18"/>
                <w:szCs w:val="18"/>
              </w:rPr>
              <w:t>690</w:t>
            </w:r>
            <w:r w:rsidRPr="005939F2">
              <w:rPr>
                <w:rFonts w:ascii="Gill Sans MT" w:hAnsi="Gill Sans MT"/>
                <w:color w:val="44546A" w:themeColor="text2"/>
                <w:sz w:val="18"/>
                <w:szCs w:val="18"/>
              </w:rPr>
              <w:t>]</w:t>
            </w:r>
          </w:p>
        </w:tc>
      </w:tr>
      <w:tr w:rsidR="00702A9B" w:rsidRPr="00702A9B" w14:paraId="3E107822" w14:textId="77777777" w:rsidTr="00702A9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20" w:type="dxa"/>
            <w:vAlign w:val="center"/>
          </w:tcPr>
          <w:p w14:paraId="5C9C3842" w14:textId="77777777" w:rsidR="00702A9B" w:rsidRPr="00702A9B" w:rsidRDefault="00702A9B" w:rsidP="00702A9B">
            <w:pPr>
              <w:spacing w:before="0" w:after="0" w:line="240" w:lineRule="auto"/>
              <w:jc w:val="center"/>
              <w:rPr>
                <w:rFonts w:ascii="Gill Sans MT" w:hAnsi="Gill Sans MT"/>
                <w:b w:val="0"/>
                <w:bCs w:val="0"/>
              </w:rPr>
            </w:pPr>
          </w:p>
        </w:tc>
        <w:tc>
          <w:tcPr>
            <w:tcW w:w="1020" w:type="dxa"/>
            <w:vAlign w:val="center"/>
          </w:tcPr>
          <w:p w14:paraId="70271237" w14:textId="249D66A7" w:rsidR="00702A9B" w:rsidRPr="00702A9B" w:rsidRDefault="00702A9B" w:rsidP="00702A9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DI</w:t>
            </w:r>
          </w:p>
        </w:tc>
        <w:tc>
          <w:tcPr>
            <w:tcW w:w="1650" w:type="dxa"/>
            <w:vAlign w:val="center"/>
          </w:tcPr>
          <w:p w14:paraId="25F2CACF" w14:textId="04C4CE0C" w:rsidR="00702A9B" w:rsidRPr="00702A9B" w:rsidRDefault="005939F2" w:rsidP="00702A9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0.</w:t>
            </w:r>
            <w:r>
              <w:rPr>
                <w:rFonts w:ascii="Gill Sans MT" w:hAnsi="Gill Sans MT"/>
                <w:sz w:val="18"/>
                <w:szCs w:val="18"/>
              </w:rPr>
              <w:t>723</w:t>
            </w:r>
            <w:r w:rsidRPr="00702A9B">
              <w:rPr>
                <w:rFonts w:ascii="Gill Sans MT" w:hAnsi="Gill Sans MT"/>
                <w:sz w:val="18"/>
                <w:szCs w:val="18"/>
              </w:rPr>
              <w:t xml:space="preserve"> </w:t>
            </w:r>
            <w:r w:rsidRPr="005939F2">
              <w:rPr>
                <w:rFonts w:ascii="Gill Sans MT" w:hAnsi="Gill Sans MT"/>
                <w:color w:val="44546A" w:themeColor="text2"/>
                <w:sz w:val="18"/>
                <w:szCs w:val="18"/>
              </w:rPr>
              <w:t>[~,0.820]</w:t>
            </w:r>
          </w:p>
        </w:tc>
        <w:tc>
          <w:tcPr>
            <w:tcW w:w="1651" w:type="dxa"/>
            <w:vAlign w:val="center"/>
          </w:tcPr>
          <w:p w14:paraId="6E5B205E" w14:textId="3CAC5768" w:rsidR="00702A9B" w:rsidRPr="00702A9B" w:rsidRDefault="005939F2" w:rsidP="00702A9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0.</w:t>
            </w:r>
            <w:r>
              <w:rPr>
                <w:rFonts w:ascii="Gill Sans MT" w:hAnsi="Gill Sans MT"/>
                <w:sz w:val="18"/>
                <w:szCs w:val="18"/>
              </w:rPr>
              <w:t>740</w:t>
            </w:r>
            <w:r w:rsidRPr="00702A9B">
              <w:rPr>
                <w:rFonts w:ascii="Gill Sans MT" w:hAnsi="Gill Sans MT"/>
                <w:sz w:val="18"/>
                <w:szCs w:val="18"/>
              </w:rPr>
              <w:t xml:space="preserve"> </w:t>
            </w:r>
            <w:r w:rsidRPr="005939F2">
              <w:rPr>
                <w:rFonts w:ascii="Gill Sans MT" w:hAnsi="Gill Sans MT"/>
                <w:color w:val="44546A" w:themeColor="text2"/>
                <w:sz w:val="18"/>
                <w:szCs w:val="18"/>
              </w:rPr>
              <w:t>[~,0.8</w:t>
            </w:r>
            <w:r>
              <w:rPr>
                <w:rFonts w:ascii="Gill Sans MT" w:hAnsi="Gill Sans MT"/>
                <w:color w:val="44546A" w:themeColor="text2"/>
                <w:sz w:val="18"/>
                <w:szCs w:val="18"/>
              </w:rPr>
              <w:t>32</w:t>
            </w:r>
            <w:r w:rsidRPr="005939F2">
              <w:rPr>
                <w:rFonts w:ascii="Gill Sans MT" w:hAnsi="Gill Sans MT"/>
                <w:color w:val="44546A" w:themeColor="text2"/>
                <w:sz w:val="18"/>
                <w:szCs w:val="18"/>
              </w:rPr>
              <w:t>]</w:t>
            </w:r>
          </w:p>
        </w:tc>
        <w:tc>
          <w:tcPr>
            <w:tcW w:w="1650" w:type="dxa"/>
            <w:vAlign w:val="center"/>
          </w:tcPr>
          <w:p w14:paraId="38F5A6B1" w14:textId="15B7BBA3" w:rsidR="00702A9B" w:rsidRPr="00702A9B" w:rsidRDefault="005939F2" w:rsidP="00702A9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0.</w:t>
            </w:r>
            <w:r>
              <w:rPr>
                <w:rFonts w:ascii="Gill Sans MT" w:hAnsi="Gill Sans MT"/>
                <w:sz w:val="18"/>
                <w:szCs w:val="18"/>
              </w:rPr>
              <w:t>370</w:t>
            </w:r>
            <w:r w:rsidRPr="00702A9B">
              <w:rPr>
                <w:rFonts w:ascii="Gill Sans MT" w:hAnsi="Gill Sans MT"/>
                <w:sz w:val="18"/>
                <w:szCs w:val="18"/>
              </w:rPr>
              <w:t xml:space="preserve"> </w:t>
            </w:r>
            <w:r w:rsidRPr="005939F2">
              <w:rPr>
                <w:rFonts w:ascii="Gill Sans MT" w:hAnsi="Gill Sans MT"/>
                <w:color w:val="44546A" w:themeColor="text2"/>
                <w:sz w:val="18"/>
                <w:szCs w:val="18"/>
              </w:rPr>
              <w:t>[~,0.</w:t>
            </w:r>
            <w:r>
              <w:rPr>
                <w:rFonts w:ascii="Gill Sans MT" w:hAnsi="Gill Sans MT"/>
                <w:color w:val="44546A" w:themeColor="text2"/>
                <w:sz w:val="18"/>
                <w:szCs w:val="18"/>
              </w:rPr>
              <w:t>559</w:t>
            </w:r>
            <w:r w:rsidRPr="005939F2">
              <w:rPr>
                <w:rFonts w:ascii="Gill Sans MT" w:hAnsi="Gill Sans MT"/>
                <w:color w:val="44546A" w:themeColor="text2"/>
                <w:sz w:val="18"/>
                <w:szCs w:val="18"/>
              </w:rPr>
              <w:t>]</w:t>
            </w:r>
          </w:p>
        </w:tc>
        <w:tc>
          <w:tcPr>
            <w:tcW w:w="1651" w:type="dxa"/>
            <w:vAlign w:val="center"/>
          </w:tcPr>
          <w:p w14:paraId="4308A78C" w14:textId="0D76A774" w:rsidR="00702A9B" w:rsidRPr="00702A9B" w:rsidRDefault="005939F2" w:rsidP="00702A9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0.</w:t>
            </w:r>
            <w:r>
              <w:rPr>
                <w:rFonts w:ascii="Gill Sans MT" w:hAnsi="Gill Sans MT"/>
                <w:sz w:val="18"/>
                <w:szCs w:val="18"/>
              </w:rPr>
              <w:t>666</w:t>
            </w:r>
            <w:r w:rsidRPr="00702A9B">
              <w:rPr>
                <w:rFonts w:ascii="Gill Sans MT" w:hAnsi="Gill Sans MT"/>
                <w:sz w:val="18"/>
                <w:szCs w:val="18"/>
              </w:rPr>
              <w:t xml:space="preserve"> </w:t>
            </w:r>
            <w:r w:rsidRPr="005939F2">
              <w:rPr>
                <w:rFonts w:ascii="Gill Sans MT" w:hAnsi="Gill Sans MT"/>
                <w:color w:val="44546A" w:themeColor="text2"/>
                <w:sz w:val="18"/>
                <w:szCs w:val="18"/>
              </w:rPr>
              <w:t>[~,0.</w:t>
            </w:r>
            <w:r>
              <w:rPr>
                <w:rFonts w:ascii="Gill Sans MT" w:hAnsi="Gill Sans MT"/>
                <w:color w:val="44546A" w:themeColor="text2"/>
                <w:sz w:val="18"/>
                <w:szCs w:val="18"/>
              </w:rPr>
              <w:t>780</w:t>
            </w:r>
            <w:r w:rsidRPr="005939F2">
              <w:rPr>
                <w:rFonts w:ascii="Gill Sans MT" w:hAnsi="Gill Sans MT"/>
                <w:color w:val="44546A" w:themeColor="text2"/>
                <w:sz w:val="18"/>
                <w:szCs w:val="18"/>
              </w:rPr>
              <w:t>]</w:t>
            </w:r>
          </w:p>
        </w:tc>
      </w:tr>
      <w:tr w:rsidR="00702A9B" w:rsidRPr="00702A9B" w14:paraId="2E74A74A" w14:textId="77777777" w:rsidTr="00702A9B">
        <w:trPr>
          <w:trHeight w:val="340"/>
        </w:trPr>
        <w:tc>
          <w:tcPr>
            <w:cnfStyle w:val="001000000000" w:firstRow="0" w:lastRow="0" w:firstColumn="1" w:lastColumn="0" w:oddVBand="0" w:evenVBand="0" w:oddHBand="0" w:evenHBand="0" w:firstRowFirstColumn="0" w:firstRowLastColumn="0" w:lastRowFirstColumn="0" w:lastRowLastColumn="0"/>
            <w:tcW w:w="1020" w:type="dxa"/>
            <w:vAlign w:val="center"/>
          </w:tcPr>
          <w:p w14:paraId="18DD74C4" w14:textId="019717C8" w:rsidR="00702A9B" w:rsidRPr="00702A9B" w:rsidRDefault="00702A9B" w:rsidP="00702A9B">
            <w:pPr>
              <w:spacing w:before="0" w:after="0" w:line="240" w:lineRule="auto"/>
              <w:jc w:val="center"/>
              <w:rPr>
                <w:rFonts w:ascii="Gill Sans MT" w:hAnsi="Gill Sans MT"/>
                <w:b w:val="0"/>
                <w:bCs w:val="0"/>
              </w:rPr>
            </w:pPr>
            <w:r>
              <w:rPr>
                <w:rFonts w:ascii="Gill Sans MT" w:hAnsi="Gill Sans MT"/>
                <w:b w:val="0"/>
                <w:bCs w:val="0"/>
              </w:rPr>
              <w:t>Dx16</w:t>
            </w:r>
          </w:p>
        </w:tc>
        <w:tc>
          <w:tcPr>
            <w:tcW w:w="1020" w:type="dxa"/>
            <w:vAlign w:val="center"/>
          </w:tcPr>
          <w:p w14:paraId="02D53077" w14:textId="72C3EDEA" w:rsidR="00702A9B" w:rsidRPr="00702A9B" w:rsidRDefault="00702A9B" w:rsidP="00702A9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datapool</w:t>
            </w:r>
          </w:p>
        </w:tc>
        <w:tc>
          <w:tcPr>
            <w:tcW w:w="1650" w:type="dxa"/>
            <w:vAlign w:val="center"/>
          </w:tcPr>
          <w:p w14:paraId="47B0ED9E" w14:textId="667F29EE" w:rsidR="00702A9B" w:rsidRPr="00702A9B" w:rsidRDefault="005939F2" w:rsidP="00702A9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0.8</w:t>
            </w:r>
            <w:r>
              <w:rPr>
                <w:rFonts w:ascii="Gill Sans MT" w:hAnsi="Gill Sans MT"/>
                <w:sz w:val="18"/>
                <w:szCs w:val="18"/>
              </w:rPr>
              <w:t>87</w:t>
            </w:r>
            <w:r w:rsidRPr="00702A9B">
              <w:rPr>
                <w:rFonts w:ascii="Gill Sans MT" w:hAnsi="Gill Sans MT"/>
                <w:sz w:val="18"/>
                <w:szCs w:val="18"/>
              </w:rPr>
              <w:t xml:space="preserve"> </w:t>
            </w:r>
            <w:r w:rsidRPr="005939F2">
              <w:rPr>
                <w:rFonts w:ascii="Gill Sans MT" w:hAnsi="Gill Sans MT"/>
                <w:color w:val="44546A" w:themeColor="text2"/>
                <w:sz w:val="18"/>
                <w:szCs w:val="18"/>
              </w:rPr>
              <w:t>[~,0.916]</w:t>
            </w:r>
          </w:p>
        </w:tc>
        <w:tc>
          <w:tcPr>
            <w:tcW w:w="1651" w:type="dxa"/>
            <w:vAlign w:val="center"/>
          </w:tcPr>
          <w:p w14:paraId="69989C91" w14:textId="635509AB" w:rsidR="00702A9B" w:rsidRPr="00702A9B" w:rsidRDefault="005939F2" w:rsidP="00702A9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0.8</w:t>
            </w:r>
            <w:r>
              <w:rPr>
                <w:rFonts w:ascii="Gill Sans MT" w:hAnsi="Gill Sans MT"/>
                <w:sz w:val="18"/>
                <w:szCs w:val="18"/>
              </w:rPr>
              <w:t>41</w:t>
            </w:r>
            <w:r w:rsidRPr="00702A9B">
              <w:rPr>
                <w:rFonts w:ascii="Gill Sans MT" w:hAnsi="Gill Sans MT"/>
                <w:sz w:val="18"/>
                <w:szCs w:val="18"/>
              </w:rPr>
              <w:t xml:space="preserve"> </w:t>
            </w:r>
            <w:r w:rsidRPr="005939F2">
              <w:rPr>
                <w:rFonts w:ascii="Gill Sans MT" w:hAnsi="Gill Sans MT"/>
                <w:color w:val="44546A" w:themeColor="text2"/>
                <w:sz w:val="18"/>
                <w:szCs w:val="18"/>
              </w:rPr>
              <w:t>[~,0.88</w:t>
            </w:r>
            <w:r>
              <w:rPr>
                <w:rFonts w:ascii="Gill Sans MT" w:hAnsi="Gill Sans MT"/>
                <w:color w:val="44546A" w:themeColor="text2"/>
                <w:sz w:val="18"/>
                <w:szCs w:val="18"/>
              </w:rPr>
              <w:t>1</w:t>
            </w:r>
            <w:r w:rsidRPr="005939F2">
              <w:rPr>
                <w:rFonts w:ascii="Gill Sans MT" w:hAnsi="Gill Sans MT"/>
                <w:color w:val="44546A" w:themeColor="text2"/>
                <w:sz w:val="18"/>
                <w:szCs w:val="18"/>
              </w:rPr>
              <w:t>]</w:t>
            </w:r>
          </w:p>
        </w:tc>
        <w:tc>
          <w:tcPr>
            <w:tcW w:w="1650" w:type="dxa"/>
            <w:vAlign w:val="center"/>
          </w:tcPr>
          <w:p w14:paraId="1EBB532D" w14:textId="2401D2DD" w:rsidR="00702A9B" w:rsidRPr="00702A9B" w:rsidRDefault="005939F2" w:rsidP="00702A9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0.8</w:t>
            </w:r>
            <w:r>
              <w:rPr>
                <w:rFonts w:ascii="Gill Sans MT" w:hAnsi="Gill Sans MT"/>
                <w:sz w:val="18"/>
                <w:szCs w:val="18"/>
              </w:rPr>
              <w:t>02</w:t>
            </w:r>
            <w:r w:rsidRPr="00702A9B">
              <w:rPr>
                <w:rFonts w:ascii="Gill Sans MT" w:hAnsi="Gill Sans MT"/>
                <w:sz w:val="18"/>
                <w:szCs w:val="18"/>
              </w:rPr>
              <w:t xml:space="preserve"> </w:t>
            </w:r>
            <w:r w:rsidRPr="005939F2">
              <w:rPr>
                <w:rFonts w:ascii="Gill Sans MT" w:hAnsi="Gill Sans MT"/>
                <w:color w:val="44546A" w:themeColor="text2"/>
                <w:sz w:val="18"/>
                <w:szCs w:val="18"/>
              </w:rPr>
              <w:t>[~,0.8</w:t>
            </w:r>
            <w:r>
              <w:rPr>
                <w:rFonts w:ascii="Gill Sans MT" w:hAnsi="Gill Sans MT"/>
                <w:color w:val="44546A" w:themeColor="text2"/>
                <w:sz w:val="18"/>
                <w:szCs w:val="18"/>
              </w:rPr>
              <w:t>50</w:t>
            </w:r>
            <w:r w:rsidRPr="005939F2">
              <w:rPr>
                <w:rFonts w:ascii="Gill Sans MT" w:hAnsi="Gill Sans MT"/>
                <w:color w:val="44546A" w:themeColor="text2"/>
                <w:sz w:val="18"/>
                <w:szCs w:val="18"/>
              </w:rPr>
              <w:t>]</w:t>
            </w:r>
          </w:p>
        </w:tc>
        <w:tc>
          <w:tcPr>
            <w:tcW w:w="1651" w:type="dxa"/>
            <w:vAlign w:val="center"/>
          </w:tcPr>
          <w:p w14:paraId="1372996D" w14:textId="44B07A71" w:rsidR="00702A9B" w:rsidRPr="00702A9B" w:rsidRDefault="005939F2" w:rsidP="00702A9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0.</w:t>
            </w:r>
            <w:r>
              <w:rPr>
                <w:rFonts w:ascii="Gill Sans MT" w:hAnsi="Gill Sans MT"/>
                <w:sz w:val="18"/>
                <w:szCs w:val="18"/>
              </w:rPr>
              <w:t>441</w:t>
            </w:r>
            <w:r w:rsidRPr="00702A9B">
              <w:rPr>
                <w:rFonts w:ascii="Gill Sans MT" w:hAnsi="Gill Sans MT"/>
                <w:sz w:val="18"/>
                <w:szCs w:val="18"/>
              </w:rPr>
              <w:t xml:space="preserve"> </w:t>
            </w:r>
            <w:r w:rsidRPr="005939F2">
              <w:rPr>
                <w:rFonts w:ascii="Gill Sans MT" w:hAnsi="Gill Sans MT"/>
                <w:color w:val="44546A" w:themeColor="text2"/>
                <w:sz w:val="18"/>
                <w:szCs w:val="18"/>
              </w:rPr>
              <w:t>[~,0.</w:t>
            </w:r>
            <w:r>
              <w:rPr>
                <w:rFonts w:ascii="Gill Sans MT" w:hAnsi="Gill Sans MT"/>
                <w:color w:val="44546A" w:themeColor="text2"/>
                <w:sz w:val="18"/>
                <w:szCs w:val="18"/>
              </w:rPr>
              <w:t>556</w:t>
            </w:r>
            <w:r w:rsidRPr="005939F2">
              <w:rPr>
                <w:rFonts w:ascii="Gill Sans MT" w:hAnsi="Gill Sans MT"/>
                <w:color w:val="44546A" w:themeColor="text2"/>
                <w:sz w:val="18"/>
                <w:szCs w:val="18"/>
              </w:rPr>
              <w:t>]</w:t>
            </w:r>
          </w:p>
        </w:tc>
      </w:tr>
      <w:tr w:rsidR="00702A9B" w:rsidRPr="00702A9B" w14:paraId="4B511781" w14:textId="77777777" w:rsidTr="00702A9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20" w:type="dxa"/>
            <w:vAlign w:val="center"/>
          </w:tcPr>
          <w:p w14:paraId="4C42A0AB" w14:textId="77777777" w:rsidR="00702A9B" w:rsidRPr="00702A9B" w:rsidRDefault="00702A9B" w:rsidP="00702A9B">
            <w:pPr>
              <w:spacing w:before="0" w:after="0" w:line="240" w:lineRule="auto"/>
              <w:jc w:val="center"/>
              <w:rPr>
                <w:rFonts w:ascii="Gill Sans MT" w:hAnsi="Gill Sans MT"/>
                <w:b w:val="0"/>
                <w:bCs w:val="0"/>
              </w:rPr>
            </w:pPr>
          </w:p>
        </w:tc>
        <w:tc>
          <w:tcPr>
            <w:tcW w:w="1020" w:type="dxa"/>
            <w:vAlign w:val="center"/>
          </w:tcPr>
          <w:p w14:paraId="331A9158" w14:textId="4B02A539" w:rsidR="00702A9B" w:rsidRPr="00702A9B" w:rsidRDefault="00702A9B" w:rsidP="00702A9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ND</w:t>
            </w:r>
          </w:p>
        </w:tc>
        <w:tc>
          <w:tcPr>
            <w:tcW w:w="1650" w:type="dxa"/>
            <w:vAlign w:val="center"/>
          </w:tcPr>
          <w:p w14:paraId="1D46B2EA" w14:textId="7F44E889" w:rsidR="00702A9B" w:rsidRPr="00702A9B" w:rsidRDefault="005939F2" w:rsidP="00702A9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0.8</w:t>
            </w:r>
            <w:r>
              <w:rPr>
                <w:rFonts w:ascii="Gill Sans MT" w:hAnsi="Gill Sans MT"/>
                <w:sz w:val="18"/>
                <w:szCs w:val="18"/>
              </w:rPr>
              <w:t>69</w:t>
            </w:r>
            <w:r w:rsidRPr="00702A9B">
              <w:rPr>
                <w:rFonts w:ascii="Gill Sans MT" w:hAnsi="Gill Sans MT"/>
                <w:sz w:val="18"/>
                <w:szCs w:val="18"/>
              </w:rPr>
              <w:t xml:space="preserve"> </w:t>
            </w:r>
            <w:r w:rsidRPr="005939F2">
              <w:rPr>
                <w:rFonts w:ascii="Gill Sans MT" w:hAnsi="Gill Sans MT"/>
                <w:color w:val="44546A" w:themeColor="text2"/>
                <w:sz w:val="18"/>
                <w:szCs w:val="18"/>
              </w:rPr>
              <w:t>[~,0.882]</w:t>
            </w:r>
          </w:p>
        </w:tc>
        <w:tc>
          <w:tcPr>
            <w:tcW w:w="1651" w:type="dxa"/>
            <w:vAlign w:val="center"/>
          </w:tcPr>
          <w:p w14:paraId="3C4A7B99" w14:textId="7FD17B1A" w:rsidR="00702A9B" w:rsidRPr="00702A9B" w:rsidRDefault="005939F2" w:rsidP="00702A9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0.8</w:t>
            </w:r>
            <w:r>
              <w:rPr>
                <w:rFonts w:ascii="Gill Sans MT" w:hAnsi="Gill Sans MT"/>
                <w:sz w:val="18"/>
                <w:szCs w:val="18"/>
              </w:rPr>
              <w:t>29</w:t>
            </w:r>
            <w:r w:rsidRPr="00702A9B">
              <w:rPr>
                <w:rFonts w:ascii="Gill Sans MT" w:hAnsi="Gill Sans MT"/>
                <w:sz w:val="18"/>
                <w:szCs w:val="18"/>
              </w:rPr>
              <w:t xml:space="preserve"> </w:t>
            </w:r>
            <w:r w:rsidRPr="005939F2">
              <w:rPr>
                <w:rFonts w:ascii="Gill Sans MT" w:hAnsi="Gill Sans MT"/>
                <w:color w:val="44546A" w:themeColor="text2"/>
                <w:sz w:val="18"/>
                <w:szCs w:val="18"/>
              </w:rPr>
              <w:t>[~,0.88</w:t>
            </w:r>
            <w:r>
              <w:rPr>
                <w:rFonts w:ascii="Gill Sans MT" w:hAnsi="Gill Sans MT"/>
                <w:color w:val="44546A" w:themeColor="text2"/>
                <w:sz w:val="18"/>
                <w:szCs w:val="18"/>
              </w:rPr>
              <w:t>2</w:t>
            </w:r>
            <w:r w:rsidRPr="005939F2">
              <w:rPr>
                <w:rFonts w:ascii="Gill Sans MT" w:hAnsi="Gill Sans MT"/>
                <w:color w:val="44546A" w:themeColor="text2"/>
                <w:sz w:val="18"/>
                <w:szCs w:val="18"/>
              </w:rPr>
              <w:t>]</w:t>
            </w:r>
          </w:p>
        </w:tc>
        <w:tc>
          <w:tcPr>
            <w:tcW w:w="1650" w:type="dxa"/>
            <w:vAlign w:val="center"/>
          </w:tcPr>
          <w:p w14:paraId="10746617" w14:textId="44F0FE10" w:rsidR="00702A9B" w:rsidRPr="00702A9B" w:rsidRDefault="005939F2" w:rsidP="00702A9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0.</w:t>
            </w:r>
            <w:r>
              <w:rPr>
                <w:rFonts w:ascii="Gill Sans MT" w:hAnsi="Gill Sans MT"/>
                <w:sz w:val="18"/>
                <w:szCs w:val="18"/>
              </w:rPr>
              <w:t>795</w:t>
            </w:r>
            <w:r w:rsidRPr="00702A9B">
              <w:rPr>
                <w:rFonts w:ascii="Gill Sans MT" w:hAnsi="Gill Sans MT"/>
                <w:sz w:val="18"/>
                <w:szCs w:val="18"/>
              </w:rPr>
              <w:t xml:space="preserve"> </w:t>
            </w:r>
            <w:r w:rsidRPr="005939F2">
              <w:rPr>
                <w:rFonts w:ascii="Gill Sans MT" w:hAnsi="Gill Sans MT"/>
                <w:color w:val="44546A" w:themeColor="text2"/>
                <w:sz w:val="18"/>
                <w:szCs w:val="18"/>
              </w:rPr>
              <w:t>[~,0.8</w:t>
            </w:r>
            <w:r>
              <w:rPr>
                <w:rFonts w:ascii="Gill Sans MT" w:hAnsi="Gill Sans MT"/>
                <w:color w:val="44546A" w:themeColor="text2"/>
                <w:sz w:val="18"/>
                <w:szCs w:val="18"/>
              </w:rPr>
              <w:t>58</w:t>
            </w:r>
            <w:r w:rsidRPr="005939F2">
              <w:rPr>
                <w:rFonts w:ascii="Gill Sans MT" w:hAnsi="Gill Sans MT"/>
                <w:color w:val="44546A" w:themeColor="text2"/>
                <w:sz w:val="18"/>
                <w:szCs w:val="18"/>
              </w:rPr>
              <w:t>]</w:t>
            </w:r>
          </w:p>
        </w:tc>
        <w:tc>
          <w:tcPr>
            <w:tcW w:w="1651" w:type="dxa"/>
            <w:vAlign w:val="center"/>
          </w:tcPr>
          <w:p w14:paraId="5C7D3B19" w14:textId="0F219477" w:rsidR="00702A9B" w:rsidRPr="00702A9B" w:rsidRDefault="005939F2" w:rsidP="00702A9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0.</w:t>
            </w:r>
            <w:r>
              <w:rPr>
                <w:rFonts w:ascii="Gill Sans MT" w:hAnsi="Gill Sans MT"/>
                <w:sz w:val="18"/>
                <w:szCs w:val="18"/>
              </w:rPr>
              <w:t>401</w:t>
            </w:r>
            <w:r w:rsidRPr="00702A9B">
              <w:rPr>
                <w:rFonts w:ascii="Gill Sans MT" w:hAnsi="Gill Sans MT"/>
                <w:sz w:val="18"/>
                <w:szCs w:val="18"/>
              </w:rPr>
              <w:t xml:space="preserve"> </w:t>
            </w:r>
            <w:r w:rsidRPr="005939F2">
              <w:rPr>
                <w:rFonts w:ascii="Gill Sans MT" w:hAnsi="Gill Sans MT"/>
                <w:color w:val="44546A" w:themeColor="text2"/>
                <w:sz w:val="18"/>
                <w:szCs w:val="18"/>
              </w:rPr>
              <w:t>[~,0.</w:t>
            </w:r>
            <w:r>
              <w:rPr>
                <w:rFonts w:ascii="Gill Sans MT" w:hAnsi="Gill Sans MT"/>
                <w:color w:val="44546A" w:themeColor="text2"/>
                <w:sz w:val="18"/>
                <w:szCs w:val="18"/>
              </w:rPr>
              <w:t>555</w:t>
            </w:r>
            <w:r w:rsidRPr="005939F2">
              <w:rPr>
                <w:rFonts w:ascii="Gill Sans MT" w:hAnsi="Gill Sans MT"/>
                <w:color w:val="44546A" w:themeColor="text2"/>
                <w:sz w:val="18"/>
                <w:szCs w:val="18"/>
              </w:rPr>
              <w:t>]</w:t>
            </w:r>
          </w:p>
        </w:tc>
      </w:tr>
      <w:tr w:rsidR="00702A9B" w:rsidRPr="00702A9B" w14:paraId="406016CB" w14:textId="77777777" w:rsidTr="00702A9B">
        <w:trPr>
          <w:trHeight w:val="340"/>
        </w:trPr>
        <w:tc>
          <w:tcPr>
            <w:cnfStyle w:val="001000000000" w:firstRow="0" w:lastRow="0" w:firstColumn="1" w:lastColumn="0" w:oddVBand="0" w:evenVBand="0" w:oddHBand="0" w:evenHBand="0" w:firstRowFirstColumn="0" w:firstRowLastColumn="0" w:lastRowFirstColumn="0" w:lastRowLastColumn="0"/>
            <w:tcW w:w="1020" w:type="dxa"/>
            <w:vAlign w:val="center"/>
          </w:tcPr>
          <w:p w14:paraId="00FF9F83" w14:textId="77777777" w:rsidR="00702A9B" w:rsidRPr="00702A9B" w:rsidRDefault="00702A9B" w:rsidP="00702A9B">
            <w:pPr>
              <w:spacing w:before="0" w:after="0" w:line="240" w:lineRule="auto"/>
              <w:jc w:val="center"/>
              <w:rPr>
                <w:rFonts w:ascii="Gill Sans MT" w:hAnsi="Gill Sans MT"/>
                <w:b w:val="0"/>
                <w:bCs w:val="0"/>
              </w:rPr>
            </w:pPr>
          </w:p>
        </w:tc>
        <w:tc>
          <w:tcPr>
            <w:tcW w:w="1020" w:type="dxa"/>
            <w:vAlign w:val="center"/>
          </w:tcPr>
          <w:p w14:paraId="69970A6D" w14:textId="08749043" w:rsidR="00702A9B" w:rsidRPr="00702A9B" w:rsidRDefault="00702A9B" w:rsidP="00702A9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DI</w:t>
            </w:r>
          </w:p>
        </w:tc>
        <w:tc>
          <w:tcPr>
            <w:tcW w:w="1650" w:type="dxa"/>
            <w:vAlign w:val="center"/>
          </w:tcPr>
          <w:p w14:paraId="6277ED62" w14:textId="5C36B1B3" w:rsidR="00702A9B" w:rsidRPr="00702A9B" w:rsidRDefault="005939F2" w:rsidP="00702A9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0.</w:t>
            </w:r>
            <w:r>
              <w:rPr>
                <w:rFonts w:ascii="Gill Sans MT" w:hAnsi="Gill Sans MT"/>
                <w:sz w:val="18"/>
                <w:szCs w:val="18"/>
              </w:rPr>
              <w:t>762</w:t>
            </w:r>
            <w:r w:rsidRPr="00702A9B">
              <w:rPr>
                <w:rFonts w:ascii="Gill Sans MT" w:hAnsi="Gill Sans MT"/>
                <w:sz w:val="18"/>
                <w:szCs w:val="18"/>
              </w:rPr>
              <w:t xml:space="preserve"> </w:t>
            </w:r>
            <w:r w:rsidRPr="005939F2">
              <w:rPr>
                <w:rFonts w:ascii="Gill Sans MT" w:hAnsi="Gill Sans MT"/>
                <w:color w:val="44546A" w:themeColor="text2"/>
                <w:sz w:val="18"/>
                <w:szCs w:val="18"/>
              </w:rPr>
              <w:t>[~,0.847]</w:t>
            </w:r>
          </w:p>
        </w:tc>
        <w:tc>
          <w:tcPr>
            <w:tcW w:w="1651" w:type="dxa"/>
            <w:vAlign w:val="center"/>
          </w:tcPr>
          <w:p w14:paraId="2DDAC296" w14:textId="4888CB8C" w:rsidR="00702A9B" w:rsidRPr="00702A9B" w:rsidRDefault="005939F2" w:rsidP="00702A9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0.</w:t>
            </w:r>
            <w:r>
              <w:rPr>
                <w:rFonts w:ascii="Gill Sans MT" w:hAnsi="Gill Sans MT"/>
                <w:sz w:val="18"/>
                <w:szCs w:val="18"/>
              </w:rPr>
              <w:t>637</w:t>
            </w:r>
            <w:r w:rsidRPr="00702A9B">
              <w:rPr>
                <w:rFonts w:ascii="Gill Sans MT" w:hAnsi="Gill Sans MT"/>
                <w:sz w:val="18"/>
                <w:szCs w:val="18"/>
              </w:rPr>
              <w:t xml:space="preserve"> </w:t>
            </w:r>
            <w:r w:rsidRPr="005939F2">
              <w:rPr>
                <w:rFonts w:ascii="Gill Sans MT" w:hAnsi="Gill Sans MT"/>
                <w:color w:val="44546A" w:themeColor="text2"/>
                <w:sz w:val="18"/>
                <w:szCs w:val="18"/>
              </w:rPr>
              <w:t>[~,0.</w:t>
            </w:r>
            <w:r>
              <w:rPr>
                <w:rFonts w:ascii="Gill Sans MT" w:hAnsi="Gill Sans MT"/>
                <w:color w:val="44546A" w:themeColor="text2"/>
                <w:sz w:val="18"/>
                <w:szCs w:val="18"/>
              </w:rPr>
              <w:t>760</w:t>
            </w:r>
            <w:r w:rsidRPr="005939F2">
              <w:rPr>
                <w:rFonts w:ascii="Gill Sans MT" w:hAnsi="Gill Sans MT"/>
                <w:color w:val="44546A" w:themeColor="text2"/>
                <w:sz w:val="18"/>
                <w:szCs w:val="18"/>
              </w:rPr>
              <w:t>]</w:t>
            </w:r>
          </w:p>
        </w:tc>
        <w:tc>
          <w:tcPr>
            <w:tcW w:w="1650" w:type="dxa"/>
            <w:vAlign w:val="center"/>
          </w:tcPr>
          <w:p w14:paraId="3C67C33E" w14:textId="07C287C3" w:rsidR="00702A9B" w:rsidRPr="00702A9B" w:rsidRDefault="005939F2" w:rsidP="00702A9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0.</w:t>
            </w:r>
            <w:r>
              <w:rPr>
                <w:rFonts w:ascii="Gill Sans MT" w:hAnsi="Gill Sans MT"/>
                <w:sz w:val="18"/>
                <w:szCs w:val="18"/>
              </w:rPr>
              <w:t>659</w:t>
            </w:r>
            <w:r w:rsidRPr="00702A9B">
              <w:rPr>
                <w:rFonts w:ascii="Gill Sans MT" w:hAnsi="Gill Sans MT"/>
                <w:sz w:val="18"/>
                <w:szCs w:val="18"/>
              </w:rPr>
              <w:t xml:space="preserve"> </w:t>
            </w:r>
            <w:r w:rsidRPr="005939F2">
              <w:rPr>
                <w:rFonts w:ascii="Gill Sans MT" w:hAnsi="Gill Sans MT"/>
                <w:color w:val="44546A" w:themeColor="text2"/>
                <w:sz w:val="18"/>
                <w:szCs w:val="18"/>
              </w:rPr>
              <w:t>[~,0.</w:t>
            </w:r>
            <w:r>
              <w:rPr>
                <w:rFonts w:ascii="Gill Sans MT" w:hAnsi="Gill Sans MT"/>
                <w:color w:val="44546A" w:themeColor="text2"/>
                <w:sz w:val="18"/>
                <w:szCs w:val="18"/>
              </w:rPr>
              <w:t>776</w:t>
            </w:r>
            <w:r w:rsidRPr="005939F2">
              <w:rPr>
                <w:rFonts w:ascii="Gill Sans MT" w:hAnsi="Gill Sans MT"/>
                <w:color w:val="44546A" w:themeColor="text2"/>
                <w:sz w:val="18"/>
                <w:szCs w:val="18"/>
              </w:rPr>
              <w:t>]</w:t>
            </w:r>
          </w:p>
        </w:tc>
        <w:tc>
          <w:tcPr>
            <w:tcW w:w="1651" w:type="dxa"/>
            <w:vAlign w:val="center"/>
          </w:tcPr>
          <w:p w14:paraId="73B9F7B0" w14:textId="66F53F67" w:rsidR="00702A9B" w:rsidRPr="00702A9B" w:rsidRDefault="005939F2" w:rsidP="00702A9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0.</w:t>
            </w:r>
            <w:r>
              <w:rPr>
                <w:rFonts w:ascii="Gill Sans MT" w:hAnsi="Gill Sans MT"/>
                <w:sz w:val="18"/>
                <w:szCs w:val="18"/>
              </w:rPr>
              <w:t>442</w:t>
            </w:r>
            <w:r w:rsidRPr="00702A9B">
              <w:rPr>
                <w:rFonts w:ascii="Gill Sans MT" w:hAnsi="Gill Sans MT"/>
                <w:sz w:val="18"/>
                <w:szCs w:val="18"/>
              </w:rPr>
              <w:t xml:space="preserve"> </w:t>
            </w:r>
            <w:r w:rsidRPr="005939F2">
              <w:rPr>
                <w:rFonts w:ascii="Gill Sans MT" w:hAnsi="Gill Sans MT"/>
                <w:color w:val="44546A" w:themeColor="text2"/>
                <w:sz w:val="18"/>
                <w:szCs w:val="18"/>
              </w:rPr>
              <w:t>[~,0.</w:t>
            </w:r>
            <w:r>
              <w:rPr>
                <w:rFonts w:ascii="Gill Sans MT" w:hAnsi="Gill Sans MT"/>
                <w:color w:val="44546A" w:themeColor="text2"/>
                <w:sz w:val="18"/>
                <w:szCs w:val="18"/>
              </w:rPr>
              <w:t>616</w:t>
            </w:r>
            <w:r w:rsidRPr="005939F2">
              <w:rPr>
                <w:rFonts w:ascii="Gill Sans MT" w:hAnsi="Gill Sans MT"/>
                <w:color w:val="44546A" w:themeColor="text2"/>
                <w:sz w:val="18"/>
                <w:szCs w:val="18"/>
              </w:rPr>
              <w:t>]</w:t>
            </w:r>
          </w:p>
        </w:tc>
      </w:tr>
    </w:tbl>
    <w:p w14:paraId="5A205732" w14:textId="29F00293" w:rsidR="00702A9B" w:rsidRDefault="005939F2" w:rsidP="004D5123">
      <w:pPr>
        <w:pStyle w:val="Tables"/>
      </w:pPr>
      <w:bookmarkStart w:id="199" w:name="_Toc57033189"/>
      <w:r>
        <w:t xml:space="preserve">Table </w:t>
      </w:r>
      <w:r w:rsidR="00EF327A">
        <w:t>1</w:t>
      </w:r>
      <w:r w:rsidR="005F0F49">
        <w:t>0:</w:t>
      </w:r>
      <w:r w:rsidR="003214C8">
        <w:tab/>
      </w:r>
      <w:r>
        <w:t xml:space="preserve">Cronbach's </w:t>
      </w:r>
      <w:r w:rsidRPr="00702A9B">
        <w:rPr>
          <w:rFonts w:ascii="Arial" w:eastAsia="Times New Roman" w:hAnsi="Arial" w:cs="Arial"/>
          <w:lang w:eastAsia="en-GB"/>
        </w:rPr>
        <w:t>ɑ</w:t>
      </w:r>
      <w:r>
        <w:rPr>
          <w:rFonts w:ascii="Arial" w:eastAsia="Times New Roman" w:hAnsi="Arial" w:cs="Arial"/>
          <w:lang w:eastAsia="en-GB"/>
        </w:rPr>
        <w:t xml:space="preserve"> reliability coefficients for the Dx20 and Dx16 scales.</w:t>
      </w:r>
      <w:bookmarkEnd w:id="199"/>
    </w:p>
    <w:p w14:paraId="6F01D0F5" w14:textId="7F6343B1" w:rsidR="00DD708C" w:rsidRPr="005939F2" w:rsidRDefault="00DD708C" w:rsidP="005939F2">
      <w:pPr>
        <w:rPr>
          <w:rFonts w:eastAsia="Times New Roman"/>
          <w:lang w:eastAsia="en-GB"/>
        </w:rPr>
      </w:pPr>
      <w:r w:rsidRPr="00DD708C">
        <w:rPr>
          <w:rFonts w:eastAsia="Times New Roman"/>
          <w:lang w:eastAsia="en-GB"/>
        </w:rPr>
        <w:lastRenderedPageBreak/>
        <w:t>The α value for the 16-item scale exceeded that for the 20-item scale for the datapool and also for the dyslexic and non-dyslexic groups, although the ɑ values for both versions of the scale were within 0.04 of each other for the datapool and for both groups respectively. Hence it was reasonable to assume that either scale, or indeed, both, were likely to be providing reliable indicators of dyslexia-ness amongst the respondents in this datapool. Note that the dataset composition of the three comparison subgroups (Base, Test, and Control), showed slight variations depending on whether the Dx20</w:t>
      </w:r>
      <w:r w:rsidR="000736F7">
        <w:rPr>
          <w:rFonts w:eastAsia="Times New Roman"/>
          <w:lang w:eastAsia="en-GB"/>
        </w:rPr>
        <w:t xml:space="preserve"> </w:t>
      </w:r>
      <w:r w:rsidRPr="00DD708C">
        <w:rPr>
          <w:rFonts w:eastAsia="Times New Roman"/>
          <w:lang w:eastAsia="en-GB"/>
        </w:rPr>
        <w:t>or Dx16 scales were used to calculate Dx values. Th</w:t>
      </w:r>
      <w:r w:rsidR="00A70722">
        <w:rPr>
          <w:rFonts w:eastAsia="Times New Roman"/>
          <w:lang w:eastAsia="en-GB"/>
        </w:rPr>
        <w:t>ese</w:t>
      </w:r>
      <w:r w:rsidRPr="00DD708C">
        <w:rPr>
          <w:rFonts w:eastAsia="Times New Roman"/>
          <w:lang w:eastAsia="en-GB"/>
        </w:rPr>
        <w:t xml:space="preserve"> differences</w:t>
      </w:r>
      <w:r>
        <w:rPr>
          <w:rFonts w:eastAsia="Times New Roman"/>
          <w:lang w:eastAsia="en-GB"/>
        </w:rPr>
        <w:t xml:space="preserve"> </w:t>
      </w:r>
      <w:r w:rsidRPr="00DD708C">
        <w:rPr>
          <w:rFonts w:eastAsia="Times New Roman"/>
          <w:lang w:eastAsia="en-GB"/>
        </w:rPr>
        <w:t xml:space="preserve">impacted slightly on the corresponding ABC outcomes (see </w:t>
      </w:r>
      <w:r w:rsidR="005F0F49">
        <w:rPr>
          <w:rFonts w:eastAsia="Times New Roman"/>
          <w:lang w:eastAsia="en-GB"/>
        </w:rPr>
        <w:t>S</w:t>
      </w:r>
      <w:r w:rsidRPr="00DD708C">
        <w:rPr>
          <w:rFonts w:eastAsia="Times New Roman"/>
          <w:lang w:eastAsia="en-GB"/>
        </w:rPr>
        <w:t>ection 4.4)</w:t>
      </w:r>
      <w:r>
        <w:rPr>
          <w:rFonts w:eastAsia="Times New Roman"/>
          <w:lang w:eastAsia="en-GB"/>
        </w:rPr>
        <w:t>.</w:t>
      </w:r>
    </w:p>
    <w:p w14:paraId="7A40679E" w14:textId="1D52929C" w:rsidR="005939F2" w:rsidRPr="005939F2" w:rsidRDefault="005939F2" w:rsidP="005939F2">
      <w:pPr>
        <w:rPr>
          <w:rFonts w:ascii="Times New Roman" w:eastAsia="Times New Roman" w:hAnsi="Times New Roman"/>
        </w:rPr>
      </w:pPr>
      <w:r>
        <w:t>The four scale items that were identified as redundant from the 20-item Dx scale were:</w:t>
      </w:r>
    </w:p>
    <w:p w14:paraId="13D42274" w14:textId="77777777" w:rsidR="005939F2" w:rsidRDefault="005939F2" w:rsidP="005939F2">
      <w:pPr>
        <w:pStyle w:val="ListParagraph"/>
        <w:numPr>
          <w:ilvl w:val="0"/>
          <w:numId w:val="22"/>
        </w:numPr>
      </w:pPr>
      <w:r>
        <w:t>Dx 03: ‘I find it very challenging to manage my time efficiently;</w:t>
      </w:r>
    </w:p>
    <w:p w14:paraId="4C3A6EB8" w14:textId="77777777" w:rsidR="005939F2" w:rsidRDefault="005939F2" w:rsidP="005939F2">
      <w:pPr>
        <w:pStyle w:val="ListParagraph"/>
        <w:numPr>
          <w:ilvl w:val="0"/>
          <w:numId w:val="22"/>
        </w:numPr>
      </w:pPr>
      <w:r>
        <w:t>Dx 05: ‘I think I am a highly organized learner’;</w:t>
      </w:r>
    </w:p>
    <w:p w14:paraId="78B6539E" w14:textId="77777777" w:rsidR="005939F2" w:rsidRDefault="005939F2" w:rsidP="005939F2">
      <w:pPr>
        <w:pStyle w:val="ListParagraph"/>
        <w:numPr>
          <w:ilvl w:val="0"/>
          <w:numId w:val="22"/>
        </w:numPr>
      </w:pPr>
      <w:r>
        <w:t>Dx 07: ‘I generally remember appointments and arrive on time’;</w:t>
      </w:r>
    </w:p>
    <w:p w14:paraId="3A2B1754" w14:textId="54BC7EDB" w:rsidR="005939F2" w:rsidRDefault="005939F2" w:rsidP="005939F2">
      <w:pPr>
        <w:pStyle w:val="ListParagraph"/>
        <w:numPr>
          <w:ilvl w:val="0"/>
          <w:numId w:val="22"/>
        </w:numPr>
      </w:pPr>
      <w:r>
        <w:t>Dx 13: ‘I find following directions to get to places quite straightforward’.</w:t>
      </w:r>
    </w:p>
    <w:p w14:paraId="222AC823" w14:textId="6202373B" w:rsidR="005939F2" w:rsidRDefault="005939F2" w:rsidP="005939F2">
      <w:r>
        <w:t>These dimensions had been identified</w:t>
      </w:r>
      <w:r w:rsidR="00DD708C">
        <w:t xml:space="preserve"> </w:t>
      </w:r>
      <w:r>
        <w:t xml:space="preserve">at an earlier stage of the data collation process as potentially troublesome, demonstrated by a wide disparity in Dx dimension values across the datapool which appeared to be independent of students' dyslexia status. A cursory scale-reliability analysis of these four dimensions taken together indicated them to be unlikely to comprise a unique factor scale </w:t>
      </w:r>
      <w:r w:rsidR="000736F7">
        <w:t>(</w:t>
      </w:r>
      <w:r>
        <w:t xml:space="preserve">further supported by the dimension reduction analysis of the Dyslexia Index metric later </w:t>
      </w:r>
      <w:r w:rsidR="000736F7">
        <w:t xml:space="preserve">- </w:t>
      </w:r>
      <w:r>
        <w:t>see 4.5</w:t>
      </w:r>
      <w:r w:rsidR="00A70722">
        <w:t>/III</w:t>
      </w:r>
      <w:r>
        <w:t xml:space="preserve">). </w:t>
      </w:r>
      <w:r w:rsidR="000736F7">
        <w:t>D</w:t>
      </w:r>
      <w:r>
        <w:t xml:space="preserve">imension Dx13 </w:t>
      </w:r>
      <w:r w:rsidR="000736F7">
        <w:t xml:space="preserve">was identified </w:t>
      </w:r>
      <w:r>
        <w:t xml:space="preserve">as the most disruptive of these four dimensions by examining the impact of removing this </w:t>
      </w:r>
      <w:r w:rsidR="000736F7">
        <w:t xml:space="preserve">only </w:t>
      </w:r>
      <w:r>
        <w:t>dimension on</w:t>
      </w:r>
      <w:r w:rsidR="000736F7">
        <w:t xml:space="preserve"> </w:t>
      </w:r>
      <w:r>
        <w:t xml:space="preserve">scale reliability. </w:t>
      </w:r>
      <w:r w:rsidR="000736F7">
        <w:t xml:space="preserve">However, this led to </w:t>
      </w:r>
      <w:r>
        <w:t>more confused, rather than clearer picture, suggesting that a more stable scale could be established</w:t>
      </w:r>
      <w:r w:rsidR="00DD708C">
        <w:t xml:space="preserve"> </w:t>
      </w:r>
      <w:r w:rsidR="000736F7">
        <w:t xml:space="preserve">by </w:t>
      </w:r>
      <w:r>
        <w:t>remov</w:t>
      </w:r>
      <w:r w:rsidR="000736F7">
        <w:t>ing</w:t>
      </w:r>
      <w:r>
        <w:t xml:space="preserve"> </w:t>
      </w:r>
      <w:r w:rsidR="000736F7">
        <w:t xml:space="preserve">all four </w:t>
      </w:r>
      <w:r>
        <w:t>redundant dimensions.</w:t>
      </w:r>
    </w:p>
    <w:p w14:paraId="0CBCABEE" w14:textId="34D2AB70" w:rsidR="005939F2" w:rsidRDefault="005939F2" w:rsidP="005939F2">
      <w:pPr>
        <w:rPr>
          <w:rFonts w:eastAsia="Times New Roman"/>
          <w:lang w:eastAsia="en-GB"/>
        </w:rPr>
      </w:pPr>
      <w:r w:rsidRPr="005939F2">
        <w:rPr>
          <w:rFonts w:eastAsia="Times New Roman"/>
          <w:lang w:eastAsia="en-GB"/>
        </w:rPr>
        <w:t>Examining scale reliability was an important part of the development process for the Dyslexia Index Profiler although the emergence of two scales, Dx20 and Dx16, led to a more complex analysis of ABC outcomes later (see sub-section 4.5 below). In the absence of more</w:t>
      </w:r>
      <w:r w:rsidR="00DD708C">
        <w:rPr>
          <w:rFonts w:eastAsia="Times New Roman"/>
          <w:lang w:eastAsia="en-GB"/>
        </w:rPr>
        <w:t xml:space="preserve"> </w:t>
      </w:r>
      <w:r w:rsidRPr="005939F2">
        <w:rPr>
          <w:rFonts w:eastAsia="Times New Roman"/>
          <w:lang w:eastAsia="en-GB"/>
        </w:rPr>
        <w:t>data</w:t>
      </w:r>
      <w:r w:rsidR="00DD708C">
        <w:rPr>
          <w:rFonts w:eastAsia="Times New Roman"/>
          <w:lang w:eastAsia="en-GB"/>
        </w:rPr>
        <w:t xml:space="preserve"> </w:t>
      </w:r>
      <w:r w:rsidRPr="005939F2">
        <w:rPr>
          <w:rFonts w:eastAsia="Times New Roman"/>
          <w:lang w:eastAsia="en-GB"/>
        </w:rPr>
        <w:t>being available to verify which version of the metric is likely to be</w:t>
      </w:r>
      <w:r w:rsidR="00DD708C">
        <w:rPr>
          <w:rFonts w:eastAsia="Times New Roman"/>
          <w:lang w:eastAsia="en-GB"/>
        </w:rPr>
        <w:t xml:space="preserve"> </w:t>
      </w:r>
      <w:r w:rsidRPr="005939F2">
        <w:rPr>
          <w:rFonts w:eastAsia="Times New Roman"/>
          <w:lang w:eastAsia="en-GB"/>
        </w:rPr>
        <w:t>the more precise</w:t>
      </w:r>
      <w:r w:rsidR="00DD708C">
        <w:rPr>
          <w:rFonts w:eastAsia="Times New Roman"/>
          <w:lang w:eastAsia="en-GB"/>
        </w:rPr>
        <w:t xml:space="preserve"> </w:t>
      </w:r>
      <w:r w:rsidRPr="005939F2">
        <w:rPr>
          <w:rFonts w:eastAsia="Times New Roman"/>
          <w:lang w:eastAsia="en-GB"/>
        </w:rPr>
        <w:t xml:space="preserve">gauge of dyslexia-ness, both were retained for the reporting of results. </w:t>
      </w:r>
    </w:p>
    <w:p w14:paraId="1107B7F0" w14:textId="77777777" w:rsidR="000736F7" w:rsidRPr="005939F2" w:rsidRDefault="000736F7" w:rsidP="005939F2">
      <w:pPr>
        <w:rPr>
          <w:rFonts w:eastAsia="Times New Roman"/>
          <w:lang w:eastAsia="en-GB"/>
        </w:rPr>
      </w:pPr>
    </w:p>
    <w:p w14:paraId="4AE7D0B1" w14:textId="0A2C6CD0" w:rsidR="005939F2" w:rsidRDefault="005939F2" w:rsidP="00C13A45">
      <w:pPr>
        <w:pStyle w:val="Heading4"/>
      </w:pPr>
      <w:r>
        <w:lastRenderedPageBreak/>
        <w:t xml:space="preserve">II Dx Profiler </w:t>
      </w:r>
      <w:r w:rsidR="00C13A45">
        <w:t>distributions and basic statistics</w:t>
      </w:r>
    </w:p>
    <w:p w14:paraId="35883B0E" w14:textId="585E2900" w:rsidR="00721A4D" w:rsidRPr="00721A4D" w:rsidRDefault="00721A4D" w:rsidP="00721A4D">
      <w:pPr>
        <w:rPr>
          <w:rFonts w:eastAsia="Times New Roman"/>
          <w:lang w:eastAsia="en-GB"/>
        </w:rPr>
      </w:pPr>
      <w:r w:rsidRPr="00721A4D">
        <w:rPr>
          <w:rFonts w:eastAsia="Times New Roman"/>
          <w:lang w:eastAsia="en-GB"/>
        </w:rPr>
        <w:t>Visual inspections of both distributions indicated them to be approximately normal by broadly</w:t>
      </w:r>
      <w:r w:rsidR="00DD708C">
        <w:rPr>
          <w:rFonts w:eastAsia="Times New Roman"/>
          <w:lang w:eastAsia="en-GB"/>
        </w:rPr>
        <w:t xml:space="preserve"> </w:t>
      </w:r>
      <w:r w:rsidRPr="00721A4D">
        <w:rPr>
          <w:rFonts w:eastAsia="Times New Roman"/>
          <w:lang w:eastAsia="en-GB"/>
        </w:rPr>
        <w:t>exhibiting the characteristic bell-shaped outline (</w:t>
      </w:r>
      <w:r w:rsidR="000736F7">
        <w:rPr>
          <w:rFonts w:eastAsia="Times New Roman"/>
          <w:lang w:eastAsia="en-GB"/>
        </w:rPr>
        <w:t xml:space="preserve">see </w:t>
      </w:r>
      <w:r w:rsidRPr="00721A4D">
        <w:rPr>
          <w:rFonts w:eastAsia="Times New Roman"/>
          <w:lang w:eastAsia="en-GB"/>
        </w:rPr>
        <w:t>Figure 1</w:t>
      </w:r>
      <w:r w:rsidR="000736F7">
        <w:rPr>
          <w:rFonts w:eastAsia="Times New Roman"/>
          <w:lang w:eastAsia="en-GB"/>
        </w:rPr>
        <w:t>4</w:t>
      </w:r>
      <w:r w:rsidRPr="00721A4D">
        <w:rPr>
          <w:rFonts w:eastAsia="Times New Roman"/>
          <w:lang w:eastAsia="en-GB"/>
        </w:rPr>
        <w:t>), although the distribution for the non-dyslexic group present</w:t>
      </w:r>
      <w:r w:rsidR="00D24E40">
        <w:rPr>
          <w:rFonts w:eastAsia="Times New Roman"/>
          <w:lang w:eastAsia="en-GB"/>
        </w:rPr>
        <w:t>ed</w:t>
      </w:r>
      <w:r w:rsidRPr="00721A4D">
        <w:rPr>
          <w:rFonts w:eastAsia="Times New Roman"/>
          <w:lang w:eastAsia="en-GB"/>
        </w:rPr>
        <w:t xml:space="preserve"> elements of bimodality. This was an anticipated outcome, confirming the likelihood of the quasi-dyslexic subgroup. Nevertheless, the Shapiro-Wilks test (p&gt;0.05) indicated normality in both distributions according to conventional interpretations, which was further supported by examination of Q-Q plots (Figure 1</w:t>
      </w:r>
      <w:r w:rsidR="000736F7">
        <w:rPr>
          <w:rFonts w:eastAsia="Times New Roman"/>
          <w:lang w:eastAsia="en-GB"/>
        </w:rPr>
        <w:t>6</w:t>
      </w:r>
      <w:r w:rsidRPr="00721A4D">
        <w:rPr>
          <w:rFonts w:eastAsia="Times New Roman"/>
          <w:lang w:eastAsia="en-GB"/>
        </w:rPr>
        <w:t xml:space="preserve"> (Dx20 plots shown)) where the datapoints for each group are generally</w:t>
      </w:r>
      <w:r w:rsidR="00DD708C">
        <w:rPr>
          <w:rFonts w:eastAsia="Times New Roman"/>
          <w:lang w:eastAsia="en-GB"/>
        </w:rPr>
        <w:t xml:space="preserve"> </w:t>
      </w:r>
      <w:r w:rsidRPr="00721A4D">
        <w:rPr>
          <w:rFonts w:eastAsia="Times New Roman"/>
          <w:lang w:eastAsia="en-GB"/>
        </w:rPr>
        <w:t>positioned approximately along the diagonal. There were no outliers in either distribution, determined by examination of the respective box-plots and application of the +/- three standard deviations criteria (Lund &amp; Lund, 2018).</w:t>
      </w:r>
    </w:p>
    <w:p w14:paraId="0E97FBB7" w14:textId="77777777" w:rsidR="000736F7" w:rsidRDefault="000736F7" w:rsidP="00721A4D">
      <w:pPr>
        <w:rPr>
          <w:rFonts w:eastAsia="Times New Roman"/>
          <w:lang w:eastAsia="en-GB"/>
        </w:rPr>
      </w:pPr>
      <w:r>
        <w:rPr>
          <w:rFonts w:eastAsia="Times New Roman"/>
          <w:lang w:eastAsia="en-GB"/>
        </w:rPr>
        <w:t>M</w:t>
      </w:r>
      <w:r w:rsidR="00721A4D" w:rsidRPr="00721A4D">
        <w:rPr>
          <w:rFonts w:eastAsia="Times New Roman"/>
          <w:lang w:eastAsia="en-GB"/>
        </w:rPr>
        <w:t xml:space="preserve">arked differences </w:t>
      </w:r>
      <w:r>
        <w:rPr>
          <w:rFonts w:eastAsia="Times New Roman"/>
          <w:lang w:eastAsia="en-GB"/>
        </w:rPr>
        <w:t xml:space="preserve">were seen </w:t>
      </w:r>
      <w:r w:rsidR="00721A4D" w:rsidRPr="00721A4D">
        <w:rPr>
          <w:rFonts w:eastAsia="Times New Roman"/>
          <w:lang w:eastAsia="en-GB"/>
        </w:rPr>
        <w:t>between Dx values for the two groups where both the sample mean Dx and median Dx are much lower for the non-dyslexic students using either scale</w:t>
      </w:r>
      <w:r w:rsidR="00DD708C">
        <w:rPr>
          <w:rFonts w:eastAsia="Times New Roman"/>
          <w:lang w:eastAsia="en-GB"/>
        </w:rPr>
        <w:t xml:space="preserve"> (Table </w:t>
      </w:r>
      <w:r w:rsidR="00BD11EB">
        <w:rPr>
          <w:rFonts w:eastAsia="Times New Roman"/>
          <w:lang w:eastAsia="en-GB"/>
        </w:rPr>
        <w:t>1</w:t>
      </w:r>
      <w:r w:rsidR="00D33D1F">
        <w:rPr>
          <w:rFonts w:eastAsia="Times New Roman"/>
          <w:lang w:eastAsia="en-GB"/>
        </w:rPr>
        <w:t>2</w:t>
      </w:r>
      <w:r w:rsidR="00DD708C">
        <w:rPr>
          <w:rFonts w:eastAsia="Times New Roman"/>
          <w:lang w:eastAsia="en-GB"/>
        </w:rPr>
        <w:t>)</w:t>
      </w:r>
      <w:r w:rsidR="00721A4D" w:rsidRPr="00721A4D">
        <w:rPr>
          <w:rFonts w:eastAsia="Times New Roman"/>
          <w:lang w:eastAsia="en-GB"/>
        </w:rPr>
        <w:t>. For the Dx20 scale, a</w:t>
      </w:r>
      <w:r w:rsidR="00D24E40">
        <w:rPr>
          <w:rFonts w:eastAsia="Times New Roman"/>
          <w:lang w:eastAsia="en-GB"/>
        </w:rPr>
        <w:t xml:space="preserve"> </w:t>
      </w:r>
      <w:r w:rsidR="00721A4D" w:rsidRPr="00721A4D">
        <w:rPr>
          <w:rFonts w:eastAsia="Times New Roman"/>
          <w:lang w:eastAsia="en-GB"/>
        </w:rPr>
        <w:t>very large effect size of </w:t>
      </w:r>
      <w:r w:rsidR="00721A4D" w:rsidRPr="00721A4D">
        <w:rPr>
          <w:rFonts w:eastAsia="Times New Roman"/>
          <w:i/>
          <w:iCs/>
          <w:lang w:eastAsia="en-GB"/>
        </w:rPr>
        <w:t>g</w:t>
      </w:r>
      <w:r w:rsidR="00721A4D" w:rsidRPr="00721A4D">
        <w:rPr>
          <w:rFonts w:eastAsia="Times New Roman"/>
          <w:lang w:eastAsia="en-GB"/>
        </w:rPr>
        <w:t> = 1.34 [95% CI: 1.00, 1.68] (Sullivan &amp; Feinn, 2012) between the Dx sample means was supported by an NHST outcome indicating</w:t>
      </w:r>
      <w:r w:rsidR="00D24E40">
        <w:rPr>
          <w:rFonts w:eastAsia="Times New Roman"/>
          <w:lang w:eastAsia="en-GB"/>
        </w:rPr>
        <w:t xml:space="preserve"> </w:t>
      </w:r>
      <w:r w:rsidR="00721A4D" w:rsidRPr="00721A4D">
        <w:rPr>
          <w:rFonts w:eastAsia="Times New Roman"/>
          <w:lang w:eastAsia="en-GB"/>
        </w:rPr>
        <w:t>a</w:t>
      </w:r>
      <w:r w:rsidR="00D24E40">
        <w:rPr>
          <w:rFonts w:eastAsia="Times New Roman"/>
          <w:lang w:eastAsia="en-GB"/>
        </w:rPr>
        <w:t xml:space="preserve"> </w:t>
      </w:r>
      <w:r w:rsidR="00721A4D" w:rsidRPr="00721A4D">
        <w:rPr>
          <w:rFonts w:eastAsia="Times New Roman"/>
          <w:lang w:eastAsia="en-GB"/>
        </w:rPr>
        <w:t>significantly lower mean Dx for students with dyslexia</w:t>
      </w:r>
      <w:r w:rsidR="00D24E40">
        <w:rPr>
          <w:rFonts w:eastAsia="Times New Roman"/>
          <w:lang w:eastAsia="en-GB"/>
        </w:rPr>
        <w:t xml:space="preserve"> </w:t>
      </w:r>
      <w:r w:rsidR="00721A4D" w:rsidRPr="00721A4D">
        <w:rPr>
          <w:rFonts w:eastAsia="Times New Roman"/>
          <w:lang w:eastAsia="en-GB"/>
        </w:rPr>
        <w:t>( t(161) = 8.81, p&lt;0.001), assuming unequal population variances as indicated by violation of Levene’s test for homogeneity of variances (F(164) = 7.65, p=0.006).</w:t>
      </w:r>
    </w:p>
    <w:p w14:paraId="48ACDB56" w14:textId="7EF1EDE2" w:rsidR="00DD708C" w:rsidRDefault="00721A4D" w:rsidP="00721A4D">
      <w:pPr>
        <w:rPr>
          <w:rFonts w:eastAsia="Times New Roman"/>
          <w:lang w:eastAsia="en-GB"/>
        </w:rPr>
      </w:pPr>
      <w:r w:rsidRPr="00721A4D">
        <w:rPr>
          <w:rFonts w:eastAsia="Times New Roman"/>
          <w:lang w:eastAsia="en-GB"/>
        </w:rPr>
        <w:t>Outcomes from</w:t>
      </w:r>
      <w:r w:rsidR="00D24E40">
        <w:rPr>
          <w:rFonts w:eastAsia="Times New Roman"/>
          <w:lang w:eastAsia="en-GB"/>
        </w:rPr>
        <w:t xml:space="preserve"> </w:t>
      </w:r>
      <w:r w:rsidRPr="00721A4D">
        <w:rPr>
          <w:rFonts w:eastAsia="Times New Roman"/>
          <w:lang w:eastAsia="en-GB"/>
        </w:rPr>
        <w:t xml:space="preserve">the reduced item Dx16 scale were similar (Table </w:t>
      </w:r>
      <w:r w:rsidR="00EF327A">
        <w:rPr>
          <w:rFonts w:eastAsia="Times New Roman"/>
          <w:lang w:eastAsia="en-GB"/>
        </w:rPr>
        <w:t>1</w:t>
      </w:r>
      <w:r w:rsidR="0063711A">
        <w:rPr>
          <w:rFonts w:eastAsia="Times New Roman"/>
          <w:lang w:eastAsia="en-GB"/>
        </w:rPr>
        <w:t>1</w:t>
      </w:r>
      <w:r w:rsidRPr="00721A4D">
        <w:rPr>
          <w:rFonts w:eastAsia="Times New Roman"/>
          <w:lang w:eastAsia="en-GB"/>
        </w:rPr>
        <w:t>), although a wider Dx range for the non-dyslexic group using this version of the metric, together with greater</w:t>
      </w:r>
      <w:r w:rsidR="00D24E40">
        <w:rPr>
          <w:rFonts w:eastAsia="Times New Roman"/>
          <w:lang w:eastAsia="en-GB"/>
        </w:rPr>
        <w:t xml:space="preserve"> </w:t>
      </w:r>
      <w:r w:rsidRPr="00721A4D">
        <w:rPr>
          <w:rFonts w:eastAsia="Times New Roman"/>
          <w:lang w:eastAsia="en-GB"/>
        </w:rPr>
        <w:t>differences in the measures of central tendency between the two groups, may be indicating that better discriminative granularity</w:t>
      </w:r>
      <w:r w:rsidR="00D24E40">
        <w:rPr>
          <w:rFonts w:eastAsia="Times New Roman"/>
          <w:lang w:eastAsia="en-GB"/>
        </w:rPr>
        <w:t xml:space="preserve"> wa</w:t>
      </w:r>
      <w:r w:rsidRPr="00721A4D">
        <w:rPr>
          <w:rFonts w:eastAsia="Times New Roman"/>
          <w:lang w:eastAsia="en-GB"/>
        </w:rPr>
        <w:t>s demonstrated with this version of the scale. Interpretations of outcomes from both scales suggest that</w:t>
      </w:r>
      <w:r w:rsidR="00D24E40">
        <w:rPr>
          <w:rFonts w:eastAsia="Times New Roman"/>
          <w:lang w:eastAsia="en-GB"/>
        </w:rPr>
        <w:t xml:space="preserve"> </w:t>
      </w:r>
      <w:r w:rsidRPr="00721A4D">
        <w:rPr>
          <w:rFonts w:eastAsia="Times New Roman"/>
          <w:lang w:eastAsia="en-GB"/>
        </w:rPr>
        <w:t>the Dx Profiler is returning the expected, high Dx values for the majority of students who declared their dyslexia, and a much lower value for the substantial proportion of those who declared no dyslexic learning</w:t>
      </w:r>
      <w:r w:rsidR="000601F9">
        <w:rPr>
          <w:rFonts w:eastAsia="Times New Roman"/>
          <w:lang w:eastAsia="en-GB"/>
        </w:rPr>
        <w:t xml:space="preserve"> </w:t>
      </w:r>
      <w:r w:rsidRPr="00721A4D">
        <w:rPr>
          <w:rFonts w:eastAsia="Times New Roman"/>
          <w:lang w:eastAsia="en-GB"/>
        </w:rPr>
        <w:t>challenges, with these marked differences being clearly visible when the distributions were plotted on the Dyslexia-ness Continuum (Figure 1</w:t>
      </w:r>
      <w:r w:rsidR="000601F9">
        <w:rPr>
          <w:rFonts w:eastAsia="Times New Roman"/>
          <w:lang w:eastAsia="en-GB"/>
        </w:rPr>
        <w:t>5</w:t>
      </w:r>
      <w:r w:rsidRPr="00721A4D">
        <w:rPr>
          <w:rFonts w:eastAsia="Times New Roman"/>
          <w:lang w:eastAsia="en-GB"/>
        </w:rPr>
        <w:t>).</w:t>
      </w:r>
    </w:p>
    <w:p w14:paraId="0C051701" w14:textId="1B1EA1B8" w:rsidR="001571BF" w:rsidRDefault="001571BF" w:rsidP="00721A4D">
      <w:pPr>
        <w:rPr>
          <w:rFonts w:eastAsia="Times New Roman"/>
          <w:lang w:eastAsia="en-GB"/>
        </w:rPr>
      </w:pPr>
    </w:p>
    <w:p w14:paraId="012ED2E9" w14:textId="7C5DD78F" w:rsidR="001571BF" w:rsidRDefault="001571BF" w:rsidP="00721A4D">
      <w:pPr>
        <w:rPr>
          <w:rFonts w:eastAsia="Times New Roman"/>
          <w:lang w:eastAsia="en-GB"/>
        </w:rPr>
      </w:pPr>
    </w:p>
    <w:p w14:paraId="37237B84" w14:textId="77777777" w:rsidR="001571BF" w:rsidRDefault="001571BF" w:rsidP="00721A4D">
      <w:pPr>
        <w:rPr>
          <w:rFonts w:eastAsia="Times New Roman"/>
          <w:lang w:eastAsia="en-GB"/>
        </w:rPr>
      </w:pPr>
    </w:p>
    <w:tbl>
      <w:tblPr>
        <w:tblStyle w:val="GridTable5Dark-Accent1"/>
        <w:tblW w:w="0" w:type="auto"/>
        <w:tblLook w:val="04A0" w:firstRow="1" w:lastRow="0" w:firstColumn="1" w:lastColumn="0" w:noHBand="0" w:noVBand="1"/>
      </w:tblPr>
      <w:tblGrid>
        <w:gridCol w:w="855"/>
        <w:gridCol w:w="991"/>
        <w:gridCol w:w="623"/>
        <w:gridCol w:w="1394"/>
        <w:gridCol w:w="1384"/>
        <w:gridCol w:w="1411"/>
        <w:gridCol w:w="1296"/>
      </w:tblGrid>
      <w:tr w:rsidR="00DD708C" w:rsidRPr="00702A9B" w14:paraId="367BA427" w14:textId="77777777" w:rsidTr="0089318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5" w:type="dxa"/>
            <w:vAlign w:val="center"/>
          </w:tcPr>
          <w:p w14:paraId="2A674AF5" w14:textId="77777777" w:rsidR="00DD708C" w:rsidRPr="00702A9B" w:rsidRDefault="00DD708C" w:rsidP="007B5DE1">
            <w:pPr>
              <w:spacing w:before="0" w:after="0" w:line="240" w:lineRule="auto"/>
              <w:jc w:val="center"/>
              <w:rPr>
                <w:rFonts w:ascii="Gill Sans MT" w:hAnsi="Gill Sans MT"/>
                <w:b w:val="0"/>
                <w:bCs w:val="0"/>
              </w:rPr>
            </w:pPr>
            <w:r w:rsidRPr="00702A9B">
              <w:rPr>
                <w:rFonts w:ascii="Gill Sans MT" w:hAnsi="Gill Sans MT"/>
                <w:b w:val="0"/>
                <w:bCs w:val="0"/>
              </w:rPr>
              <w:lastRenderedPageBreak/>
              <w:t>Scale</w:t>
            </w:r>
          </w:p>
        </w:tc>
        <w:tc>
          <w:tcPr>
            <w:tcW w:w="991" w:type="dxa"/>
            <w:vAlign w:val="center"/>
          </w:tcPr>
          <w:p w14:paraId="57B3753D" w14:textId="77777777" w:rsidR="00DD708C" w:rsidRPr="00702A9B" w:rsidRDefault="00DD708C" w:rsidP="007B5DE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Research Group</w:t>
            </w:r>
          </w:p>
        </w:tc>
        <w:tc>
          <w:tcPr>
            <w:tcW w:w="623" w:type="dxa"/>
            <w:vAlign w:val="center"/>
          </w:tcPr>
          <w:p w14:paraId="1AA59601" w14:textId="77777777" w:rsidR="00DD708C" w:rsidRPr="00702A9B" w:rsidRDefault="00DD708C" w:rsidP="007B5DE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eastAsia="zh-CN"/>
              </w:rPr>
            </w:pPr>
            <w:r>
              <w:rPr>
                <w:rFonts w:ascii="Arial" w:hAnsi="Arial" w:cs="Arial"/>
                <w:b w:val="0"/>
                <w:bCs w:val="0"/>
                <w:lang w:eastAsia="zh-CN"/>
              </w:rPr>
              <w:t>n</w:t>
            </w:r>
          </w:p>
        </w:tc>
        <w:tc>
          <w:tcPr>
            <w:tcW w:w="1394" w:type="dxa"/>
            <w:vAlign w:val="center"/>
          </w:tcPr>
          <w:p w14:paraId="5D786CF8" w14:textId="77777777" w:rsidR="00DD708C" w:rsidRPr="00702A9B" w:rsidRDefault="00DD708C" w:rsidP="007B5DE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cs="Arial"/>
                <w:b w:val="0"/>
                <w:bCs w:val="0"/>
                <w:lang w:eastAsia="zh-CN"/>
              </w:rPr>
            </w:pPr>
            <w:r>
              <w:rPr>
                <w:rFonts w:ascii="Gill Sans MT" w:hAnsi="Gill Sans MT" w:cs="Arial"/>
                <w:b w:val="0"/>
                <w:bCs w:val="0"/>
                <w:lang w:eastAsia="zh-CN"/>
              </w:rPr>
              <w:t>Dx range</w:t>
            </w:r>
          </w:p>
        </w:tc>
        <w:tc>
          <w:tcPr>
            <w:tcW w:w="1384" w:type="dxa"/>
            <w:vAlign w:val="center"/>
          </w:tcPr>
          <w:p w14:paraId="6FF9404E" w14:textId="77777777" w:rsidR="00DD708C" w:rsidRPr="00702A9B" w:rsidRDefault="00DD708C" w:rsidP="007B5DE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Arial" w:hAnsi="Arial" w:cs="Arial"/>
                <w:b w:val="0"/>
                <w:bCs w:val="0"/>
                <w:lang w:eastAsia="zh-CN"/>
              </w:rPr>
              <w:t>sample mean Dx</w:t>
            </w:r>
          </w:p>
        </w:tc>
        <w:tc>
          <w:tcPr>
            <w:tcW w:w="1411" w:type="dxa"/>
            <w:vAlign w:val="center"/>
          </w:tcPr>
          <w:p w14:paraId="4824E4D9" w14:textId="77777777" w:rsidR="00DD708C" w:rsidRPr="00702A9B" w:rsidRDefault="00DD708C" w:rsidP="007B5DE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Arial" w:hAnsi="Arial" w:cs="Arial"/>
                <w:b w:val="0"/>
                <w:bCs w:val="0"/>
                <w:lang w:eastAsia="zh-CN"/>
              </w:rPr>
              <w:t>95% CI for μ</w:t>
            </w:r>
          </w:p>
        </w:tc>
        <w:tc>
          <w:tcPr>
            <w:tcW w:w="1296" w:type="dxa"/>
            <w:vAlign w:val="center"/>
          </w:tcPr>
          <w:p w14:paraId="4A6C440E" w14:textId="77777777" w:rsidR="00DD708C" w:rsidRPr="00702A9B" w:rsidRDefault="00DD708C" w:rsidP="007B5DE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median Dx</w:t>
            </w:r>
          </w:p>
        </w:tc>
      </w:tr>
      <w:tr w:rsidR="00DD708C" w:rsidRPr="00702A9B" w14:paraId="2AE4EAD9" w14:textId="77777777" w:rsidTr="0089318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5" w:type="dxa"/>
            <w:vAlign w:val="center"/>
          </w:tcPr>
          <w:p w14:paraId="4055488E" w14:textId="77777777" w:rsidR="00DD708C" w:rsidRPr="00702A9B" w:rsidRDefault="00DD708C" w:rsidP="007B5DE1">
            <w:pPr>
              <w:spacing w:before="0" w:after="0" w:line="240" w:lineRule="auto"/>
              <w:jc w:val="center"/>
              <w:rPr>
                <w:rFonts w:ascii="Gill Sans MT" w:hAnsi="Gill Sans MT"/>
                <w:b w:val="0"/>
                <w:bCs w:val="0"/>
              </w:rPr>
            </w:pPr>
            <w:r>
              <w:rPr>
                <w:rFonts w:ascii="Gill Sans MT" w:hAnsi="Gill Sans MT"/>
                <w:b w:val="0"/>
                <w:bCs w:val="0"/>
              </w:rPr>
              <w:t>Dx20</w:t>
            </w:r>
          </w:p>
        </w:tc>
        <w:tc>
          <w:tcPr>
            <w:tcW w:w="991" w:type="dxa"/>
            <w:vAlign w:val="center"/>
          </w:tcPr>
          <w:p w14:paraId="22CD4801" w14:textId="77777777" w:rsidR="00DD708C" w:rsidRPr="00702A9B" w:rsidRDefault="00DD708C" w:rsidP="007B5D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ND</w:t>
            </w:r>
          </w:p>
        </w:tc>
        <w:tc>
          <w:tcPr>
            <w:tcW w:w="623" w:type="dxa"/>
            <w:vAlign w:val="center"/>
          </w:tcPr>
          <w:p w14:paraId="38500EBA" w14:textId="77777777" w:rsidR="00DD708C" w:rsidRPr="00702A9B" w:rsidRDefault="00DD708C" w:rsidP="007B5D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98</w:t>
            </w:r>
          </w:p>
        </w:tc>
        <w:tc>
          <w:tcPr>
            <w:tcW w:w="1394" w:type="dxa"/>
            <w:vAlign w:val="center"/>
          </w:tcPr>
          <w:p w14:paraId="7251D088" w14:textId="77777777" w:rsidR="00DD708C" w:rsidRPr="00702A9B" w:rsidRDefault="00DD708C" w:rsidP="007B5D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32 &lt; Dx &lt; 888</w:t>
            </w:r>
          </w:p>
        </w:tc>
        <w:tc>
          <w:tcPr>
            <w:tcW w:w="1384" w:type="dxa"/>
            <w:vAlign w:val="center"/>
          </w:tcPr>
          <w:p w14:paraId="47B9DEE0" w14:textId="77777777" w:rsidR="00DD708C" w:rsidRPr="00702A9B" w:rsidRDefault="00DD708C" w:rsidP="007B5D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430</w:t>
            </w:r>
          </w:p>
        </w:tc>
        <w:tc>
          <w:tcPr>
            <w:tcW w:w="1411" w:type="dxa"/>
            <w:vAlign w:val="center"/>
          </w:tcPr>
          <w:p w14:paraId="40A81FC0" w14:textId="77777777" w:rsidR="00DD708C" w:rsidRPr="00702A9B" w:rsidRDefault="00DD708C" w:rsidP="007B5D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393 &lt; Dx &lt; 466</w:t>
            </w:r>
          </w:p>
        </w:tc>
        <w:tc>
          <w:tcPr>
            <w:tcW w:w="1296" w:type="dxa"/>
            <w:vAlign w:val="center"/>
          </w:tcPr>
          <w:p w14:paraId="0CD6E391" w14:textId="77777777" w:rsidR="00DD708C" w:rsidRPr="00702A9B" w:rsidRDefault="00DD708C" w:rsidP="007B5D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398</w:t>
            </w:r>
          </w:p>
        </w:tc>
      </w:tr>
      <w:tr w:rsidR="00DD708C" w:rsidRPr="00702A9B" w14:paraId="287B0297" w14:textId="77777777" w:rsidTr="00893181">
        <w:trPr>
          <w:trHeight w:val="340"/>
        </w:trPr>
        <w:tc>
          <w:tcPr>
            <w:cnfStyle w:val="001000000000" w:firstRow="0" w:lastRow="0" w:firstColumn="1" w:lastColumn="0" w:oddVBand="0" w:evenVBand="0" w:oddHBand="0" w:evenHBand="0" w:firstRowFirstColumn="0" w:firstRowLastColumn="0" w:lastRowFirstColumn="0" w:lastRowLastColumn="0"/>
            <w:tcW w:w="855" w:type="dxa"/>
            <w:vAlign w:val="center"/>
          </w:tcPr>
          <w:p w14:paraId="2B125103" w14:textId="77777777" w:rsidR="00DD708C" w:rsidRPr="00702A9B" w:rsidRDefault="00DD708C" w:rsidP="007B5DE1">
            <w:pPr>
              <w:spacing w:before="0" w:after="0" w:line="240" w:lineRule="auto"/>
              <w:jc w:val="center"/>
              <w:rPr>
                <w:rFonts w:ascii="Gill Sans MT" w:hAnsi="Gill Sans MT"/>
                <w:b w:val="0"/>
                <w:bCs w:val="0"/>
              </w:rPr>
            </w:pPr>
          </w:p>
        </w:tc>
        <w:tc>
          <w:tcPr>
            <w:tcW w:w="991" w:type="dxa"/>
            <w:vAlign w:val="center"/>
          </w:tcPr>
          <w:p w14:paraId="78BAB32F" w14:textId="77777777" w:rsidR="00DD708C" w:rsidRPr="00702A9B"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DI</w:t>
            </w:r>
          </w:p>
        </w:tc>
        <w:tc>
          <w:tcPr>
            <w:tcW w:w="623" w:type="dxa"/>
            <w:vAlign w:val="center"/>
          </w:tcPr>
          <w:p w14:paraId="2D78FCC6" w14:textId="77777777" w:rsidR="00DD708C" w:rsidRPr="00702A9B"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68</w:t>
            </w:r>
          </w:p>
        </w:tc>
        <w:tc>
          <w:tcPr>
            <w:tcW w:w="1394" w:type="dxa"/>
            <w:vAlign w:val="center"/>
          </w:tcPr>
          <w:p w14:paraId="15860496" w14:textId="77777777" w:rsidR="00DD708C" w:rsidRPr="00702A9B"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326 &lt; Dx &lt; 960</w:t>
            </w:r>
          </w:p>
        </w:tc>
        <w:tc>
          <w:tcPr>
            <w:tcW w:w="1384" w:type="dxa"/>
            <w:vAlign w:val="center"/>
          </w:tcPr>
          <w:p w14:paraId="516A9B00" w14:textId="77777777" w:rsidR="00DD708C" w:rsidRPr="00702A9B"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670</w:t>
            </w:r>
          </w:p>
        </w:tc>
        <w:tc>
          <w:tcPr>
            <w:tcW w:w="1411" w:type="dxa"/>
            <w:vAlign w:val="center"/>
          </w:tcPr>
          <w:p w14:paraId="01C924CC" w14:textId="77777777" w:rsidR="00DD708C" w:rsidRPr="00702A9B"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635 &lt; Dx &lt; 706</w:t>
            </w:r>
          </w:p>
        </w:tc>
        <w:tc>
          <w:tcPr>
            <w:tcW w:w="1296" w:type="dxa"/>
            <w:vAlign w:val="center"/>
          </w:tcPr>
          <w:p w14:paraId="1C9558C3" w14:textId="77777777" w:rsidR="00DD708C" w:rsidRPr="00702A9B"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700</w:t>
            </w:r>
          </w:p>
        </w:tc>
      </w:tr>
      <w:tr w:rsidR="00DD708C" w:rsidRPr="00702A9B" w14:paraId="3988B915" w14:textId="77777777" w:rsidTr="0089318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5" w:type="dxa"/>
            <w:vAlign w:val="center"/>
          </w:tcPr>
          <w:p w14:paraId="121F2BDB" w14:textId="77777777" w:rsidR="00DD708C" w:rsidRPr="00702A9B" w:rsidRDefault="00DD708C" w:rsidP="007B5DE1">
            <w:pPr>
              <w:spacing w:before="0" w:after="0" w:line="240" w:lineRule="auto"/>
              <w:jc w:val="center"/>
              <w:rPr>
                <w:rFonts w:ascii="Gill Sans MT" w:hAnsi="Gill Sans MT"/>
                <w:b w:val="0"/>
                <w:bCs w:val="0"/>
              </w:rPr>
            </w:pPr>
          </w:p>
        </w:tc>
        <w:tc>
          <w:tcPr>
            <w:tcW w:w="991" w:type="dxa"/>
            <w:vAlign w:val="center"/>
          </w:tcPr>
          <w:p w14:paraId="50E23198" w14:textId="77777777" w:rsidR="00DD708C" w:rsidRPr="00702A9B" w:rsidRDefault="00DD708C" w:rsidP="007B5D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p>
        </w:tc>
        <w:tc>
          <w:tcPr>
            <w:tcW w:w="623" w:type="dxa"/>
            <w:vAlign w:val="center"/>
          </w:tcPr>
          <w:p w14:paraId="10958789" w14:textId="77777777" w:rsidR="00DD708C" w:rsidRPr="00702A9B" w:rsidRDefault="00DD708C" w:rsidP="007B5D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394" w:type="dxa"/>
            <w:vAlign w:val="center"/>
          </w:tcPr>
          <w:p w14:paraId="537D5B26" w14:textId="77777777" w:rsidR="00DD708C" w:rsidRPr="00721A4D" w:rsidRDefault="00DD708C" w:rsidP="007B5DE1">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 xml:space="preserve">Hedges </w:t>
            </w:r>
            <w:r>
              <w:rPr>
                <w:rFonts w:ascii="Gill Sans MT" w:hAnsi="Gill Sans MT"/>
                <w:i/>
                <w:iCs/>
                <w:sz w:val="18"/>
                <w:szCs w:val="18"/>
              </w:rPr>
              <w:t>g</w:t>
            </w:r>
            <w:r>
              <w:rPr>
                <w:rFonts w:ascii="Gill Sans MT" w:hAnsi="Gill Sans MT"/>
                <w:sz w:val="18"/>
                <w:szCs w:val="18"/>
              </w:rPr>
              <w:t>:</w:t>
            </w:r>
          </w:p>
        </w:tc>
        <w:tc>
          <w:tcPr>
            <w:tcW w:w="1384" w:type="dxa"/>
            <w:vAlign w:val="center"/>
          </w:tcPr>
          <w:p w14:paraId="0B1EAC7B" w14:textId="77777777" w:rsidR="00DD708C" w:rsidRPr="00702A9B" w:rsidRDefault="00DD708C" w:rsidP="007B5D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1.44</w:t>
            </w:r>
          </w:p>
        </w:tc>
        <w:tc>
          <w:tcPr>
            <w:tcW w:w="1411" w:type="dxa"/>
            <w:vAlign w:val="center"/>
          </w:tcPr>
          <w:p w14:paraId="32CB9ED6" w14:textId="77777777" w:rsidR="00DD708C" w:rsidRPr="00702A9B" w:rsidRDefault="00DD708C" w:rsidP="007B5D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96" w:type="dxa"/>
            <w:vAlign w:val="center"/>
          </w:tcPr>
          <w:p w14:paraId="48993B67" w14:textId="77777777" w:rsidR="00DD708C" w:rsidRPr="00702A9B" w:rsidRDefault="00DD708C" w:rsidP="007B5D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DD708C" w:rsidRPr="00702A9B" w14:paraId="1475890B" w14:textId="77777777" w:rsidTr="00893181">
        <w:trPr>
          <w:trHeight w:val="340"/>
        </w:trPr>
        <w:tc>
          <w:tcPr>
            <w:cnfStyle w:val="001000000000" w:firstRow="0" w:lastRow="0" w:firstColumn="1" w:lastColumn="0" w:oddVBand="0" w:evenVBand="0" w:oddHBand="0" w:evenHBand="0" w:firstRowFirstColumn="0" w:firstRowLastColumn="0" w:lastRowFirstColumn="0" w:lastRowLastColumn="0"/>
            <w:tcW w:w="855" w:type="dxa"/>
            <w:vAlign w:val="center"/>
          </w:tcPr>
          <w:p w14:paraId="4D312C3A" w14:textId="77777777" w:rsidR="00DD708C" w:rsidRPr="00702A9B" w:rsidRDefault="00DD708C" w:rsidP="007B5DE1">
            <w:pPr>
              <w:spacing w:before="0" w:after="0" w:line="240" w:lineRule="auto"/>
              <w:jc w:val="center"/>
              <w:rPr>
                <w:rFonts w:ascii="Gill Sans MT" w:hAnsi="Gill Sans MT"/>
                <w:b w:val="0"/>
                <w:bCs w:val="0"/>
              </w:rPr>
            </w:pPr>
          </w:p>
        </w:tc>
        <w:tc>
          <w:tcPr>
            <w:tcW w:w="991" w:type="dxa"/>
            <w:vAlign w:val="center"/>
          </w:tcPr>
          <w:p w14:paraId="727A7F7D" w14:textId="77777777" w:rsidR="00DD708C" w:rsidRPr="00702A9B"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p>
        </w:tc>
        <w:tc>
          <w:tcPr>
            <w:tcW w:w="623" w:type="dxa"/>
            <w:vAlign w:val="center"/>
          </w:tcPr>
          <w:p w14:paraId="6079D71E" w14:textId="77777777" w:rsidR="00DD708C" w:rsidRPr="00702A9B"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394" w:type="dxa"/>
            <w:vAlign w:val="center"/>
          </w:tcPr>
          <w:p w14:paraId="3D3E8BB7" w14:textId="77777777" w:rsidR="00DD708C" w:rsidRPr="00702A9B" w:rsidRDefault="00DD708C" w:rsidP="007B5DE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t-test outcome:</w:t>
            </w:r>
          </w:p>
        </w:tc>
        <w:tc>
          <w:tcPr>
            <w:tcW w:w="1384" w:type="dxa"/>
            <w:vAlign w:val="center"/>
          </w:tcPr>
          <w:p w14:paraId="2382C1F3" w14:textId="77777777" w:rsidR="00DD708C"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t(160) = 9.29;</w:t>
            </w:r>
          </w:p>
          <w:p w14:paraId="6A575247" w14:textId="77777777" w:rsidR="00DD708C" w:rsidRPr="00702A9B"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p &lt; 0.001</w:t>
            </w:r>
          </w:p>
        </w:tc>
        <w:tc>
          <w:tcPr>
            <w:tcW w:w="1411" w:type="dxa"/>
            <w:vAlign w:val="center"/>
          </w:tcPr>
          <w:p w14:paraId="32FC672E" w14:textId="77777777" w:rsidR="00DD708C" w:rsidRPr="00702A9B"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96" w:type="dxa"/>
            <w:vAlign w:val="center"/>
          </w:tcPr>
          <w:p w14:paraId="180F0D14" w14:textId="77777777" w:rsidR="00DD708C" w:rsidRPr="00702A9B"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DD708C" w:rsidRPr="00702A9B" w14:paraId="0BBCD1F2" w14:textId="77777777" w:rsidTr="0089318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5" w:type="dxa"/>
            <w:vAlign w:val="center"/>
          </w:tcPr>
          <w:p w14:paraId="7C171720" w14:textId="77777777" w:rsidR="00DD708C" w:rsidRPr="00702A9B" w:rsidRDefault="00DD708C" w:rsidP="007B5DE1">
            <w:pPr>
              <w:spacing w:before="0" w:after="0" w:line="240" w:lineRule="auto"/>
              <w:jc w:val="center"/>
              <w:rPr>
                <w:rFonts w:ascii="Gill Sans MT" w:hAnsi="Gill Sans MT"/>
                <w:b w:val="0"/>
                <w:bCs w:val="0"/>
              </w:rPr>
            </w:pPr>
            <w:r>
              <w:rPr>
                <w:rFonts w:ascii="Gill Sans MT" w:hAnsi="Gill Sans MT"/>
                <w:b w:val="0"/>
                <w:bCs w:val="0"/>
              </w:rPr>
              <w:t>Dx16</w:t>
            </w:r>
          </w:p>
        </w:tc>
        <w:tc>
          <w:tcPr>
            <w:tcW w:w="991" w:type="dxa"/>
            <w:vAlign w:val="center"/>
          </w:tcPr>
          <w:p w14:paraId="1CDF264E" w14:textId="77777777" w:rsidR="00DD708C" w:rsidRPr="00702A9B" w:rsidRDefault="00DD708C" w:rsidP="007B5D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ND</w:t>
            </w:r>
          </w:p>
        </w:tc>
        <w:tc>
          <w:tcPr>
            <w:tcW w:w="623" w:type="dxa"/>
            <w:vAlign w:val="center"/>
          </w:tcPr>
          <w:p w14:paraId="37CD4598" w14:textId="77777777" w:rsidR="00DD708C" w:rsidRPr="00702A9B" w:rsidRDefault="00DD708C" w:rsidP="007B5D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98</w:t>
            </w:r>
          </w:p>
        </w:tc>
        <w:tc>
          <w:tcPr>
            <w:tcW w:w="1394" w:type="dxa"/>
            <w:vAlign w:val="center"/>
          </w:tcPr>
          <w:p w14:paraId="58F3A817" w14:textId="77777777" w:rsidR="00DD708C" w:rsidRPr="00702A9B" w:rsidRDefault="00DD708C" w:rsidP="007B5D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81 &lt; Dx &lt; 831</w:t>
            </w:r>
          </w:p>
        </w:tc>
        <w:tc>
          <w:tcPr>
            <w:tcW w:w="1384" w:type="dxa"/>
            <w:vAlign w:val="center"/>
          </w:tcPr>
          <w:p w14:paraId="16846C53" w14:textId="77777777" w:rsidR="00DD708C" w:rsidRPr="00702A9B" w:rsidRDefault="00DD708C" w:rsidP="007B5D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446</w:t>
            </w:r>
          </w:p>
        </w:tc>
        <w:tc>
          <w:tcPr>
            <w:tcW w:w="1411" w:type="dxa"/>
            <w:vAlign w:val="center"/>
          </w:tcPr>
          <w:p w14:paraId="713C6A31" w14:textId="77777777" w:rsidR="00DD708C" w:rsidRPr="00702A9B" w:rsidRDefault="00DD708C" w:rsidP="007B5D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414 &lt; Dx &lt; 479</w:t>
            </w:r>
          </w:p>
        </w:tc>
        <w:tc>
          <w:tcPr>
            <w:tcW w:w="1296" w:type="dxa"/>
            <w:vAlign w:val="center"/>
          </w:tcPr>
          <w:p w14:paraId="35C2C2ED" w14:textId="77777777" w:rsidR="00DD708C" w:rsidRPr="00702A9B" w:rsidRDefault="00DD708C" w:rsidP="007B5D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425</w:t>
            </w:r>
          </w:p>
        </w:tc>
      </w:tr>
      <w:tr w:rsidR="00DD708C" w:rsidRPr="00702A9B" w14:paraId="2B6C2268" w14:textId="77777777" w:rsidTr="00893181">
        <w:trPr>
          <w:trHeight w:val="340"/>
        </w:trPr>
        <w:tc>
          <w:tcPr>
            <w:cnfStyle w:val="001000000000" w:firstRow="0" w:lastRow="0" w:firstColumn="1" w:lastColumn="0" w:oddVBand="0" w:evenVBand="0" w:oddHBand="0" w:evenHBand="0" w:firstRowFirstColumn="0" w:firstRowLastColumn="0" w:lastRowFirstColumn="0" w:lastRowLastColumn="0"/>
            <w:tcW w:w="855" w:type="dxa"/>
            <w:vAlign w:val="center"/>
          </w:tcPr>
          <w:p w14:paraId="65CEEE34" w14:textId="77777777" w:rsidR="00DD708C" w:rsidRPr="00702A9B" w:rsidRDefault="00DD708C" w:rsidP="007B5DE1">
            <w:pPr>
              <w:spacing w:before="0" w:after="0" w:line="240" w:lineRule="auto"/>
              <w:jc w:val="center"/>
              <w:rPr>
                <w:rFonts w:ascii="Gill Sans MT" w:hAnsi="Gill Sans MT"/>
                <w:b w:val="0"/>
                <w:bCs w:val="0"/>
              </w:rPr>
            </w:pPr>
          </w:p>
        </w:tc>
        <w:tc>
          <w:tcPr>
            <w:tcW w:w="991" w:type="dxa"/>
            <w:vAlign w:val="center"/>
          </w:tcPr>
          <w:p w14:paraId="4E95310F" w14:textId="77777777" w:rsidR="00DD708C" w:rsidRPr="00702A9B"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DI</w:t>
            </w:r>
          </w:p>
        </w:tc>
        <w:tc>
          <w:tcPr>
            <w:tcW w:w="623" w:type="dxa"/>
            <w:vAlign w:val="center"/>
          </w:tcPr>
          <w:p w14:paraId="4C87E311" w14:textId="77777777" w:rsidR="00DD708C" w:rsidRPr="00702A9B"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68</w:t>
            </w:r>
          </w:p>
        </w:tc>
        <w:tc>
          <w:tcPr>
            <w:tcW w:w="1394" w:type="dxa"/>
            <w:vAlign w:val="center"/>
          </w:tcPr>
          <w:p w14:paraId="141EDC1E" w14:textId="77777777" w:rsidR="00DD708C" w:rsidRPr="00702A9B"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349 &lt; Dx &lt; 933</w:t>
            </w:r>
          </w:p>
        </w:tc>
        <w:tc>
          <w:tcPr>
            <w:tcW w:w="1384" w:type="dxa"/>
            <w:vAlign w:val="center"/>
          </w:tcPr>
          <w:p w14:paraId="7EEF35AC" w14:textId="77777777" w:rsidR="00DD708C" w:rsidRPr="00702A9B"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646</w:t>
            </w:r>
          </w:p>
        </w:tc>
        <w:tc>
          <w:tcPr>
            <w:tcW w:w="1411" w:type="dxa"/>
            <w:vAlign w:val="center"/>
          </w:tcPr>
          <w:p w14:paraId="39EB1254" w14:textId="77777777" w:rsidR="00DD708C" w:rsidRPr="00702A9B"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615 &lt; Dx &lt; 677</w:t>
            </w:r>
          </w:p>
        </w:tc>
        <w:tc>
          <w:tcPr>
            <w:tcW w:w="1296" w:type="dxa"/>
            <w:vAlign w:val="center"/>
          </w:tcPr>
          <w:p w14:paraId="0A2AEA53" w14:textId="77777777" w:rsidR="00DD708C" w:rsidRPr="00702A9B"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661</w:t>
            </w:r>
          </w:p>
        </w:tc>
      </w:tr>
      <w:tr w:rsidR="00DD708C" w:rsidRPr="00702A9B" w14:paraId="109A0A8F" w14:textId="77777777" w:rsidTr="0089318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5" w:type="dxa"/>
            <w:vAlign w:val="center"/>
          </w:tcPr>
          <w:p w14:paraId="6E70C8B8" w14:textId="77777777" w:rsidR="00DD708C" w:rsidRPr="00702A9B" w:rsidRDefault="00DD708C" w:rsidP="007B5DE1">
            <w:pPr>
              <w:spacing w:before="0" w:after="0" w:line="240" w:lineRule="auto"/>
              <w:jc w:val="center"/>
              <w:rPr>
                <w:rFonts w:ascii="Gill Sans MT" w:hAnsi="Gill Sans MT"/>
                <w:b w:val="0"/>
                <w:bCs w:val="0"/>
              </w:rPr>
            </w:pPr>
          </w:p>
        </w:tc>
        <w:tc>
          <w:tcPr>
            <w:tcW w:w="991" w:type="dxa"/>
            <w:vAlign w:val="center"/>
          </w:tcPr>
          <w:p w14:paraId="77D12BFB" w14:textId="77777777" w:rsidR="00DD708C" w:rsidRPr="00702A9B" w:rsidRDefault="00DD708C" w:rsidP="007B5D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p>
        </w:tc>
        <w:tc>
          <w:tcPr>
            <w:tcW w:w="623" w:type="dxa"/>
            <w:vAlign w:val="center"/>
          </w:tcPr>
          <w:p w14:paraId="2E91472D" w14:textId="77777777" w:rsidR="00DD708C" w:rsidRPr="00702A9B" w:rsidRDefault="00DD708C" w:rsidP="007B5D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394" w:type="dxa"/>
            <w:vAlign w:val="center"/>
          </w:tcPr>
          <w:p w14:paraId="16646117" w14:textId="77777777" w:rsidR="00DD708C" w:rsidRPr="00702A9B" w:rsidRDefault="00DD708C" w:rsidP="007B5DE1">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 xml:space="preserve">Hedges </w:t>
            </w:r>
            <w:r>
              <w:rPr>
                <w:rFonts w:ascii="Gill Sans MT" w:hAnsi="Gill Sans MT"/>
                <w:i/>
                <w:iCs/>
                <w:sz w:val="18"/>
                <w:szCs w:val="18"/>
              </w:rPr>
              <w:t>g</w:t>
            </w:r>
            <w:r>
              <w:rPr>
                <w:rFonts w:ascii="Gill Sans MT" w:hAnsi="Gill Sans MT"/>
                <w:sz w:val="18"/>
                <w:szCs w:val="18"/>
              </w:rPr>
              <w:t>:</w:t>
            </w:r>
          </w:p>
        </w:tc>
        <w:tc>
          <w:tcPr>
            <w:tcW w:w="1384" w:type="dxa"/>
            <w:vAlign w:val="center"/>
          </w:tcPr>
          <w:p w14:paraId="23ED7DBC" w14:textId="77777777" w:rsidR="00DD708C" w:rsidRPr="00702A9B" w:rsidRDefault="00DD708C" w:rsidP="007B5D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1.34</w:t>
            </w:r>
          </w:p>
        </w:tc>
        <w:tc>
          <w:tcPr>
            <w:tcW w:w="1411" w:type="dxa"/>
            <w:vAlign w:val="center"/>
          </w:tcPr>
          <w:p w14:paraId="68FD489F" w14:textId="77777777" w:rsidR="00DD708C" w:rsidRPr="00702A9B" w:rsidRDefault="00DD708C" w:rsidP="007B5D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96" w:type="dxa"/>
            <w:vAlign w:val="center"/>
          </w:tcPr>
          <w:p w14:paraId="57D7E5DC" w14:textId="77777777" w:rsidR="00DD708C" w:rsidRPr="00702A9B" w:rsidRDefault="00DD708C" w:rsidP="007B5D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DD708C" w:rsidRPr="00702A9B" w14:paraId="2CFF8405" w14:textId="77777777" w:rsidTr="00893181">
        <w:trPr>
          <w:trHeight w:val="340"/>
        </w:trPr>
        <w:tc>
          <w:tcPr>
            <w:cnfStyle w:val="001000000000" w:firstRow="0" w:lastRow="0" w:firstColumn="1" w:lastColumn="0" w:oddVBand="0" w:evenVBand="0" w:oddHBand="0" w:evenHBand="0" w:firstRowFirstColumn="0" w:firstRowLastColumn="0" w:lastRowFirstColumn="0" w:lastRowLastColumn="0"/>
            <w:tcW w:w="855" w:type="dxa"/>
            <w:vAlign w:val="center"/>
          </w:tcPr>
          <w:p w14:paraId="0093B711" w14:textId="77777777" w:rsidR="00DD708C" w:rsidRPr="00702A9B" w:rsidRDefault="00DD708C" w:rsidP="007B5DE1">
            <w:pPr>
              <w:spacing w:before="0" w:after="0" w:line="240" w:lineRule="auto"/>
              <w:jc w:val="center"/>
              <w:rPr>
                <w:rFonts w:ascii="Gill Sans MT" w:hAnsi="Gill Sans MT"/>
                <w:b w:val="0"/>
                <w:bCs w:val="0"/>
              </w:rPr>
            </w:pPr>
          </w:p>
        </w:tc>
        <w:tc>
          <w:tcPr>
            <w:tcW w:w="991" w:type="dxa"/>
            <w:vAlign w:val="center"/>
          </w:tcPr>
          <w:p w14:paraId="3DE2B39C" w14:textId="77777777" w:rsidR="00DD708C" w:rsidRPr="00702A9B"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p>
        </w:tc>
        <w:tc>
          <w:tcPr>
            <w:tcW w:w="623" w:type="dxa"/>
            <w:vAlign w:val="center"/>
          </w:tcPr>
          <w:p w14:paraId="3D113680" w14:textId="77777777" w:rsidR="00DD708C" w:rsidRPr="00702A9B"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394" w:type="dxa"/>
            <w:vAlign w:val="center"/>
          </w:tcPr>
          <w:p w14:paraId="58648EBC" w14:textId="77777777" w:rsidR="00DD708C" w:rsidRPr="00702A9B" w:rsidRDefault="00DD708C" w:rsidP="007B5DE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t-test outcome:</w:t>
            </w:r>
          </w:p>
        </w:tc>
        <w:tc>
          <w:tcPr>
            <w:tcW w:w="1384" w:type="dxa"/>
            <w:vAlign w:val="center"/>
          </w:tcPr>
          <w:p w14:paraId="24C4B204" w14:textId="77777777" w:rsidR="00DD708C"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t(161) = 8.81;</w:t>
            </w:r>
          </w:p>
          <w:p w14:paraId="28EE16A0" w14:textId="77777777" w:rsidR="00DD708C" w:rsidRPr="00702A9B"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p &lt; 0.001</w:t>
            </w:r>
          </w:p>
        </w:tc>
        <w:tc>
          <w:tcPr>
            <w:tcW w:w="1411" w:type="dxa"/>
            <w:vAlign w:val="center"/>
          </w:tcPr>
          <w:p w14:paraId="50E6C36D" w14:textId="77777777" w:rsidR="00DD708C" w:rsidRPr="00702A9B"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96" w:type="dxa"/>
            <w:vAlign w:val="center"/>
          </w:tcPr>
          <w:p w14:paraId="3FE41B7E" w14:textId="77777777" w:rsidR="00DD708C" w:rsidRPr="00702A9B"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bl>
    <w:p w14:paraId="4911409A" w14:textId="7E75921B" w:rsidR="00A70722" w:rsidRPr="00A70722" w:rsidRDefault="00DD708C" w:rsidP="004D5123">
      <w:pPr>
        <w:pStyle w:val="Tables"/>
        <w:sectPr w:rsidR="00A70722" w:rsidRPr="00A70722" w:rsidSect="00A2665A">
          <w:type w:val="continuous"/>
          <w:pgSz w:w="11906" w:h="16838"/>
          <w:pgMar w:top="720" w:right="1560" w:bottom="720" w:left="2382" w:header="708" w:footer="708" w:gutter="0"/>
          <w:cols w:space="708"/>
          <w:docGrid w:linePitch="360"/>
        </w:sectPr>
      </w:pPr>
      <w:bookmarkStart w:id="200" w:name="_Toc57033190"/>
      <w:r>
        <w:t xml:space="preserve">Table </w:t>
      </w:r>
      <w:r w:rsidR="00EF327A">
        <w:t>1</w:t>
      </w:r>
      <w:r w:rsidR="0063711A">
        <w:t>1</w:t>
      </w:r>
      <w:r>
        <w:t>.</w:t>
      </w:r>
      <w:r w:rsidR="003214C8">
        <w:tab/>
      </w:r>
      <w:r>
        <w:t>Dyslexia Index summary according to research group</w:t>
      </w:r>
      <w:r w:rsidR="00A70722">
        <w:t>.</w:t>
      </w:r>
      <w:bookmarkEnd w:id="200"/>
    </w:p>
    <w:p w14:paraId="04A9766F" w14:textId="6D75C635" w:rsidR="00810AEB" w:rsidRPr="00A70722" w:rsidRDefault="00721A4D" w:rsidP="00A70722">
      <w:pPr>
        <w:rPr>
          <w:rFonts w:eastAsia="Times New Roman"/>
          <w:lang w:eastAsia="en-GB"/>
        </w:rPr>
      </w:pPr>
      <w:r>
        <w:rPr>
          <w:noProof/>
        </w:rPr>
        <w:lastRenderedPageBreak/>
        <w:drawing>
          <wp:anchor distT="0" distB="0" distL="114300" distR="114300" simplePos="0" relativeHeight="251679744" behindDoc="0" locked="0" layoutInCell="1" allowOverlap="1" wp14:anchorId="11F789FE" wp14:editId="12CAE731">
            <wp:simplePos x="0" y="0"/>
            <wp:positionH relativeFrom="column">
              <wp:posOffset>424870</wp:posOffset>
            </wp:positionH>
            <wp:positionV relativeFrom="paragraph">
              <wp:posOffset>414</wp:posOffset>
            </wp:positionV>
            <wp:extent cx="8987155" cy="5303520"/>
            <wp:effectExtent l="0" t="0" r="4445" b="5080"/>
            <wp:wrapTopAndBottom/>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8987155" cy="5303520"/>
                    </a:xfrm>
                    <a:prstGeom prst="rect">
                      <a:avLst/>
                    </a:prstGeom>
                  </pic:spPr>
                </pic:pic>
              </a:graphicData>
            </a:graphic>
            <wp14:sizeRelH relativeFrom="page">
              <wp14:pctWidth>0</wp14:pctWidth>
            </wp14:sizeRelH>
            <wp14:sizeRelV relativeFrom="page">
              <wp14:pctHeight>0</wp14:pctHeight>
            </wp14:sizeRelV>
          </wp:anchor>
        </w:drawing>
      </w:r>
    </w:p>
    <w:p w14:paraId="473F758A" w14:textId="2B0F9937" w:rsidR="007B0625" w:rsidRDefault="00721A4D" w:rsidP="00810AEB">
      <w:pPr>
        <w:pStyle w:val="Subtitle"/>
      </w:pPr>
      <w:r>
        <w:tab/>
      </w:r>
      <w:bookmarkStart w:id="201" w:name="_Toc56495233"/>
      <w:r w:rsidR="00810AEB">
        <w:t xml:space="preserve">Figure </w:t>
      </w:r>
      <w:r w:rsidR="00B568C9">
        <w:fldChar w:fldCharType="begin"/>
      </w:r>
      <w:r w:rsidR="00B568C9">
        <w:instrText xml:space="preserve"> SEQ Figure \* ARABIC </w:instrText>
      </w:r>
      <w:r w:rsidR="00B568C9">
        <w:fldChar w:fldCharType="separate"/>
      </w:r>
      <w:r w:rsidR="005F0AB9">
        <w:rPr>
          <w:noProof/>
        </w:rPr>
        <w:t>14</w:t>
      </w:r>
      <w:r w:rsidR="00B568C9">
        <w:rPr>
          <w:noProof/>
        </w:rPr>
        <w:fldChar w:fldCharType="end"/>
      </w:r>
      <w:r w:rsidR="00810AEB">
        <w:t>:</w:t>
      </w:r>
      <w:r w:rsidR="003214C8">
        <w:tab/>
      </w:r>
      <w:r w:rsidR="00810AEB">
        <w:t>Distributions of Dyslexia Index for the Non-Dyslexic, (RG:ND), and the Dyslexic (RG:DI), groups.</w:t>
      </w:r>
      <w:bookmarkEnd w:id="201"/>
    </w:p>
    <w:p w14:paraId="30C9D8CF" w14:textId="6889EE1A" w:rsidR="00721A4D" w:rsidRDefault="00003EA4" w:rsidP="007B0625">
      <w:pPr>
        <w:pStyle w:val="ListParagraph"/>
      </w:pPr>
      <w:r>
        <w:rPr>
          <w:noProof/>
        </w:rPr>
        <w:lastRenderedPageBreak/>
        <w:drawing>
          <wp:inline distT="0" distB="0" distL="0" distR="0" wp14:anchorId="0E804925" wp14:editId="0D1403FE">
            <wp:extent cx="9777730" cy="3862705"/>
            <wp:effectExtent l="0" t="0" r="1270" b="0"/>
            <wp:docPr id="12" name="Picture 1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social media pos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9777730" cy="3862705"/>
                    </a:xfrm>
                    <a:prstGeom prst="rect">
                      <a:avLst/>
                    </a:prstGeom>
                  </pic:spPr>
                </pic:pic>
              </a:graphicData>
            </a:graphic>
          </wp:inline>
        </w:drawing>
      </w:r>
    </w:p>
    <w:p w14:paraId="225AE853" w14:textId="77777777" w:rsidR="00721A4D" w:rsidRDefault="00721A4D" w:rsidP="007B0625">
      <w:pPr>
        <w:pStyle w:val="ListParagraph"/>
      </w:pPr>
    </w:p>
    <w:p w14:paraId="45478158" w14:textId="2A8E38A5" w:rsidR="00721A4D" w:rsidRDefault="00003EA4" w:rsidP="00003EA4">
      <w:pPr>
        <w:pStyle w:val="Subtitle"/>
        <w:sectPr w:rsidR="00721A4D" w:rsidSect="00A2665A">
          <w:type w:val="continuous"/>
          <w:pgSz w:w="16838" w:h="11906" w:orient="landscape"/>
          <w:pgMar w:top="1560" w:right="720" w:bottom="964" w:left="720" w:header="708" w:footer="708" w:gutter="0"/>
          <w:cols w:space="708"/>
          <w:docGrid w:linePitch="360"/>
        </w:sectPr>
      </w:pPr>
      <w:r>
        <w:tab/>
      </w:r>
      <w:bookmarkStart w:id="202" w:name="_Toc56495234"/>
      <w:r>
        <w:t xml:space="preserve">Figure </w:t>
      </w:r>
      <w:r w:rsidR="00B568C9">
        <w:fldChar w:fldCharType="begin"/>
      </w:r>
      <w:r w:rsidR="00B568C9">
        <w:instrText xml:space="preserve"> SEQ Figure \* ARABIC </w:instrText>
      </w:r>
      <w:r w:rsidR="00B568C9">
        <w:fldChar w:fldCharType="separate"/>
      </w:r>
      <w:r w:rsidR="005F0AB9">
        <w:rPr>
          <w:noProof/>
        </w:rPr>
        <w:t>15</w:t>
      </w:r>
      <w:r w:rsidR="00B568C9">
        <w:rPr>
          <w:noProof/>
        </w:rPr>
        <w:fldChar w:fldCharType="end"/>
      </w:r>
      <w:r>
        <w:t>.</w:t>
      </w:r>
      <w:r w:rsidR="003214C8">
        <w:tab/>
      </w:r>
      <w:r>
        <w:t>Research groups located on the Dyslexia</w:t>
      </w:r>
      <w:r w:rsidR="00D24E40">
        <w:t>-</w:t>
      </w:r>
      <w:r>
        <w:t>ness Continuum using the Dx20, and Dx16 sca</w:t>
      </w:r>
      <w:bookmarkEnd w:id="202"/>
    </w:p>
    <w:p w14:paraId="57FC364E" w14:textId="13C5EFE5" w:rsidR="00632E07" w:rsidRDefault="00632E07" w:rsidP="00A70722">
      <w:pPr>
        <w:rPr>
          <w:rStyle w:val="Heading4Char"/>
        </w:rPr>
      </w:pPr>
      <w:r>
        <w:rPr>
          <w:rFonts w:cstheme="minorHAnsi"/>
          <w:iCs/>
          <w:smallCaps/>
          <w:noProof/>
          <w:color w:val="4472C4" w:themeColor="accent1"/>
        </w:rPr>
        <w:lastRenderedPageBreak/>
        <mc:AlternateContent>
          <mc:Choice Requires="wpg">
            <w:drawing>
              <wp:anchor distT="0" distB="0" distL="114300" distR="114300" simplePos="0" relativeHeight="251671552" behindDoc="0" locked="0" layoutInCell="1" allowOverlap="1" wp14:anchorId="71C91054" wp14:editId="53E9DBCC">
                <wp:simplePos x="0" y="0"/>
                <wp:positionH relativeFrom="column">
                  <wp:posOffset>-21818</wp:posOffset>
                </wp:positionH>
                <wp:positionV relativeFrom="paragraph">
                  <wp:posOffset>163523</wp:posOffset>
                </wp:positionV>
                <wp:extent cx="5503545" cy="2708104"/>
                <wp:effectExtent l="0" t="0" r="0" b="0"/>
                <wp:wrapTopAndBottom/>
                <wp:docPr id="5" name="Group 5"/>
                <wp:cNvGraphicFramePr/>
                <a:graphic xmlns:a="http://schemas.openxmlformats.org/drawingml/2006/main">
                  <a:graphicData uri="http://schemas.microsoft.com/office/word/2010/wordprocessingGroup">
                    <wpg:wgp>
                      <wpg:cNvGrpSpPr/>
                      <wpg:grpSpPr>
                        <a:xfrm>
                          <a:off x="0" y="0"/>
                          <a:ext cx="5503545" cy="2708104"/>
                          <a:chOff x="0" y="0"/>
                          <a:chExt cx="5503545" cy="2708104"/>
                        </a:xfrm>
                      </wpg:grpSpPr>
                      <pic:pic xmlns:pic="http://schemas.openxmlformats.org/drawingml/2006/picture">
                        <pic:nvPicPr>
                          <pic:cNvPr id="148" name="Picture 148" descr="A screenshot of a social media post&#10;&#10;Description automatically generated"/>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503545" cy="2273300"/>
                          </a:xfrm>
                          <a:prstGeom prst="rect">
                            <a:avLst/>
                          </a:prstGeom>
                        </pic:spPr>
                      </pic:pic>
                      <wps:wsp>
                        <wps:cNvPr id="57" name="Text Box 57"/>
                        <wps:cNvSpPr txBox="1"/>
                        <wps:spPr>
                          <a:xfrm>
                            <a:off x="0" y="2270589"/>
                            <a:ext cx="5503545" cy="437515"/>
                          </a:xfrm>
                          <a:prstGeom prst="rect">
                            <a:avLst/>
                          </a:prstGeom>
                          <a:solidFill>
                            <a:prstClr val="white"/>
                          </a:solidFill>
                          <a:ln>
                            <a:noFill/>
                          </a:ln>
                        </wps:spPr>
                        <wps:txbx>
                          <w:txbxContent>
                            <w:p w14:paraId="20A3A247" w14:textId="17A8CBE8" w:rsidR="00533FBF" w:rsidRPr="007E1C2B" w:rsidRDefault="00533FBF" w:rsidP="007B0625">
                              <w:pPr>
                                <w:pStyle w:val="Subtitle"/>
                                <w:rPr>
                                  <w:rFonts w:ascii="Muli" w:hAnsi="Muli"/>
                                  <w:noProof/>
                                  <w:sz w:val="20"/>
                                </w:rPr>
                              </w:pPr>
                              <w:bookmarkStart w:id="203" w:name="_Toc9796129"/>
                              <w:bookmarkStart w:id="204" w:name="_Toc9796209"/>
                              <w:bookmarkStart w:id="205" w:name="_Toc56495235"/>
                              <w:r>
                                <w:t xml:space="preserve">Figure </w:t>
                              </w:r>
                              <w:r>
                                <w:rPr>
                                  <w:noProof/>
                                </w:rPr>
                                <w:fldChar w:fldCharType="begin"/>
                              </w:r>
                              <w:r>
                                <w:rPr>
                                  <w:noProof/>
                                </w:rPr>
                                <w:instrText xml:space="preserve"> SEQ Figure \* ARABIC </w:instrText>
                              </w:r>
                              <w:r>
                                <w:rPr>
                                  <w:noProof/>
                                </w:rPr>
                                <w:fldChar w:fldCharType="separate"/>
                              </w:r>
                              <w:r>
                                <w:rPr>
                                  <w:noProof/>
                                </w:rPr>
                                <w:t>16</w:t>
                              </w:r>
                              <w:r>
                                <w:rPr>
                                  <w:noProof/>
                                </w:rPr>
                                <w:fldChar w:fldCharType="end"/>
                              </w:r>
                              <w:r>
                                <w:t>:</w:t>
                              </w:r>
                              <w:r>
                                <w:tab/>
                                <w:t>Normal Q-Q plots for Dyslexia Index.</w:t>
                              </w:r>
                              <w:bookmarkEnd w:id="203"/>
                              <w:bookmarkEnd w:id="204"/>
                              <w:bookmarkEnd w:id="20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1C91054" id="Group 5" o:spid="_x0000_s1039" style="position:absolute;margin-left:-1.7pt;margin-top:12.9pt;width:433.35pt;height:213.25pt;z-index:251671552" coordsize="55035,2708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">
                <v:shape id="Picture 148" o:spid="_x0000_s1040" type="#_x0000_t75" alt="A screenshot of a social media post&#10;&#10;Description automatically generated" style="position:absolute;width:55035;height:227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">
                  <v:imagedata r:id="rId46" o:title="A screenshot of a social media post&#10;&#10;Description automatically generated"/>
                </v:shape>
                <v:shape id="Text Box 57" o:spid="_x0000_s1041" type="#_x0000_t202" style="position:absolute;top:22705;width:55035;height:43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" stroked="f">
                  <v:textbox style="mso-fit-shape-to-text:t" inset="0,0,0,0">
                    <w:txbxContent>
                      <w:p w14:paraId="20A3A247" w14:textId="17A8CBE8" w:rsidR="00533FBF" w:rsidRPr="007E1C2B" w:rsidRDefault="00533FBF" w:rsidP="007B0625">
                        <w:pPr>
                          <w:pStyle w:val="Subtitle"/>
                          <w:rPr>
                            <w:rFonts w:ascii="Muli" w:hAnsi="Muli"/>
                            <w:noProof/>
                            <w:sz w:val="20"/>
                          </w:rPr>
                        </w:pPr>
                        <w:bookmarkStart w:id="233" w:name="_Toc9796129"/>
                        <w:bookmarkStart w:id="234" w:name="_Toc9796209"/>
                        <w:bookmarkStart w:id="235" w:name="_Toc56495235"/>
                        <w:r>
                          <w:t xml:space="preserve">Figure </w:t>
                        </w:r>
                        <w:r>
                          <w:rPr>
                            <w:noProof/>
                          </w:rPr>
                          <w:fldChar w:fldCharType="begin"/>
                        </w:r>
                        <w:r>
                          <w:rPr>
                            <w:noProof/>
                          </w:rPr>
                          <w:instrText xml:space="preserve"> SEQ Figure \* ARABIC </w:instrText>
                        </w:r>
                        <w:r>
                          <w:rPr>
                            <w:noProof/>
                          </w:rPr>
                          <w:fldChar w:fldCharType="separate"/>
                        </w:r>
                        <w:r>
                          <w:rPr>
                            <w:noProof/>
                          </w:rPr>
                          <w:t>16</w:t>
                        </w:r>
                        <w:r>
                          <w:rPr>
                            <w:noProof/>
                          </w:rPr>
                          <w:fldChar w:fldCharType="end"/>
                        </w:r>
                        <w:r>
                          <w:t>:</w:t>
                        </w:r>
                        <w:r>
                          <w:tab/>
                          <w:t>Normal Q-Q plots for Dyslexia Index.</w:t>
                        </w:r>
                        <w:bookmarkEnd w:id="233"/>
                        <w:bookmarkEnd w:id="234"/>
                        <w:bookmarkEnd w:id="235"/>
                      </w:p>
                    </w:txbxContent>
                  </v:textbox>
                </v:shape>
                <w10:wrap type="topAndBottom"/>
              </v:group>
            </w:pict>
          </mc:Fallback>
        </mc:AlternateContent>
      </w:r>
    </w:p>
    <w:p w14:paraId="61B2072D" w14:textId="0E62E444" w:rsidR="00A70722" w:rsidRPr="00A70722" w:rsidRDefault="00B568C9" w:rsidP="00632E07">
      <w:pPr>
        <w:pStyle w:val="Heading4"/>
      </w:pPr>
      <w:hyperlink r:id="rId47" w:anchor="contents" w:history="1"/>
      <w:r w:rsidR="00A70722">
        <w:t>III</w:t>
      </w:r>
      <w:r w:rsidR="00CA48C2">
        <w:t xml:space="preserve">  </w:t>
      </w:r>
      <w:r w:rsidR="00A70722">
        <w:t>Setting boundary values for Dx</w:t>
      </w:r>
    </w:p>
    <w:p w14:paraId="062EDC06" w14:textId="05F50643" w:rsidR="002107CF" w:rsidRDefault="00925BB7" w:rsidP="002107CF">
      <w:pPr>
        <w:pStyle w:val="Heading5"/>
        <w:rPr>
          <w:rFonts w:eastAsia="Times New Roman"/>
          <w:lang w:eastAsia="en-GB"/>
        </w:rPr>
      </w:pPr>
      <w:r>
        <w:rPr>
          <w:rFonts w:eastAsia="Times New Roman"/>
          <w:lang w:eastAsia="en-GB"/>
        </w:rPr>
        <w:t>1. Dx boundary value for the Test and Control subgroups</w:t>
      </w:r>
    </w:p>
    <w:p w14:paraId="39DCC5AE" w14:textId="77777777" w:rsidR="00567EBE" w:rsidRDefault="00567EBE" w:rsidP="00567EBE">
      <w:pPr>
        <w:rPr>
          <w:rFonts w:eastAsia="Times New Roman"/>
          <w:lang w:eastAsia="en-GB"/>
        </w:rPr>
      </w:pPr>
      <w:r w:rsidRPr="002107CF">
        <w:rPr>
          <w:rFonts w:eastAsia="Times New Roman"/>
          <w:lang w:eastAsia="en-GB"/>
        </w:rPr>
        <w:t>S</w:t>
      </w:r>
      <w:r>
        <w:rPr>
          <w:rFonts w:eastAsia="Times New Roman"/>
          <w:lang w:eastAsia="en-GB"/>
        </w:rPr>
        <w:t>ome s</w:t>
      </w:r>
      <w:r w:rsidRPr="002107CF">
        <w:rPr>
          <w:rFonts w:eastAsia="Times New Roman"/>
          <w:lang w:eastAsia="en-GB"/>
        </w:rPr>
        <w:t>tudies suggest</w:t>
      </w:r>
      <w:r>
        <w:rPr>
          <w:rFonts w:eastAsia="Times New Roman"/>
          <w:lang w:eastAsia="en-GB"/>
        </w:rPr>
        <w:t xml:space="preserve"> </w:t>
      </w:r>
      <w:r w:rsidRPr="002107CF">
        <w:rPr>
          <w:rFonts w:eastAsia="Times New Roman"/>
          <w:lang w:eastAsia="en-GB"/>
        </w:rPr>
        <w:t>that the proportion of known dyslexic</w:t>
      </w:r>
      <w:r>
        <w:rPr>
          <w:rFonts w:eastAsia="Times New Roman"/>
          <w:lang w:eastAsia="en-GB"/>
        </w:rPr>
        <w:t xml:space="preserve"> student</w:t>
      </w:r>
      <w:r w:rsidRPr="002107CF">
        <w:rPr>
          <w:rFonts w:eastAsia="Times New Roman"/>
          <w:lang w:eastAsia="en-GB"/>
        </w:rPr>
        <w:t>s studying at university is likely to be much lower than the true number of students with dyslexia or dyslexia-like study characteristics (e.g.: Richardson &amp; Wydell, 2003; MacCullagh et al., 2016; Henderson, 2017). This current study was grounded on this (amongst other) research outcomes, and the core of the research design was to devise a robust mechanism to detect such quasi-dyslexic students</w:t>
      </w:r>
      <w:r>
        <w:rPr>
          <w:rFonts w:eastAsia="Times New Roman"/>
          <w:lang w:eastAsia="en-GB"/>
        </w:rPr>
        <w:t xml:space="preserve"> </w:t>
      </w:r>
      <w:r w:rsidRPr="002107CF">
        <w:rPr>
          <w:rFonts w:eastAsia="Times New Roman"/>
          <w:lang w:eastAsia="en-GB"/>
        </w:rPr>
        <w:t>so that their academic confidence could be compared to the other groups and subgroups which emerged from</w:t>
      </w:r>
      <w:r>
        <w:rPr>
          <w:rFonts w:eastAsia="Times New Roman"/>
          <w:lang w:eastAsia="en-GB"/>
        </w:rPr>
        <w:t xml:space="preserve"> </w:t>
      </w:r>
      <w:r w:rsidRPr="002107CF">
        <w:rPr>
          <w:rFonts w:eastAsia="Times New Roman"/>
          <w:lang w:eastAsia="en-GB"/>
        </w:rPr>
        <w:t>the datapool. Hence, to establish this</w:t>
      </w:r>
      <w:r>
        <w:rPr>
          <w:rFonts w:eastAsia="Times New Roman"/>
          <w:lang w:eastAsia="en-GB"/>
        </w:rPr>
        <w:t xml:space="preserve"> </w:t>
      </w:r>
      <w:r w:rsidRPr="002107CF">
        <w:rPr>
          <w:rFonts w:eastAsia="Times New Roman"/>
          <w:lang w:eastAsia="en-GB"/>
        </w:rPr>
        <w:t>Test subgroup of quasi-dyslexic students, it was necessary to define a boundary Dx value, or at least a boundary region,</w:t>
      </w:r>
      <w:r>
        <w:rPr>
          <w:rFonts w:eastAsia="Times New Roman"/>
          <w:lang w:eastAsia="en-GB"/>
        </w:rPr>
        <w:t xml:space="preserve"> </w:t>
      </w:r>
      <w:r w:rsidRPr="002107CF">
        <w:rPr>
          <w:rFonts w:eastAsia="Times New Roman"/>
          <w:lang w:eastAsia="en-GB"/>
        </w:rPr>
        <w:t>in the group</w:t>
      </w:r>
      <w:r>
        <w:rPr>
          <w:rFonts w:eastAsia="Times New Roman"/>
          <w:lang w:eastAsia="en-GB"/>
        </w:rPr>
        <w:t xml:space="preserve"> </w:t>
      </w:r>
      <w:r w:rsidRPr="002107CF">
        <w:rPr>
          <w:rFonts w:eastAsia="Times New Roman"/>
          <w:lang w:eastAsia="en-GB"/>
        </w:rPr>
        <w:t>of non-dyslexic students above which datasets would be filtered</w:t>
      </w:r>
      <w:r>
        <w:rPr>
          <w:rFonts w:eastAsia="Times New Roman"/>
          <w:lang w:eastAsia="en-GB"/>
        </w:rPr>
        <w:t xml:space="preserve"> </w:t>
      </w:r>
      <w:r w:rsidRPr="002107CF">
        <w:rPr>
          <w:rFonts w:eastAsia="Times New Roman"/>
          <w:lang w:eastAsia="en-GB"/>
        </w:rPr>
        <w:t>into the Test subgroup, with the same protocol being applied to datasets in the dyslexic group to establish the Control subgroup. At the design stage,</w:t>
      </w:r>
      <w:r>
        <w:rPr>
          <w:rFonts w:eastAsia="Times New Roman"/>
          <w:lang w:eastAsia="en-GB"/>
        </w:rPr>
        <w:t xml:space="preserve"> </w:t>
      </w:r>
      <w:r w:rsidRPr="002107CF">
        <w:rPr>
          <w:rFonts w:eastAsia="Times New Roman"/>
          <w:lang w:eastAsia="en-GB"/>
        </w:rPr>
        <w:t>setting a value of Dx = 600 as the filter was considered intuitively reasonable</w:t>
      </w:r>
      <w:r>
        <w:rPr>
          <w:rFonts w:eastAsia="Times New Roman"/>
          <w:lang w:eastAsia="en-GB"/>
        </w:rPr>
        <w:t xml:space="preserve"> </w:t>
      </w:r>
      <w:r w:rsidRPr="002107CF">
        <w:rPr>
          <w:rFonts w:eastAsia="Times New Roman"/>
          <w:lang w:eastAsia="en-GB"/>
        </w:rPr>
        <w:t>because this corresponded to an average 60% agreement with</w:t>
      </w:r>
      <w:r>
        <w:rPr>
          <w:rFonts w:eastAsia="Times New Roman"/>
          <w:lang w:eastAsia="en-GB"/>
        </w:rPr>
        <w:t xml:space="preserve"> </w:t>
      </w:r>
      <w:r w:rsidRPr="002107CF">
        <w:rPr>
          <w:rFonts w:eastAsia="Times New Roman"/>
          <w:lang w:eastAsia="en-GB"/>
        </w:rPr>
        <w:t>the</w:t>
      </w:r>
      <w:r>
        <w:rPr>
          <w:rFonts w:eastAsia="Times New Roman"/>
          <w:lang w:eastAsia="en-GB"/>
        </w:rPr>
        <w:t xml:space="preserve"> </w:t>
      </w:r>
      <w:r w:rsidRPr="002107CF">
        <w:rPr>
          <w:rFonts w:eastAsia="Times New Roman"/>
          <w:lang w:eastAsia="en-GB"/>
        </w:rPr>
        <w:t>20 dyslexia-ness dimensions of the original Dx Profiler. The scale was set so that higher percentage dimension-statement agreement was</w:t>
      </w:r>
      <w:r>
        <w:rPr>
          <w:rFonts w:eastAsia="Times New Roman"/>
          <w:lang w:eastAsia="en-GB"/>
        </w:rPr>
        <w:t xml:space="preserve"> </w:t>
      </w:r>
      <w:r w:rsidRPr="002107CF">
        <w:rPr>
          <w:rFonts w:eastAsia="Times New Roman"/>
          <w:lang w:eastAsia="en-GB"/>
        </w:rPr>
        <w:t>the</w:t>
      </w:r>
      <w:r>
        <w:rPr>
          <w:rFonts w:eastAsia="Times New Roman"/>
          <w:lang w:eastAsia="en-GB"/>
        </w:rPr>
        <w:t xml:space="preserve"> </w:t>
      </w:r>
      <w:r w:rsidRPr="002107CF">
        <w:rPr>
          <w:rFonts w:eastAsia="Times New Roman"/>
          <w:lang w:eastAsia="en-GB"/>
        </w:rPr>
        <w:t>marker for higher levels of dyslexia-ness.</w:t>
      </w:r>
    </w:p>
    <w:p w14:paraId="3B84BBD8" w14:textId="269F0231" w:rsidR="00003EA4" w:rsidRPr="00003EA4" w:rsidRDefault="00003EA4" w:rsidP="00003EA4">
      <w:pPr>
        <w:rPr>
          <w:rFonts w:eastAsia="Times New Roman"/>
          <w:lang w:eastAsia="en-GB"/>
        </w:rPr>
      </w:pPr>
      <w:r w:rsidRPr="00003EA4">
        <w:rPr>
          <w:rFonts w:eastAsia="Times New Roman"/>
          <w:lang w:eastAsia="en-GB"/>
        </w:rPr>
        <w:t>For datasets derived from the 20-item scale, applying the Dx &gt; 600 boundary value to the non-dyslexic group initially generated a Test subgroup of n=20</w:t>
      </w:r>
      <w:r w:rsidR="009D10D1">
        <w:rPr>
          <w:rFonts w:eastAsia="Times New Roman"/>
          <w:lang w:eastAsia="en-GB"/>
        </w:rPr>
        <w:t xml:space="preserve"> </w:t>
      </w:r>
      <w:r w:rsidRPr="00003EA4">
        <w:rPr>
          <w:rFonts w:eastAsia="Times New Roman"/>
          <w:lang w:eastAsia="en-GB"/>
        </w:rPr>
        <w:t>quasi-dyslexic students</w:t>
      </w:r>
      <w:r w:rsidR="009D10D1">
        <w:rPr>
          <w:rFonts w:eastAsia="Times New Roman"/>
          <w:lang w:eastAsia="en-GB"/>
        </w:rPr>
        <w:t xml:space="preserve"> </w:t>
      </w:r>
      <w:r w:rsidRPr="00003EA4">
        <w:rPr>
          <w:rFonts w:eastAsia="Times New Roman"/>
          <w:lang w:eastAsia="en-GB"/>
        </w:rPr>
        <w:t>- that is, individuals</w:t>
      </w:r>
      <w:r w:rsidR="009D10D1">
        <w:rPr>
          <w:rFonts w:eastAsia="Times New Roman"/>
          <w:lang w:eastAsia="en-GB"/>
        </w:rPr>
        <w:t xml:space="preserve"> </w:t>
      </w:r>
      <w:r w:rsidRPr="00003EA4">
        <w:rPr>
          <w:rFonts w:eastAsia="Times New Roman"/>
          <w:lang w:eastAsia="en-GB"/>
        </w:rPr>
        <w:t xml:space="preserve">with no previously reported dyslexia but who appeared to be presenting similar levels of dyslexia-ness to students in the dyslexic group. Applying the same Dx filter value to datasets in the dyslexic group established the Control </w:t>
      </w:r>
      <w:r w:rsidRPr="00003EA4">
        <w:rPr>
          <w:rFonts w:eastAsia="Times New Roman"/>
          <w:lang w:eastAsia="en-GB"/>
        </w:rPr>
        <w:lastRenderedPageBreak/>
        <w:t xml:space="preserve">subgroup of students presenting similarly high levels of dyslexia-ness, which </w:t>
      </w:r>
      <w:r w:rsidR="009D10D1">
        <w:rPr>
          <w:rFonts w:eastAsia="Times New Roman"/>
          <w:lang w:eastAsia="en-GB"/>
        </w:rPr>
        <w:t xml:space="preserve">numbered </w:t>
      </w:r>
      <w:r w:rsidRPr="00003EA4">
        <w:rPr>
          <w:rFonts w:eastAsia="Times New Roman"/>
          <w:lang w:eastAsia="en-GB"/>
        </w:rPr>
        <w:t>47 out of the 68 students with declared dyslexia.</w:t>
      </w:r>
    </w:p>
    <w:p w14:paraId="25FAC604" w14:textId="18B330A1" w:rsidR="00567EBE" w:rsidRPr="00003EA4" w:rsidRDefault="00567EBE" w:rsidP="00567EBE">
      <w:pPr>
        <w:rPr>
          <w:rFonts w:eastAsia="Times New Roman"/>
          <w:lang w:eastAsia="en-GB"/>
        </w:rPr>
      </w:pPr>
      <w:r w:rsidRPr="009D10D1">
        <w:rPr>
          <w:rFonts w:eastAsia="Times New Roman" w:cs="Times New Roman (Body CS)"/>
          <w:lang w:eastAsia="en-GB"/>
        </w:rPr>
        <w:t>However, in order for the academic confidence</w:t>
      </w:r>
      <w:r>
        <w:rPr>
          <w:rFonts w:eastAsia="Times New Roman" w:cs="Times New Roman (Body CS)"/>
          <w:lang w:eastAsia="en-GB"/>
        </w:rPr>
        <w:t xml:space="preserve"> </w:t>
      </w:r>
      <w:r w:rsidRPr="009D10D1">
        <w:rPr>
          <w:rFonts w:eastAsia="Times New Roman" w:cs="Times New Roman (Body CS)"/>
          <w:lang w:eastAsia="en-GB"/>
        </w:rPr>
        <w:t>of</w:t>
      </w:r>
      <w:r>
        <w:rPr>
          <w:rFonts w:eastAsia="Times New Roman" w:cs="Times New Roman (Body CS)"/>
          <w:lang w:eastAsia="en-GB"/>
        </w:rPr>
        <w:t xml:space="preserve"> </w:t>
      </w:r>
      <w:r w:rsidRPr="009D10D1">
        <w:rPr>
          <w:rFonts w:eastAsia="Times New Roman" w:cs="Times New Roman (Body CS)"/>
          <w:lang w:eastAsia="en-GB"/>
        </w:rPr>
        <w:t>the Test and Control subgroups to be compared later (through ABC Scale outcomes), it was important to establish that the defining Dx parameters for each of these two subgroups were similar</w:t>
      </w:r>
      <w:r>
        <w:rPr>
          <w:rFonts w:eastAsia="Times New Roman" w:cs="Times New Roman (Body CS)"/>
          <w:lang w:eastAsia="en-GB"/>
        </w:rPr>
        <w:t xml:space="preserve"> (</w:t>
      </w:r>
      <w:r w:rsidRPr="009D10D1">
        <w:rPr>
          <w:rFonts w:eastAsia="Times New Roman" w:cs="Times New Roman (Body CS)"/>
          <w:lang w:eastAsia="en-GB"/>
        </w:rPr>
        <w:t xml:space="preserve">statistically </w:t>
      </w:r>
      <w:r w:rsidRPr="009D10D1">
        <w:rPr>
          <w:rFonts w:eastAsia="Times New Roman" w:cs="Times New Roman (Body CS)"/>
          <w:i/>
          <w:iCs/>
          <w:lang w:eastAsia="en-GB"/>
        </w:rPr>
        <w:t>not</w:t>
      </w:r>
      <w:r w:rsidRPr="009D10D1">
        <w:rPr>
          <w:rFonts w:eastAsia="Times New Roman" w:cs="Times New Roman (Body CS)"/>
          <w:lang w:eastAsia="en-GB"/>
        </w:rPr>
        <w:t xml:space="preserve"> significantly different</w:t>
      </w:r>
      <w:r>
        <w:rPr>
          <w:rFonts w:eastAsia="Times New Roman" w:cs="Times New Roman (Body CS)"/>
          <w:lang w:eastAsia="en-GB"/>
        </w:rPr>
        <w:t>)</w:t>
      </w:r>
      <w:r w:rsidRPr="009D10D1">
        <w:rPr>
          <w:rFonts w:eastAsia="Times New Roman" w:cs="Times New Roman (Body CS)"/>
          <w:lang w:eastAsia="en-GB"/>
        </w:rPr>
        <w:t>. At the Dx = 600 filter boundary level, the mean Dx20</w:t>
      </w:r>
      <w:r>
        <w:rPr>
          <w:rFonts w:eastAsia="Times New Roman" w:cs="Times New Roman (Body CS)"/>
          <w:lang w:eastAsia="en-GB"/>
        </w:rPr>
        <w:t xml:space="preserve"> </w:t>
      </w:r>
      <w:r w:rsidRPr="009D10D1">
        <w:rPr>
          <w:rFonts w:eastAsia="Times New Roman" w:cs="Times New Roman (Body CS)"/>
          <w:lang w:eastAsia="en-GB"/>
        </w:rPr>
        <w:t xml:space="preserve">for the Test and Control subgroups were Dx = 676, </w:t>
      </w:r>
      <w:r>
        <w:rPr>
          <w:rFonts w:eastAsia="Times New Roman" w:cs="Times New Roman (Body CS)"/>
          <w:lang w:eastAsia="en-GB"/>
        </w:rPr>
        <w:t xml:space="preserve">716, </w:t>
      </w:r>
      <w:r w:rsidRPr="009D10D1">
        <w:rPr>
          <w:rFonts w:eastAsia="Times New Roman" w:cs="Times New Roman (Body CS)"/>
          <w:lang w:eastAsia="en-GB"/>
        </w:rPr>
        <w:t>respectively. These were shown to be significantly different</w:t>
      </w:r>
      <w:r>
        <w:rPr>
          <w:rFonts w:eastAsia="Times New Roman" w:cs="Times New Roman (Body CS)"/>
          <w:lang w:eastAsia="en-GB"/>
        </w:rPr>
        <w:t xml:space="preserve"> </w:t>
      </w:r>
      <w:r w:rsidRPr="009D10D1">
        <w:rPr>
          <w:rFonts w:eastAsia="Times New Roman" w:cs="Times New Roman (Body CS)"/>
          <w:lang w:eastAsia="en-GB"/>
        </w:rPr>
        <w:t>( t(43) = 2.374; p = 0.011) and thus, a more appropriate boundary was required.</w:t>
      </w:r>
      <w:r>
        <w:rPr>
          <w:rFonts w:eastAsia="Times New Roman" w:cs="Times New Roman (Body CS)"/>
          <w:lang w:eastAsia="en-GB"/>
        </w:rPr>
        <w:t xml:space="preserve"> </w:t>
      </w:r>
      <w:r w:rsidRPr="009D10D1">
        <w:rPr>
          <w:rFonts w:eastAsia="Times New Roman" w:cs="Times New Roman (Body CS)"/>
          <w:lang w:eastAsia="en-GB"/>
        </w:rPr>
        <w:t>By</w:t>
      </w:r>
      <w:r>
        <w:rPr>
          <w:rFonts w:eastAsia="Times New Roman" w:cs="Times New Roman (Body CS)"/>
          <w:lang w:eastAsia="en-GB"/>
        </w:rPr>
        <w:t xml:space="preserve"> </w:t>
      </w:r>
      <w:r w:rsidRPr="009D10D1">
        <w:rPr>
          <w:rFonts w:eastAsia="Times New Roman" w:cs="Times New Roman (Body CS)"/>
          <w:lang w:eastAsia="en-GB"/>
        </w:rPr>
        <w:t>selecting different values close to Dx = 600</w:t>
      </w:r>
      <w:r>
        <w:rPr>
          <w:rFonts w:eastAsia="Times New Roman" w:cs="Times New Roman (Body CS)"/>
          <w:lang w:eastAsia="en-GB"/>
        </w:rPr>
        <w:t xml:space="preserve"> </w:t>
      </w:r>
      <w:r w:rsidRPr="009D10D1">
        <w:rPr>
          <w:rFonts w:eastAsia="Times New Roman" w:cs="Times New Roman (Body CS)"/>
          <w:lang w:eastAsia="en-GB"/>
        </w:rPr>
        <w:t xml:space="preserve">(with the added consequence of some datasets </w:t>
      </w:r>
      <w:r>
        <w:rPr>
          <w:rFonts w:eastAsia="Times New Roman" w:cs="Times New Roman (Body CS)"/>
          <w:lang w:eastAsia="en-GB"/>
        </w:rPr>
        <w:t>being</w:t>
      </w:r>
      <w:r w:rsidRPr="009D10D1">
        <w:rPr>
          <w:rFonts w:eastAsia="Times New Roman" w:cs="Times New Roman (Body CS)"/>
          <w:lang w:eastAsia="en-GB"/>
        </w:rPr>
        <w:t xml:space="preserve"> included or omitted into the respective subgroups), it became clear</w:t>
      </w:r>
      <w:r>
        <w:rPr>
          <w:rFonts w:eastAsia="Times New Roman" w:cs="Times New Roman (Body CS)"/>
          <w:lang w:eastAsia="en-GB"/>
        </w:rPr>
        <w:t xml:space="preserve"> </w:t>
      </w:r>
      <w:r w:rsidRPr="009D10D1">
        <w:rPr>
          <w:rFonts w:eastAsia="Times New Roman" w:cs="Times New Roman (Body CS)"/>
          <w:lang w:eastAsia="en-GB"/>
        </w:rPr>
        <w:t xml:space="preserve">that </w:t>
      </w:r>
      <w:r>
        <w:rPr>
          <w:rFonts w:eastAsia="Times New Roman" w:cs="Times New Roman (Body CS)"/>
          <w:lang w:eastAsia="en-GB"/>
        </w:rPr>
        <w:t xml:space="preserve">to set </w:t>
      </w:r>
      <w:r w:rsidRPr="009D10D1">
        <w:rPr>
          <w:rFonts w:eastAsia="Times New Roman" w:cs="Times New Roman (Body CS)"/>
          <w:lang w:eastAsia="en-GB"/>
        </w:rPr>
        <w:t>a fixed</w:t>
      </w:r>
      <w:r>
        <w:rPr>
          <w:rFonts w:eastAsia="Times New Roman" w:cs="Times New Roman (Body CS)"/>
          <w:lang w:eastAsia="en-GB"/>
        </w:rPr>
        <w:t xml:space="preserve"> </w:t>
      </w:r>
      <w:r w:rsidRPr="009D10D1">
        <w:rPr>
          <w:rFonts w:eastAsia="Times New Roman" w:cs="Times New Roman (Body CS)"/>
          <w:lang w:eastAsia="en-GB"/>
        </w:rPr>
        <w:t>boundary Dx value was not a realistic objective. This was due to the subgroup means</w:t>
      </w:r>
      <w:r>
        <w:rPr>
          <w:rFonts w:eastAsia="Times New Roman" w:cs="Times New Roman (Body CS)"/>
          <w:lang w:eastAsia="en-GB"/>
        </w:rPr>
        <w:t xml:space="preserve"> </w:t>
      </w:r>
      <w:r w:rsidRPr="009D10D1">
        <w:rPr>
          <w:rFonts w:eastAsia="Times New Roman" w:cs="Times New Roman (Body CS)"/>
          <w:lang w:eastAsia="en-GB"/>
        </w:rPr>
        <w:t>being unduly affected by extreme Dx values, predominantly from amongst the</w:t>
      </w:r>
      <w:r w:rsidRPr="00003EA4">
        <w:rPr>
          <w:rFonts w:eastAsia="Times New Roman"/>
          <w:lang w:eastAsia="en-GB"/>
        </w:rPr>
        <w:t xml:space="preserve"> datasets in the dyslexic group where the highest Dx20 value recorded was Dx=933, compared to Dx=831 in the non-dyslexic group (</w:t>
      </w:r>
      <w:r>
        <w:rPr>
          <w:rFonts w:eastAsia="Times New Roman"/>
          <w:lang w:eastAsia="en-GB"/>
        </w:rPr>
        <w:t xml:space="preserve">see </w:t>
      </w:r>
      <w:r w:rsidRPr="00003EA4">
        <w:rPr>
          <w:rFonts w:eastAsia="Times New Roman"/>
          <w:lang w:eastAsia="en-GB"/>
        </w:rPr>
        <w:t xml:space="preserve">Table </w:t>
      </w:r>
      <w:r w:rsidR="00893181">
        <w:rPr>
          <w:rFonts w:eastAsia="Times New Roman"/>
          <w:lang w:eastAsia="en-GB"/>
        </w:rPr>
        <w:t>1</w:t>
      </w:r>
      <w:r w:rsidR="0063711A">
        <w:rPr>
          <w:rFonts w:eastAsia="Times New Roman"/>
          <w:lang w:eastAsia="en-GB"/>
        </w:rPr>
        <w:t>1</w:t>
      </w:r>
      <w:r w:rsidRPr="00003EA4">
        <w:rPr>
          <w:rFonts w:eastAsia="Times New Roman"/>
          <w:lang w:eastAsia="en-GB"/>
        </w:rPr>
        <w:t xml:space="preserve">). Although these values were not identified as notable outliers from inspection of the distributions' box-plots, it was necessary to consider them as such </w:t>
      </w:r>
      <w:r>
        <w:rPr>
          <w:rFonts w:eastAsia="Times New Roman"/>
          <w:lang w:eastAsia="en-GB"/>
        </w:rPr>
        <w:t xml:space="preserve">so </w:t>
      </w:r>
      <w:r w:rsidRPr="00003EA4">
        <w:rPr>
          <w:rFonts w:eastAsia="Times New Roman"/>
          <w:lang w:eastAsia="en-GB"/>
        </w:rPr>
        <w:t xml:space="preserve">that the mean Dx values of datasets in the Test and Control groups would </w:t>
      </w:r>
      <w:r>
        <w:rPr>
          <w:rFonts w:eastAsia="Times New Roman"/>
          <w:lang w:eastAsia="en-GB"/>
        </w:rPr>
        <w:t>not be</w:t>
      </w:r>
      <w:r w:rsidRPr="00003EA4">
        <w:rPr>
          <w:rFonts w:eastAsia="Times New Roman"/>
          <w:lang w:eastAsia="en-GB"/>
        </w:rPr>
        <w:t xml:space="preserve"> significantly different.</w:t>
      </w:r>
    </w:p>
    <w:p w14:paraId="5E4ED54D" w14:textId="61057216" w:rsidR="00003EA4" w:rsidRPr="00003EA4" w:rsidRDefault="00F40239" w:rsidP="00003EA4">
      <w:pPr>
        <w:rPr>
          <w:rFonts w:eastAsia="Times New Roman"/>
          <w:lang w:eastAsia="en-GB"/>
        </w:rPr>
      </w:pPr>
      <w:r>
        <w:rPr>
          <w:rFonts w:eastAsia="Times New Roman"/>
          <w:lang w:eastAsia="en-GB"/>
        </w:rPr>
        <w:t>Consequently</w:t>
      </w:r>
      <w:r w:rsidR="00003EA4" w:rsidRPr="00003EA4">
        <w:rPr>
          <w:rFonts w:eastAsia="Times New Roman"/>
          <w:lang w:eastAsia="en-GB"/>
        </w:rPr>
        <w:t>,</w:t>
      </w:r>
      <w:r>
        <w:rPr>
          <w:rFonts w:eastAsia="Times New Roman"/>
          <w:lang w:eastAsia="en-GB"/>
        </w:rPr>
        <w:t xml:space="preserve"> </w:t>
      </w:r>
      <w:r w:rsidR="00003EA4" w:rsidRPr="00003EA4">
        <w:rPr>
          <w:rFonts w:eastAsia="Times New Roman"/>
          <w:lang w:eastAsia="en-GB"/>
        </w:rPr>
        <w:t>some datasets from the upper</w:t>
      </w:r>
      <w:r>
        <w:rPr>
          <w:rFonts w:eastAsia="Times New Roman"/>
          <w:lang w:eastAsia="en-GB"/>
        </w:rPr>
        <w:t xml:space="preserve"> </w:t>
      </w:r>
      <w:r w:rsidR="00003EA4" w:rsidRPr="00003EA4">
        <w:rPr>
          <w:rFonts w:eastAsia="Times New Roman"/>
          <w:lang w:eastAsia="en-GB"/>
        </w:rPr>
        <w:t xml:space="preserve">end of the dyslexic group's range were omitted from the Control subgroup, </w:t>
      </w:r>
      <w:r w:rsidR="00401DC0">
        <w:rPr>
          <w:rFonts w:eastAsia="Times New Roman"/>
          <w:lang w:eastAsia="en-GB"/>
        </w:rPr>
        <w:t xml:space="preserve">tis caused </w:t>
      </w:r>
      <w:r w:rsidR="00003EA4" w:rsidRPr="00003EA4">
        <w:rPr>
          <w:rFonts w:eastAsia="Times New Roman"/>
          <w:lang w:eastAsia="en-GB"/>
        </w:rPr>
        <w:t>the lower</w:t>
      </w:r>
      <w:r>
        <w:rPr>
          <w:rFonts w:eastAsia="Times New Roman"/>
          <w:lang w:eastAsia="en-GB"/>
        </w:rPr>
        <w:t xml:space="preserve"> </w:t>
      </w:r>
      <w:r w:rsidR="00003EA4" w:rsidRPr="00003EA4">
        <w:rPr>
          <w:rFonts w:eastAsia="Times New Roman"/>
          <w:lang w:eastAsia="en-GB"/>
        </w:rPr>
        <w:t>boundary Dx values for the Test and Control subgroups to emerge</w:t>
      </w:r>
      <w:r>
        <w:rPr>
          <w:rFonts w:eastAsia="Times New Roman"/>
          <w:lang w:eastAsia="en-GB"/>
        </w:rPr>
        <w:t xml:space="preserve"> </w:t>
      </w:r>
      <w:r w:rsidR="00003EA4" w:rsidRPr="00003EA4">
        <w:rPr>
          <w:rFonts w:eastAsia="Times New Roman"/>
          <w:lang w:eastAsia="en-GB"/>
        </w:rPr>
        <w:t xml:space="preserve">at slightly different points on the </w:t>
      </w:r>
      <w:r>
        <w:rPr>
          <w:rFonts w:eastAsia="Times New Roman"/>
          <w:lang w:eastAsia="en-GB"/>
        </w:rPr>
        <w:t>d</w:t>
      </w:r>
      <w:r w:rsidR="00003EA4" w:rsidRPr="00003EA4">
        <w:rPr>
          <w:rFonts w:eastAsia="Times New Roman"/>
          <w:lang w:eastAsia="en-GB"/>
        </w:rPr>
        <w:t>yslexia</w:t>
      </w:r>
      <w:r>
        <w:rPr>
          <w:rFonts w:eastAsia="Times New Roman"/>
          <w:lang w:eastAsia="en-GB"/>
        </w:rPr>
        <w:t>-</w:t>
      </w:r>
      <w:r w:rsidR="00003EA4" w:rsidRPr="00003EA4">
        <w:rPr>
          <w:rFonts w:eastAsia="Times New Roman"/>
          <w:lang w:eastAsia="en-GB"/>
        </w:rPr>
        <w:t xml:space="preserve">ness </w:t>
      </w:r>
      <w:r>
        <w:rPr>
          <w:rFonts w:eastAsia="Times New Roman"/>
          <w:lang w:eastAsia="en-GB"/>
        </w:rPr>
        <w:t>c</w:t>
      </w:r>
      <w:r w:rsidR="00003EA4" w:rsidRPr="00003EA4">
        <w:rPr>
          <w:rFonts w:eastAsia="Times New Roman"/>
          <w:lang w:eastAsia="en-GB"/>
        </w:rPr>
        <w:t>ontinuum - although both remained close to the intuitively determined value of Dx=600. For the 20-item scale this process subsequently determined the Dx20 mean values for the Test and the Control groups at Dx=683</w:t>
      </w:r>
      <w:r w:rsidR="00401DC0">
        <w:rPr>
          <w:rFonts w:eastAsia="Times New Roman"/>
          <w:lang w:eastAsia="en-GB"/>
        </w:rPr>
        <w:t xml:space="preserve"> and </w:t>
      </w:r>
      <w:r w:rsidR="00003EA4" w:rsidRPr="00003EA4">
        <w:rPr>
          <w:rFonts w:eastAsia="Times New Roman"/>
          <w:lang w:eastAsia="en-GB"/>
        </w:rPr>
        <w:t>Dx=705 respectively, outcomes which emerged as not significantly different ( t(31) = 1.352; p = 0.093). Th</w:t>
      </w:r>
      <w:r w:rsidR="00401DC0">
        <w:rPr>
          <w:rFonts w:eastAsia="Times New Roman"/>
          <w:lang w:eastAsia="en-GB"/>
        </w:rPr>
        <w:t>is</w:t>
      </w:r>
      <w:r w:rsidR="00003EA4" w:rsidRPr="00003EA4">
        <w:rPr>
          <w:rFonts w:eastAsia="Times New Roman"/>
          <w:lang w:eastAsia="en-GB"/>
        </w:rPr>
        <w:t xml:space="preserve"> process was repeated for the 16-item scale</w:t>
      </w:r>
      <w:r w:rsidR="00401DC0">
        <w:rPr>
          <w:rFonts w:eastAsia="Times New Roman"/>
          <w:lang w:eastAsia="en-GB"/>
        </w:rPr>
        <w:t>. The lower value of the Dx range indicates the critical boundary Dx values finally adopted</w:t>
      </w:r>
      <w:r w:rsidR="00003EA4" w:rsidRPr="00003EA4">
        <w:rPr>
          <w:rFonts w:eastAsia="Times New Roman"/>
          <w:lang w:eastAsia="en-GB"/>
        </w:rPr>
        <w:t xml:space="preserve"> </w:t>
      </w:r>
      <w:r w:rsidR="00401DC0">
        <w:rPr>
          <w:rFonts w:eastAsia="Times New Roman"/>
          <w:lang w:eastAsia="en-GB"/>
        </w:rPr>
        <w:t xml:space="preserve">for each variant of the Profiler </w:t>
      </w:r>
      <w:r>
        <w:rPr>
          <w:rFonts w:eastAsia="Times New Roman"/>
          <w:lang w:eastAsia="en-GB"/>
        </w:rPr>
        <w:t>(</w:t>
      </w:r>
      <w:r w:rsidR="00003EA4" w:rsidRPr="00003EA4">
        <w:rPr>
          <w:rFonts w:eastAsia="Times New Roman"/>
          <w:lang w:eastAsia="en-GB"/>
        </w:rPr>
        <w:t>Table 1</w:t>
      </w:r>
      <w:r w:rsidR="0063711A">
        <w:rPr>
          <w:rFonts w:eastAsia="Times New Roman"/>
          <w:lang w:eastAsia="en-GB"/>
        </w:rPr>
        <w:t>2</w:t>
      </w:r>
      <w:r>
        <w:rPr>
          <w:rFonts w:eastAsia="Times New Roman"/>
          <w:lang w:eastAsia="en-GB"/>
        </w:rPr>
        <w:t>)</w:t>
      </w:r>
      <w:r w:rsidR="00003EA4" w:rsidRPr="00003EA4">
        <w:rPr>
          <w:rFonts w:eastAsia="Times New Roman"/>
          <w:lang w:eastAsia="en-GB"/>
        </w:rPr>
        <w:t>.</w:t>
      </w:r>
    </w:p>
    <w:tbl>
      <w:tblPr>
        <w:tblStyle w:val="GridTable5Dark-Accent1"/>
        <w:tblW w:w="0" w:type="auto"/>
        <w:tblLook w:val="04A0" w:firstRow="1" w:lastRow="0" w:firstColumn="1" w:lastColumn="0" w:noHBand="0" w:noVBand="1"/>
      </w:tblPr>
      <w:tblGrid>
        <w:gridCol w:w="891"/>
        <w:gridCol w:w="1937"/>
        <w:gridCol w:w="1562"/>
        <w:gridCol w:w="2314"/>
        <w:gridCol w:w="1938"/>
      </w:tblGrid>
      <w:tr w:rsidR="002107CF" w:rsidRPr="00702A9B" w14:paraId="13CFFCFC" w14:textId="77777777" w:rsidTr="0096683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91" w:type="dxa"/>
            <w:vAlign w:val="center"/>
          </w:tcPr>
          <w:p w14:paraId="18F49151" w14:textId="77777777" w:rsidR="002107CF" w:rsidRPr="00702A9B" w:rsidRDefault="002107CF" w:rsidP="002107CF">
            <w:pPr>
              <w:spacing w:before="0" w:after="0" w:line="240" w:lineRule="auto"/>
              <w:jc w:val="center"/>
              <w:rPr>
                <w:rFonts w:ascii="Gill Sans MT" w:hAnsi="Gill Sans MT"/>
                <w:b w:val="0"/>
                <w:bCs w:val="0"/>
              </w:rPr>
            </w:pPr>
            <w:r w:rsidRPr="00702A9B">
              <w:rPr>
                <w:rFonts w:ascii="Gill Sans MT" w:hAnsi="Gill Sans MT"/>
                <w:b w:val="0"/>
                <w:bCs w:val="0"/>
              </w:rPr>
              <w:t>Scale</w:t>
            </w:r>
          </w:p>
        </w:tc>
        <w:tc>
          <w:tcPr>
            <w:tcW w:w="1937" w:type="dxa"/>
            <w:vAlign w:val="center"/>
          </w:tcPr>
          <w:p w14:paraId="797797D4" w14:textId="4AFB9054" w:rsidR="002107CF" w:rsidRPr="00702A9B" w:rsidRDefault="002107CF" w:rsidP="002107C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Subgroup</w:t>
            </w:r>
          </w:p>
        </w:tc>
        <w:tc>
          <w:tcPr>
            <w:tcW w:w="1562" w:type="dxa"/>
            <w:vAlign w:val="center"/>
          </w:tcPr>
          <w:p w14:paraId="7C08A430" w14:textId="6748B8C9" w:rsidR="002107CF" w:rsidRPr="00702A9B" w:rsidRDefault="002107CF" w:rsidP="002107C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eastAsia="zh-CN"/>
              </w:rPr>
            </w:pPr>
            <w:r>
              <w:rPr>
                <w:rFonts w:ascii="Arial" w:hAnsi="Arial" w:cs="Arial"/>
                <w:b w:val="0"/>
                <w:bCs w:val="0"/>
                <w:lang w:eastAsia="zh-CN"/>
              </w:rPr>
              <w:t>sample size, n</w:t>
            </w:r>
          </w:p>
        </w:tc>
        <w:tc>
          <w:tcPr>
            <w:tcW w:w="2314" w:type="dxa"/>
            <w:vAlign w:val="center"/>
          </w:tcPr>
          <w:p w14:paraId="728FAF29" w14:textId="0AE0AB8F" w:rsidR="002107CF" w:rsidRPr="00702A9B" w:rsidRDefault="002107CF" w:rsidP="002107C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cs="Arial"/>
                <w:b w:val="0"/>
                <w:bCs w:val="0"/>
                <w:lang w:eastAsia="zh-CN"/>
              </w:rPr>
            </w:pPr>
            <w:r>
              <w:rPr>
                <w:rFonts w:ascii="Gill Sans MT" w:hAnsi="Gill Sans MT" w:cs="Arial"/>
                <w:b w:val="0"/>
                <w:bCs w:val="0"/>
                <w:lang w:eastAsia="zh-CN"/>
              </w:rPr>
              <w:t>mean Dx</w:t>
            </w:r>
          </w:p>
        </w:tc>
        <w:tc>
          <w:tcPr>
            <w:tcW w:w="1938" w:type="dxa"/>
            <w:vAlign w:val="center"/>
          </w:tcPr>
          <w:p w14:paraId="0D3F9D20" w14:textId="2DB85F44" w:rsidR="002107CF" w:rsidRPr="00702A9B" w:rsidRDefault="002107CF" w:rsidP="002107C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Arial" w:hAnsi="Arial" w:cs="Arial"/>
                <w:b w:val="0"/>
                <w:bCs w:val="0"/>
                <w:lang w:eastAsia="zh-CN"/>
              </w:rPr>
              <w:t>Dx range</w:t>
            </w:r>
          </w:p>
        </w:tc>
      </w:tr>
      <w:tr w:rsidR="002107CF" w:rsidRPr="00702A9B" w14:paraId="4F1236F8" w14:textId="77777777" w:rsidTr="0096683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91" w:type="dxa"/>
            <w:vAlign w:val="center"/>
          </w:tcPr>
          <w:p w14:paraId="2D291D79" w14:textId="77777777" w:rsidR="002107CF" w:rsidRPr="00702A9B" w:rsidRDefault="002107CF" w:rsidP="002107CF">
            <w:pPr>
              <w:spacing w:before="0" w:after="0" w:line="240" w:lineRule="auto"/>
              <w:jc w:val="center"/>
              <w:rPr>
                <w:rFonts w:ascii="Gill Sans MT" w:hAnsi="Gill Sans MT"/>
                <w:b w:val="0"/>
                <w:bCs w:val="0"/>
              </w:rPr>
            </w:pPr>
            <w:r>
              <w:rPr>
                <w:rFonts w:ascii="Gill Sans MT" w:hAnsi="Gill Sans MT"/>
                <w:b w:val="0"/>
                <w:bCs w:val="0"/>
              </w:rPr>
              <w:t>Dx20</w:t>
            </w:r>
          </w:p>
        </w:tc>
        <w:tc>
          <w:tcPr>
            <w:tcW w:w="1937" w:type="dxa"/>
            <w:vAlign w:val="center"/>
          </w:tcPr>
          <w:p w14:paraId="1D5C8134" w14:textId="31C90F6F" w:rsidR="002107CF" w:rsidRPr="00702A9B" w:rsidRDefault="002107CF" w:rsidP="002107C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Test</w:t>
            </w:r>
          </w:p>
        </w:tc>
        <w:tc>
          <w:tcPr>
            <w:tcW w:w="1562" w:type="dxa"/>
            <w:vAlign w:val="center"/>
          </w:tcPr>
          <w:p w14:paraId="00D55DFE" w14:textId="3BE6A97D" w:rsidR="002107CF" w:rsidRPr="00702A9B" w:rsidRDefault="002107CF" w:rsidP="002107C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18</w:t>
            </w:r>
          </w:p>
        </w:tc>
        <w:tc>
          <w:tcPr>
            <w:tcW w:w="2314" w:type="dxa"/>
            <w:vAlign w:val="center"/>
          </w:tcPr>
          <w:p w14:paraId="1483924C" w14:textId="66203725" w:rsidR="002107CF" w:rsidRPr="00702A9B" w:rsidRDefault="002107CF" w:rsidP="002107C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683</w:t>
            </w:r>
          </w:p>
        </w:tc>
        <w:tc>
          <w:tcPr>
            <w:tcW w:w="1938" w:type="dxa"/>
            <w:vAlign w:val="center"/>
          </w:tcPr>
          <w:p w14:paraId="169029DB" w14:textId="3BD9392C" w:rsidR="002107CF" w:rsidRPr="00702A9B" w:rsidRDefault="002107CF" w:rsidP="002107C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623 &lt; Dx &lt; 832</w:t>
            </w:r>
          </w:p>
        </w:tc>
      </w:tr>
      <w:tr w:rsidR="002107CF" w:rsidRPr="00702A9B" w14:paraId="1994A5EA" w14:textId="77777777" w:rsidTr="0096683F">
        <w:trPr>
          <w:trHeight w:val="340"/>
        </w:trPr>
        <w:tc>
          <w:tcPr>
            <w:cnfStyle w:val="001000000000" w:firstRow="0" w:lastRow="0" w:firstColumn="1" w:lastColumn="0" w:oddVBand="0" w:evenVBand="0" w:oddHBand="0" w:evenHBand="0" w:firstRowFirstColumn="0" w:firstRowLastColumn="0" w:lastRowFirstColumn="0" w:lastRowLastColumn="0"/>
            <w:tcW w:w="891" w:type="dxa"/>
            <w:vAlign w:val="center"/>
          </w:tcPr>
          <w:p w14:paraId="08D3B112" w14:textId="77777777" w:rsidR="002107CF" w:rsidRPr="00702A9B" w:rsidRDefault="002107CF" w:rsidP="002107CF">
            <w:pPr>
              <w:spacing w:before="0" w:after="0" w:line="240" w:lineRule="auto"/>
              <w:jc w:val="center"/>
              <w:rPr>
                <w:rFonts w:ascii="Gill Sans MT" w:hAnsi="Gill Sans MT"/>
                <w:b w:val="0"/>
                <w:bCs w:val="0"/>
              </w:rPr>
            </w:pPr>
          </w:p>
        </w:tc>
        <w:tc>
          <w:tcPr>
            <w:tcW w:w="1937" w:type="dxa"/>
            <w:vAlign w:val="center"/>
          </w:tcPr>
          <w:p w14:paraId="3C3CC55F" w14:textId="5B25D0C6" w:rsidR="002107CF" w:rsidRPr="00702A9B" w:rsidRDefault="002107CF" w:rsidP="002107C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Control</w:t>
            </w:r>
          </w:p>
        </w:tc>
        <w:tc>
          <w:tcPr>
            <w:tcW w:w="1562" w:type="dxa"/>
            <w:vAlign w:val="center"/>
          </w:tcPr>
          <w:p w14:paraId="026CB272" w14:textId="6019CD01" w:rsidR="002107CF" w:rsidRPr="00702A9B" w:rsidRDefault="0096683F" w:rsidP="002107C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40</w:t>
            </w:r>
          </w:p>
        </w:tc>
        <w:tc>
          <w:tcPr>
            <w:tcW w:w="2314" w:type="dxa"/>
            <w:vAlign w:val="center"/>
          </w:tcPr>
          <w:p w14:paraId="1F06663B" w14:textId="3F565BDF" w:rsidR="002107CF" w:rsidRPr="00702A9B" w:rsidRDefault="0096683F" w:rsidP="002107C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705</w:t>
            </w:r>
          </w:p>
        </w:tc>
        <w:tc>
          <w:tcPr>
            <w:tcW w:w="1938" w:type="dxa"/>
            <w:vAlign w:val="center"/>
          </w:tcPr>
          <w:p w14:paraId="538C9C5C" w14:textId="3E7495A0" w:rsidR="002107CF" w:rsidRPr="00702A9B" w:rsidRDefault="0096683F" w:rsidP="002107C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614 &lt; Dx &lt; 812</w:t>
            </w:r>
          </w:p>
        </w:tc>
      </w:tr>
      <w:tr w:rsidR="0096683F" w:rsidRPr="00702A9B" w14:paraId="49AA2E4E" w14:textId="77777777" w:rsidTr="0096683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91" w:type="dxa"/>
            <w:vAlign w:val="center"/>
          </w:tcPr>
          <w:p w14:paraId="76ADC524" w14:textId="77777777" w:rsidR="0096683F" w:rsidRPr="00702A9B" w:rsidRDefault="0096683F" w:rsidP="0096683F">
            <w:pPr>
              <w:spacing w:before="0" w:after="0" w:line="240" w:lineRule="auto"/>
              <w:jc w:val="center"/>
              <w:rPr>
                <w:rFonts w:ascii="Gill Sans MT" w:hAnsi="Gill Sans MT"/>
                <w:b w:val="0"/>
                <w:bCs w:val="0"/>
              </w:rPr>
            </w:pPr>
          </w:p>
        </w:tc>
        <w:tc>
          <w:tcPr>
            <w:tcW w:w="1937" w:type="dxa"/>
            <w:vAlign w:val="center"/>
          </w:tcPr>
          <w:p w14:paraId="0370ECB2" w14:textId="77777777" w:rsidR="0096683F" w:rsidRPr="00702A9B" w:rsidRDefault="0096683F" w:rsidP="009668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p>
        </w:tc>
        <w:tc>
          <w:tcPr>
            <w:tcW w:w="1562" w:type="dxa"/>
            <w:vAlign w:val="center"/>
          </w:tcPr>
          <w:p w14:paraId="1E350A76" w14:textId="6DD76B55" w:rsidR="0096683F" w:rsidRPr="00702A9B" w:rsidRDefault="0096683F" w:rsidP="0096683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t-test outcome:</w:t>
            </w:r>
          </w:p>
        </w:tc>
        <w:tc>
          <w:tcPr>
            <w:tcW w:w="2314" w:type="dxa"/>
            <w:vAlign w:val="center"/>
          </w:tcPr>
          <w:p w14:paraId="73DF0145" w14:textId="1A20C5B3" w:rsidR="0096683F" w:rsidRPr="00721A4D" w:rsidRDefault="0096683F" w:rsidP="009668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t(160) = 1.32; p &lt; 0.09</w:t>
            </w:r>
          </w:p>
        </w:tc>
        <w:tc>
          <w:tcPr>
            <w:tcW w:w="1938" w:type="dxa"/>
            <w:vAlign w:val="center"/>
          </w:tcPr>
          <w:p w14:paraId="4D409AF1" w14:textId="219FA746" w:rsidR="0096683F" w:rsidRPr="00702A9B" w:rsidRDefault="0096683F" w:rsidP="009668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96683F" w:rsidRPr="00702A9B" w14:paraId="18E2147D" w14:textId="77777777" w:rsidTr="0096683F">
        <w:trPr>
          <w:trHeight w:val="340"/>
        </w:trPr>
        <w:tc>
          <w:tcPr>
            <w:cnfStyle w:val="001000000000" w:firstRow="0" w:lastRow="0" w:firstColumn="1" w:lastColumn="0" w:oddVBand="0" w:evenVBand="0" w:oddHBand="0" w:evenHBand="0" w:firstRowFirstColumn="0" w:firstRowLastColumn="0" w:lastRowFirstColumn="0" w:lastRowLastColumn="0"/>
            <w:tcW w:w="891" w:type="dxa"/>
            <w:vAlign w:val="center"/>
          </w:tcPr>
          <w:p w14:paraId="20BF3384" w14:textId="74C566B3" w:rsidR="0096683F" w:rsidRPr="00702A9B" w:rsidRDefault="0096683F" w:rsidP="0096683F">
            <w:pPr>
              <w:spacing w:before="0" w:after="0" w:line="240" w:lineRule="auto"/>
              <w:jc w:val="center"/>
              <w:rPr>
                <w:rFonts w:ascii="Gill Sans MT" w:hAnsi="Gill Sans MT"/>
                <w:b w:val="0"/>
                <w:bCs w:val="0"/>
              </w:rPr>
            </w:pPr>
            <w:r>
              <w:rPr>
                <w:rFonts w:ascii="Gill Sans MT" w:hAnsi="Gill Sans MT"/>
                <w:b w:val="0"/>
                <w:bCs w:val="0"/>
              </w:rPr>
              <w:t>Dx16</w:t>
            </w:r>
          </w:p>
        </w:tc>
        <w:tc>
          <w:tcPr>
            <w:tcW w:w="1937" w:type="dxa"/>
            <w:vAlign w:val="center"/>
          </w:tcPr>
          <w:p w14:paraId="62281CE0" w14:textId="5158DC58" w:rsidR="0096683F" w:rsidRPr="00702A9B" w:rsidRDefault="0096683F" w:rsidP="009668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Test</w:t>
            </w:r>
          </w:p>
        </w:tc>
        <w:tc>
          <w:tcPr>
            <w:tcW w:w="1562" w:type="dxa"/>
            <w:vAlign w:val="center"/>
          </w:tcPr>
          <w:p w14:paraId="37E8B9FB" w14:textId="0050450A" w:rsidR="0096683F" w:rsidRPr="00702A9B" w:rsidRDefault="0096683F" w:rsidP="009668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19</w:t>
            </w:r>
          </w:p>
        </w:tc>
        <w:tc>
          <w:tcPr>
            <w:tcW w:w="2314" w:type="dxa"/>
            <w:vAlign w:val="center"/>
          </w:tcPr>
          <w:p w14:paraId="7633AEA4" w14:textId="4E9D4F44" w:rsidR="0096683F" w:rsidRPr="00702A9B" w:rsidRDefault="0096683F" w:rsidP="009668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696</w:t>
            </w:r>
          </w:p>
        </w:tc>
        <w:tc>
          <w:tcPr>
            <w:tcW w:w="1938" w:type="dxa"/>
            <w:vAlign w:val="center"/>
          </w:tcPr>
          <w:p w14:paraId="548185D5" w14:textId="6D89FF70" w:rsidR="0096683F" w:rsidRPr="00702A9B" w:rsidRDefault="0096683F" w:rsidP="009668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611 &lt; Dx &lt; 889</w:t>
            </w:r>
          </w:p>
        </w:tc>
      </w:tr>
      <w:tr w:rsidR="0096683F" w:rsidRPr="00702A9B" w14:paraId="19EA07C0" w14:textId="77777777" w:rsidTr="0096683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91" w:type="dxa"/>
            <w:vAlign w:val="center"/>
          </w:tcPr>
          <w:p w14:paraId="3438D19C" w14:textId="1322FAA3" w:rsidR="0096683F" w:rsidRPr="00702A9B" w:rsidRDefault="0096683F" w:rsidP="0096683F">
            <w:pPr>
              <w:spacing w:before="0" w:after="0" w:line="240" w:lineRule="auto"/>
              <w:jc w:val="center"/>
              <w:rPr>
                <w:rFonts w:ascii="Gill Sans MT" w:hAnsi="Gill Sans MT"/>
                <w:b w:val="0"/>
                <w:bCs w:val="0"/>
              </w:rPr>
            </w:pPr>
          </w:p>
        </w:tc>
        <w:tc>
          <w:tcPr>
            <w:tcW w:w="1937" w:type="dxa"/>
            <w:vAlign w:val="center"/>
          </w:tcPr>
          <w:p w14:paraId="02CE0B1E" w14:textId="477C3800" w:rsidR="0096683F" w:rsidRPr="00702A9B" w:rsidRDefault="0096683F" w:rsidP="009668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Control</w:t>
            </w:r>
          </w:p>
        </w:tc>
        <w:tc>
          <w:tcPr>
            <w:tcW w:w="1562" w:type="dxa"/>
            <w:vAlign w:val="center"/>
          </w:tcPr>
          <w:p w14:paraId="358D2F47" w14:textId="1EB34CA2" w:rsidR="0096683F" w:rsidRPr="00702A9B" w:rsidRDefault="0096683F" w:rsidP="009668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43</w:t>
            </w:r>
          </w:p>
        </w:tc>
        <w:tc>
          <w:tcPr>
            <w:tcW w:w="2314" w:type="dxa"/>
            <w:vAlign w:val="center"/>
          </w:tcPr>
          <w:p w14:paraId="045B852D" w14:textId="7546DEB4" w:rsidR="0096683F" w:rsidRPr="00702A9B" w:rsidRDefault="0096683F" w:rsidP="009668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724</w:t>
            </w:r>
          </w:p>
        </w:tc>
        <w:tc>
          <w:tcPr>
            <w:tcW w:w="1938" w:type="dxa"/>
            <w:vAlign w:val="center"/>
          </w:tcPr>
          <w:p w14:paraId="4610B350" w14:textId="5D0B78B4" w:rsidR="0096683F" w:rsidRPr="00702A9B" w:rsidRDefault="0096683F" w:rsidP="009668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604 &lt; Dx &lt; 830</w:t>
            </w:r>
          </w:p>
        </w:tc>
      </w:tr>
      <w:tr w:rsidR="0096683F" w:rsidRPr="00702A9B" w14:paraId="544AF31D" w14:textId="77777777" w:rsidTr="0096683F">
        <w:trPr>
          <w:trHeight w:val="340"/>
        </w:trPr>
        <w:tc>
          <w:tcPr>
            <w:cnfStyle w:val="001000000000" w:firstRow="0" w:lastRow="0" w:firstColumn="1" w:lastColumn="0" w:oddVBand="0" w:evenVBand="0" w:oddHBand="0" w:evenHBand="0" w:firstRowFirstColumn="0" w:firstRowLastColumn="0" w:lastRowFirstColumn="0" w:lastRowLastColumn="0"/>
            <w:tcW w:w="891" w:type="dxa"/>
            <w:vAlign w:val="center"/>
          </w:tcPr>
          <w:p w14:paraId="42381C94" w14:textId="77777777" w:rsidR="0096683F" w:rsidRPr="00702A9B" w:rsidRDefault="0096683F" w:rsidP="0096683F">
            <w:pPr>
              <w:spacing w:before="0" w:after="0" w:line="240" w:lineRule="auto"/>
              <w:jc w:val="center"/>
              <w:rPr>
                <w:rFonts w:ascii="Gill Sans MT" w:hAnsi="Gill Sans MT"/>
                <w:b w:val="0"/>
                <w:bCs w:val="0"/>
              </w:rPr>
            </w:pPr>
          </w:p>
        </w:tc>
        <w:tc>
          <w:tcPr>
            <w:tcW w:w="1937" w:type="dxa"/>
            <w:vAlign w:val="center"/>
          </w:tcPr>
          <w:p w14:paraId="7DAD2CB5" w14:textId="30B78F84" w:rsidR="0096683F" w:rsidRPr="00702A9B" w:rsidRDefault="0096683F" w:rsidP="009668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p>
        </w:tc>
        <w:tc>
          <w:tcPr>
            <w:tcW w:w="1562" w:type="dxa"/>
            <w:vAlign w:val="center"/>
          </w:tcPr>
          <w:p w14:paraId="77991EE0" w14:textId="5A4B5F2B" w:rsidR="0096683F" w:rsidRPr="00702A9B" w:rsidRDefault="0096683F" w:rsidP="0096683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t-test outcome:</w:t>
            </w:r>
          </w:p>
        </w:tc>
        <w:tc>
          <w:tcPr>
            <w:tcW w:w="2314" w:type="dxa"/>
            <w:vAlign w:val="center"/>
          </w:tcPr>
          <w:p w14:paraId="484272C8" w14:textId="764D1780" w:rsidR="0096683F" w:rsidRPr="00702A9B" w:rsidRDefault="0096683F" w:rsidP="009668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t(160) = 1.48; p &lt; 0.07</w:t>
            </w:r>
          </w:p>
        </w:tc>
        <w:tc>
          <w:tcPr>
            <w:tcW w:w="1938" w:type="dxa"/>
            <w:vAlign w:val="center"/>
          </w:tcPr>
          <w:p w14:paraId="383A42CA" w14:textId="1C22786B" w:rsidR="0096683F" w:rsidRPr="00702A9B" w:rsidRDefault="0096683F" w:rsidP="009668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bl>
    <w:p w14:paraId="570E4962" w14:textId="09AC0C59" w:rsidR="0096683F" w:rsidRPr="00925BB7" w:rsidRDefault="00BD11EB" w:rsidP="00401DC0">
      <w:pPr>
        <w:pStyle w:val="Tables"/>
        <w:rPr>
          <w:rFonts w:eastAsia="Times New Roman"/>
          <w:lang w:eastAsia="en-GB"/>
        </w:rPr>
      </w:pPr>
      <w:bookmarkStart w:id="206" w:name="_Toc57033191"/>
      <w:r>
        <w:rPr>
          <w:rFonts w:eastAsia="Times New Roman"/>
          <w:lang w:eastAsia="en-GB"/>
        </w:rPr>
        <w:t>Table 1</w:t>
      </w:r>
      <w:r w:rsidR="0063711A">
        <w:rPr>
          <w:rFonts w:eastAsia="Times New Roman"/>
          <w:lang w:eastAsia="en-GB"/>
        </w:rPr>
        <w:t>2</w:t>
      </w:r>
      <w:r>
        <w:rPr>
          <w:rFonts w:eastAsia="Times New Roman"/>
          <w:lang w:eastAsia="en-GB"/>
        </w:rPr>
        <w:t>:</w:t>
      </w:r>
      <w:r w:rsidR="003214C8">
        <w:rPr>
          <w:rFonts w:eastAsia="Times New Roman"/>
          <w:lang w:eastAsia="en-GB"/>
        </w:rPr>
        <w:tab/>
      </w:r>
      <w:r>
        <w:rPr>
          <w:rFonts w:eastAsia="Times New Roman"/>
          <w:lang w:eastAsia="en-GB"/>
        </w:rPr>
        <w:t>Dx parameters for the Test and Control subgroups.</w:t>
      </w:r>
      <w:bookmarkEnd w:id="206"/>
      <w:r>
        <w:rPr>
          <w:rFonts w:eastAsia="Times New Roman"/>
          <w:lang w:eastAsia="en-GB"/>
        </w:rPr>
        <w:t xml:space="preserve"> </w:t>
      </w:r>
    </w:p>
    <w:p w14:paraId="35DADD66" w14:textId="068B818A" w:rsidR="00401DC0" w:rsidRDefault="00401DC0" w:rsidP="0096683F">
      <w:pPr>
        <w:pStyle w:val="Heading5"/>
        <w:rPr>
          <w:rFonts w:eastAsia="Times New Roman"/>
          <w:lang w:eastAsia="en-GB"/>
        </w:rPr>
      </w:pPr>
    </w:p>
    <w:p w14:paraId="30F53E4F" w14:textId="77777777" w:rsidR="00401DC0" w:rsidRPr="00401DC0" w:rsidRDefault="00401DC0" w:rsidP="00401DC0">
      <w:pPr>
        <w:rPr>
          <w:lang w:eastAsia="en-GB"/>
        </w:rPr>
      </w:pPr>
    </w:p>
    <w:p w14:paraId="15A058FC" w14:textId="415A0767" w:rsidR="0096683F" w:rsidRPr="0096683F" w:rsidRDefault="00925BB7" w:rsidP="0096683F">
      <w:pPr>
        <w:pStyle w:val="Heading5"/>
        <w:rPr>
          <w:rFonts w:eastAsia="Times New Roman"/>
          <w:lang w:eastAsia="en-GB"/>
        </w:rPr>
      </w:pPr>
      <w:r>
        <w:rPr>
          <w:rFonts w:eastAsia="Times New Roman"/>
          <w:lang w:eastAsia="en-GB"/>
        </w:rPr>
        <w:lastRenderedPageBreak/>
        <w:t>2. Dx boundary value for the Base subgroup</w:t>
      </w:r>
      <w:bookmarkStart w:id="207" w:name="_Toc9795764"/>
    </w:p>
    <w:p w14:paraId="401344CA" w14:textId="3F3428AF" w:rsidR="0096683F" w:rsidRDefault="0096683F" w:rsidP="0096683F">
      <w:pPr>
        <w:rPr>
          <w:rFonts w:eastAsia="Times New Roman"/>
          <w:lang w:eastAsia="en-GB"/>
        </w:rPr>
      </w:pPr>
      <w:r w:rsidRPr="0096683F">
        <w:rPr>
          <w:rFonts w:eastAsia="Times New Roman"/>
          <w:lang w:eastAsia="en-GB"/>
        </w:rPr>
        <w:t>A lower boundary value was required to filter</w:t>
      </w:r>
      <w:r w:rsidR="00F40239">
        <w:rPr>
          <w:rFonts w:eastAsia="Times New Roman"/>
          <w:lang w:eastAsia="en-GB"/>
        </w:rPr>
        <w:t xml:space="preserve"> </w:t>
      </w:r>
      <w:r w:rsidRPr="0096683F">
        <w:rPr>
          <w:rFonts w:eastAsia="Times New Roman"/>
          <w:lang w:eastAsia="en-GB"/>
        </w:rPr>
        <w:t>the additional comparator subgroup of students from the non-dyslexic group</w:t>
      </w:r>
      <w:r w:rsidR="00F40239">
        <w:rPr>
          <w:rFonts w:eastAsia="Times New Roman"/>
          <w:lang w:eastAsia="en-GB"/>
        </w:rPr>
        <w:t xml:space="preserve"> </w:t>
      </w:r>
      <w:r w:rsidRPr="0096683F">
        <w:rPr>
          <w:rFonts w:eastAsia="Times New Roman"/>
          <w:lang w:eastAsia="en-GB"/>
        </w:rPr>
        <w:t>who presented</w:t>
      </w:r>
      <w:r w:rsidR="00F40239">
        <w:rPr>
          <w:rFonts w:eastAsia="Times New Roman"/>
          <w:lang w:eastAsia="en-GB"/>
        </w:rPr>
        <w:t xml:space="preserve"> </w:t>
      </w:r>
      <w:r w:rsidRPr="0096683F">
        <w:rPr>
          <w:rFonts w:eastAsia="Times New Roman"/>
          <w:lang w:eastAsia="en-GB"/>
        </w:rPr>
        <w:t>low levels of dyslexia-ness</w:t>
      </w:r>
      <w:r w:rsidR="00F40239">
        <w:rPr>
          <w:rFonts w:eastAsia="Times New Roman"/>
          <w:lang w:eastAsia="en-GB"/>
        </w:rPr>
        <w:t xml:space="preserve"> </w:t>
      </w:r>
      <w:r w:rsidRPr="0096683F">
        <w:rPr>
          <w:rFonts w:eastAsia="Times New Roman"/>
          <w:lang w:eastAsia="en-GB"/>
        </w:rPr>
        <w:t>-</w:t>
      </w:r>
      <w:r w:rsidR="00F40239">
        <w:rPr>
          <w:rFonts w:eastAsia="Times New Roman"/>
          <w:lang w:eastAsia="en-GB"/>
        </w:rPr>
        <w:t xml:space="preserve"> </w:t>
      </w:r>
      <w:r w:rsidRPr="0096683F">
        <w:rPr>
          <w:rFonts w:eastAsia="Times New Roman"/>
          <w:lang w:eastAsia="en-GB"/>
        </w:rPr>
        <w:t>the Base subgroup. It was considered intuitively reasonable to set this value at Dx = 400, thus representing a mean average agreement of 40% with the dyslexia-ness dimensions in the Profiler. Using</w:t>
      </w:r>
      <w:r w:rsidR="00F40239">
        <w:rPr>
          <w:rFonts w:eastAsia="Times New Roman"/>
          <w:lang w:eastAsia="en-GB"/>
        </w:rPr>
        <w:t xml:space="preserve"> </w:t>
      </w:r>
      <w:r w:rsidRPr="0096683F">
        <w:rPr>
          <w:rFonts w:eastAsia="Times New Roman"/>
          <w:lang w:eastAsia="en-GB"/>
        </w:rPr>
        <w:t>the Dx20 scale, this generated a Base subgroup of n=44, representing 45% of the non-dyslexic students, or 55% of the remaining non-dyslexic students</w:t>
      </w:r>
      <w:r w:rsidR="00F40239">
        <w:rPr>
          <w:rFonts w:eastAsia="Times New Roman"/>
          <w:lang w:eastAsia="en-GB"/>
        </w:rPr>
        <w:t xml:space="preserve"> </w:t>
      </w:r>
      <w:r w:rsidRPr="0096683F">
        <w:rPr>
          <w:rFonts w:eastAsia="Times New Roman"/>
          <w:lang w:eastAsia="en-GB"/>
        </w:rPr>
        <w:t>after the Test subgroup had been filtered out. Using</w:t>
      </w:r>
      <w:r w:rsidR="00F40239">
        <w:rPr>
          <w:rFonts w:eastAsia="Times New Roman"/>
          <w:lang w:eastAsia="en-GB"/>
        </w:rPr>
        <w:t xml:space="preserve"> </w:t>
      </w:r>
      <w:r w:rsidRPr="0096683F">
        <w:rPr>
          <w:rFonts w:eastAsia="Times New Roman"/>
          <w:lang w:eastAsia="en-GB"/>
        </w:rPr>
        <w:t>the Dx16 scale, the Base subgroup comprised n=50 students (51%, 63% respectively).</w:t>
      </w:r>
    </w:p>
    <w:p w14:paraId="65D8F0F5" w14:textId="5E81AB73" w:rsidR="0096683F" w:rsidRPr="0096683F" w:rsidRDefault="0096683F" w:rsidP="0096683F">
      <w:pPr>
        <w:rPr>
          <w:rFonts w:eastAsia="Times New Roman"/>
          <w:lang w:eastAsia="en-GB"/>
        </w:rPr>
      </w:pPr>
      <w:r w:rsidRPr="0096683F">
        <w:rPr>
          <w:rFonts w:eastAsia="Times New Roman"/>
          <w:lang w:eastAsia="en-GB"/>
        </w:rPr>
        <w:t>By contrast, only five</w:t>
      </w:r>
      <w:r w:rsidR="00F40239">
        <w:rPr>
          <w:rFonts w:eastAsia="Times New Roman"/>
          <w:lang w:eastAsia="en-GB"/>
        </w:rPr>
        <w:t xml:space="preserve"> </w:t>
      </w:r>
      <w:r w:rsidRPr="0096683F">
        <w:rPr>
          <w:rFonts w:eastAsia="Times New Roman"/>
          <w:lang w:eastAsia="en-GB"/>
        </w:rPr>
        <w:t>(Dx20) or</w:t>
      </w:r>
      <w:r w:rsidR="00F40239">
        <w:rPr>
          <w:rFonts w:eastAsia="Times New Roman"/>
          <w:lang w:eastAsia="en-GB"/>
        </w:rPr>
        <w:t xml:space="preserve"> </w:t>
      </w:r>
      <w:r w:rsidRPr="0096683F">
        <w:rPr>
          <w:rFonts w:eastAsia="Times New Roman"/>
          <w:lang w:eastAsia="en-GB"/>
        </w:rPr>
        <w:t>three</w:t>
      </w:r>
      <w:r w:rsidR="00632E07">
        <w:rPr>
          <w:rFonts w:eastAsia="Times New Roman"/>
          <w:lang w:eastAsia="en-GB"/>
        </w:rPr>
        <w:t xml:space="preserve"> </w:t>
      </w:r>
      <w:r w:rsidRPr="0096683F">
        <w:rPr>
          <w:rFonts w:eastAsia="Times New Roman"/>
          <w:lang w:eastAsia="en-GB"/>
        </w:rPr>
        <w:t>(Dx16)</w:t>
      </w:r>
      <w:r w:rsidR="00F40239">
        <w:rPr>
          <w:rFonts w:eastAsia="Times New Roman"/>
          <w:lang w:eastAsia="en-GB"/>
        </w:rPr>
        <w:t xml:space="preserve"> </w:t>
      </w:r>
      <w:r w:rsidRPr="0096683F">
        <w:rPr>
          <w:rFonts w:eastAsia="Times New Roman"/>
          <w:lang w:eastAsia="en-GB"/>
        </w:rPr>
        <w:t>students with declared dyslexia presented values of Dx &lt; 400</w:t>
      </w:r>
      <w:r w:rsidR="00F40239">
        <w:rPr>
          <w:rFonts w:eastAsia="Times New Roman"/>
          <w:lang w:eastAsia="en-GB"/>
        </w:rPr>
        <w:t xml:space="preserve">. </w:t>
      </w:r>
      <w:r w:rsidRPr="0096683F">
        <w:rPr>
          <w:rFonts w:eastAsia="Times New Roman"/>
          <w:lang w:eastAsia="en-GB"/>
        </w:rPr>
        <w:t>Given that these datasets were not identified as outliers to be excluded from further analysis, these remain</w:t>
      </w:r>
      <w:r w:rsidR="00F40239">
        <w:rPr>
          <w:rFonts w:eastAsia="Times New Roman"/>
          <w:lang w:eastAsia="en-GB"/>
        </w:rPr>
        <w:t>ed</w:t>
      </w:r>
      <w:r w:rsidRPr="0096683F">
        <w:rPr>
          <w:rFonts w:eastAsia="Times New Roman"/>
          <w:lang w:eastAsia="en-GB"/>
        </w:rPr>
        <w:t xml:space="preserve"> anomalous results for other reasons, </w:t>
      </w:r>
      <w:r w:rsidR="00F40239">
        <w:rPr>
          <w:rFonts w:eastAsia="Times New Roman"/>
          <w:lang w:eastAsia="en-GB"/>
        </w:rPr>
        <w:t xml:space="preserve">although no </w:t>
      </w:r>
      <w:r w:rsidRPr="0096683F">
        <w:rPr>
          <w:rFonts w:eastAsia="Times New Roman"/>
          <w:lang w:eastAsia="en-GB"/>
        </w:rPr>
        <w:t>additional</w:t>
      </w:r>
      <w:r w:rsidR="00F40239">
        <w:rPr>
          <w:rFonts w:eastAsia="Times New Roman"/>
          <w:lang w:eastAsia="en-GB"/>
        </w:rPr>
        <w:t xml:space="preserve"> </w:t>
      </w:r>
      <w:r w:rsidRPr="0096683F">
        <w:rPr>
          <w:rFonts w:eastAsia="Times New Roman"/>
          <w:lang w:eastAsia="en-GB"/>
        </w:rPr>
        <w:t xml:space="preserve">information about these students was available to </w:t>
      </w:r>
      <w:r w:rsidR="00F40239">
        <w:rPr>
          <w:rFonts w:eastAsia="Times New Roman"/>
          <w:lang w:eastAsia="en-GB"/>
        </w:rPr>
        <w:t xml:space="preserve">enable any conclusions to be </w:t>
      </w:r>
      <w:r w:rsidR="00401DC0">
        <w:rPr>
          <w:rFonts w:eastAsia="Times New Roman"/>
          <w:lang w:eastAsia="en-GB"/>
        </w:rPr>
        <w:t>drawn</w:t>
      </w:r>
      <w:r w:rsidRPr="0096683F">
        <w:rPr>
          <w:rFonts w:eastAsia="Times New Roman"/>
          <w:lang w:eastAsia="en-GB"/>
        </w:rPr>
        <w:t>.</w:t>
      </w:r>
    </w:p>
    <w:p w14:paraId="4C5DDACE" w14:textId="0FCEB81E" w:rsidR="0096683F" w:rsidRDefault="0096683F" w:rsidP="0096683F">
      <w:pPr>
        <w:rPr>
          <w:rFonts w:eastAsia="Times New Roman"/>
          <w:lang w:eastAsia="en-GB"/>
        </w:rPr>
      </w:pPr>
      <w:r w:rsidRPr="0096683F">
        <w:rPr>
          <w:rFonts w:eastAsia="Times New Roman"/>
          <w:lang w:eastAsia="en-GB"/>
        </w:rPr>
        <w:t>It is of note that sizeable minorities of non-dyslexic students presented Dx levels between the upper boundary value of the Base subgroup (Dx20, Dx16 = 400) and the lower boundary value of the Test subgroup (Dx20 = 623, Dx16 = 611). Using the 20-item scale, 36 students fell into this category whereas the 16-item scale identified slightly fewer (n=29). In either case these data suggest approximately one-third of the students in this datapool presented levels of dyslexia-ness that placed them in the central area of the Dyslexia</w:t>
      </w:r>
      <w:r w:rsidR="00F40239">
        <w:rPr>
          <w:rFonts w:eastAsia="Times New Roman"/>
          <w:lang w:eastAsia="en-GB"/>
        </w:rPr>
        <w:t>-</w:t>
      </w:r>
      <w:r w:rsidRPr="0096683F">
        <w:rPr>
          <w:rFonts w:eastAsia="Times New Roman"/>
          <w:lang w:eastAsia="en-GB"/>
        </w:rPr>
        <w:t>ness Continuum. This is discussed below (Section 5).</w:t>
      </w:r>
    </w:p>
    <w:p w14:paraId="087A21AE" w14:textId="3DAAB7D8" w:rsidR="00567EBE" w:rsidRDefault="00567EBE" w:rsidP="00567EBE">
      <w:pPr>
        <w:pStyle w:val="Heading5"/>
        <w:rPr>
          <w:rFonts w:eastAsia="Times New Roman"/>
          <w:lang w:eastAsia="en-GB"/>
        </w:rPr>
      </w:pPr>
      <w:r>
        <w:rPr>
          <w:rFonts w:eastAsia="Times New Roman"/>
          <w:lang w:eastAsia="en-GB"/>
        </w:rPr>
        <w:t>Sensitivity and specificity of the Dx Profiler</w:t>
      </w:r>
    </w:p>
    <w:p w14:paraId="0857ECB2" w14:textId="6D5B9408" w:rsidR="00401DC0" w:rsidRPr="001571BF" w:rsidRDefault="00567EBE" w:rsidP="001571BF">
      <w:pPr>
        <w:rPr>
          <w:rFonts w:eastAsia="Times New Roman"/>
          <w:lang w:eastAsia="en-GB"/>
        </w:rPr>
      </w:pPr>
      <w:r>
        <w:rPr>
          <w:rFonts w:eastAsia="Times New Roman"/>
          <w:lang w:eastAsia="en-GB"/>
        </w:rPr>
        <w:t>As the Profiler was not a test for dyslexia, establishing values for the sensitivity and specificity of the Profiler was considered erroneous. However, by applying the critical boundary values of Dx=614 (for the Dx20 scale) and Dx=604 (for the Dx16 scale) (see Table 1</w:t>
      </w:r>
      <w:r w:rsidR="0063711A">
        <w:rPr>
          <w:rFonts w:eastAsia="Times New Roman"/>
          <w:lang w:eastAsia="en-GB"/>
        </w:rPr>
        <w:t>2</w:t>
      </w:r>
      <w:r>
        <w:rPr>
          <w:rFonts w:eastAsia="Times New Roman"/>
          <w:lang w:eastAsia="en-GB"/>
        </w:rPr>
        <w:t>) above which participants were c</w:t>
      </w:r>
      <w:r w:rsidR="00203630">
        <w:rPr>
          <w:rFonts w:eastAsia="Times New Roman"/>
          <w:lang w:eastAsia="en-GB"/>
        </w:rPr>
        <w:t>lassified</w:t>
      </w:r>
      <w:r>
        <w:rPr>
          <w:rFonts w:eastAsia="Times New Roman"/>
          <w:lang w:eastAsia="en-GB"/>
        </w:rPr>
        <w:t xml:space="preserve"> as dyslexic for the purposes of this study</w:t>
      </w:r>
      <w:r w:rsidR="00203630">
        <w:rPr>
          <w:rFonts w:eastAsia="Times New Roman"/>
          <w:lang w:eastAsia="en-GB"/>
        </w:rPr>
        <w:t xml:space="preserve"> (i.e. sifted into the Control subgroup)</w:t>
      </w:r>
      <w:r>
        <w:rPr>
          <w:rFonts w:eastAsia="Times New Roman"/>
          <w:lang w:eastAsia="en-GB"/>
        </w:rPr>
        <w:t xml:space="preserve">, </w:t>
      </w:r>
      <w:r w:rsidR="00203630">
        <w:rPr>
          <w:rFonts w:eastAsia="Times New Roman"/>
          <w:lang w:eastAsia="en-GB"/>
        </w:rPr>
        <w:t xml:space="preserve">the Dx Profiler identified 45/68 (66%) of the dyslexic group to be dyslexic using the Dx20 scale, and 50/68 (74%), using the Dx16 scale. </w:t>
      </w:r>
    </w:p>
    <w:p w14:paraId="61024891" w14:textId="2A4085C0" w:rsidR="0096683F" w:rsidRDefault="0096683F" w:rsidP="00632E07">
      <w:pPr>
        <w:pStyle w:val="Heading3"/>
      </w:pPr>
      <w:bookmarkStart w:id="208" w:name="_Toc57035927"/>
      <w:r>
        <w:t>IV</w:t>
      </w:r>
      <w:r w:rsidR="004D5123">
        <w:tab/>
      </w:r>
      <w:r w:rsidR="00044B3E">
        <w:t>Academic Behavioural Confidence</w:t>
      </w:r>
      <w:bookmarkEnd w:id="208"/>
    </w:p>
    <w:p w14:paraId="12215E99" w14:textId="77777777" w:rsidR="003214C8" w:rsidRDefault="003214C8" w:rsidP="0096683F">
      <w:pPr>
        <w:pStyle w:val="Heading4"/>
      </w:pPr>
    </w:p>
    <w:p w14:paraId="028E58B8" w14:textId="34BB0B25" w:rsidR="0096683F" w:rsidRPr="0096683F" w:rsidRDefault="0096683F" w:rsidP="0096683F">
      <w:pPr>
        <w:pStyle w:val="Heading4"/>
      </w:pPr>
      <w:r>
        <w:t>I</w:t>
      </w:r>
      <w:r w:rsidR="00B45500">
        <w:t xml:space="preserve"> </w:t>
      </w:r>
      <w:r w:rsidR="00CA48C2">
        <w:t xml:space="preserve"> </w:t>
      </w:r>
      <w:r>
        <w:t>Internal reliability of the ABC scales</w:t>
      </w:r>
    </w:p>
    <w:p w14:paraId="25D24C1A" w14:textId="77777777" w:rsidR="000638D7" w:rsidRDefault="0031555D" w:rsidP="0096683F">
      <w:pPr>
        <w:rPr>
          <w:rFonts w:eastAsia="Times New Roman"/>
          <w:lang w:eastAsia="en-GB"/>
        </w:rPr>
      </w:pPr>
      <w:r w:rsidRPr="0031555D">
        <w:rPr>
          <w:rFonts w:eastAsia="Times New Roman"/>
          <w:lang w:eastAsia="en-GB"/>
        </w:rPr>
        <w:t>There are currently two versions of the</w:t>
      </w:r>
      <w:r w:rsidR="000638D7">
        <w:rPr>
          <w:rFonts w:eastAsia="Times New Roman"/>
          <w:lang w:eastAsia="en-GB"/>
        </w:rPr>
        <w:t xml:space="preserve"> </w:t>
      </w:r>
      <w:r w:rsidRPr="0031555D">
        <w:rPr>
          <w:rFonts w:eastAsia="Times New Roman"/>
          <w:lang w:eastAsia="en-GB"/>
        </w:rPr>
        <w:t>ABC Scale</w:t>
      </w:r>
      <w:r w:rsidR="000638D7">
        <w:rPr>
          <w:rFonts w:eastAsia="Times New Roman"/>
          <w:lang w:eastAsia="en-GB"/>
        </w:rPr>
        <w:t xml:space="preserve"> widely available to researchers</w:t>
      </w:r>
      <w:r w:rsidRPr="0031555D">
        <w:rPr>
          <w:rFonts w:eastAsia="Times New Roman"/>
          <w:lang w:eastAsia="en-GB"/>
        </w:rPr>
        <w:t xml:space="preserve">: a 24-item scale which emerged out of the earlier, Academic Confidence Scale (Sander &amp; </w:t>
      </w:r>
      <w:r w:rsidRPr="0031555D">
        <w:rPr>
          <w:rFonts w:eastAsia="Times New Roman"/>
          <w:lang w:eastAsia="en-GB"/>
        </w:rPr>
        <w:lastRenderedPageBreak/>
        <w:t>Sanders, 2003) together with a later,</w:t>
      </w:r>
      <w:r w:rsidR="000638D7">
        <w:rPr>
          <w:rFonts w:eastAsia="Times New Roman"/>
          <w:lang w:eastAsia="en-GB"/>
        </w:rPr>
        <w:t xml:space="preserve"> </w:t>
      </w:r>
      <w:r w:rsidRPr="0031555D">
        <w:rPr>
          <w:rFonts w:eastAsia="Times New Roman"/>
          <w:lang w:eastAsia="en-GB"/>
        </w:rPr>
        <w:t>17-item scale developed through a meta-analysis of several studies, item redundancy analysis conducted through scale reliability interpretations, and dimension reduction processes (Sander &amp; Sanders, 2009).</w:t>
      </w:r>
    </w:p>
    <w:p w14:paraId="3F98380D" w14:textId="5299A881" w:rsidR="0096683F" w:rsidRDefault="0031555D" w:rsidP="0096683F">
      <w:pPr>
        <w:rPr>
          <w:rFonts w:eastAsia="Times New Roman"/>
          <w:lang w:eastAsia="en-GB"/>
        </w:rPr>
      </w:pPr>
      <w:r w:rsidRPr="0031555D">
        <w:rPr>
          <w:rFonts w:eastAsia="Times New Roman"/>
          <w:lang w:eastAsia="en-GB"/>
        </w:rPr>
        <w:t>In a relatively early study</w:t>
      </w:r>
      <w:r w:rsidR="000638D7">
        <w:rPr>
          <w:rFonts w:eastAsia="Times New Roman"/>
          <w:lang w:eastAsia="en-GB"/>
        </w:rPr>
        <w:t xml:space="preserve"> </w:t>
      </w:r>
      <w:r w:rsidRPr="0031555D">
        <w:rPr>
          <w:rFonts w:eastAsia="Times New Roman"/>
          <w:lang w:eastAsia="en-GB"/>
        </w:rPr>
        <w:t xml:space="preserve">using the 24-item scale, Sander and </w:t>
      </w:r>
      <w:r w:rsidR="00B45500">
        <w:rPr>
          <w:rFonts w:eastAsia="Times New Roman"/>
          <w:lang w:eastAsia="en-GB"/>
        </w:rPr>
        <w:t xml:space="preserve">colleagues </w:t>
      </w:r>
      <w:r w:rsidRPr="0031555D">
        <w:rPr>
          <w:rFonts w:eastAsia="Times New Roman"/>
          <w:lang w:eastAsia="en-GB"/>
        </w:rPr>
        <w:t>reported it to possess an internal reliability of ɑ = 0.88 (2007), based on data acquired from a sample of 284 participants drawn from two UK universities. All other studies using the ABC Scale found to date, appear to have either relied on this ɑ-value, or only report the internal reliability of the ABC Scale's sub-scales, as derived by prior dimension reduction (op cit). With one exception, no other studies were found that indicated item redundancy analysis nor dimension reduction of the ABC 24-item scale</w:t>
      </w:r>
      <w:r w:rsidR="00B45500">
        <w:rPr>
          <w:rFonts w:eastAsia="Times New Roman"/>
          <w:lang w:eastAsia="en-GB"/>
        </w:rPr>
        <w:t xml:space="preserve"> </w:t>
      </w:r>
      <w:r w:rsidRPr="0031555D">
        <w:rPr>
          <w:rFonts w:eastAsia="Times New Roman"/>
          <w:lang w:eastAsia="en-GB"/>
        </w:rPr>
        <w:t xml:space="preserve">as a mechanism for a more nuanced analysis of local data. </w:t>
      </w:r>
      <w:r w:rsidR="00B45500">
        <w:rPr>
          <w:rFonts w:eastAsia="Times New Roman"/>
          <w:lang w:eastAsia="en-GB"/>
        </w:rPr>
        <w:t xml:space="preserve">The exception was a </w:t>
      </w:r>
      <w:r w:rsidRPr="0031555D">
        <w:rPr>
          <w:rFonts w:eastAsia="Times New Roman"/>
          <w:lang w:eastAsia="en-GB"/>
        </w:rPr>
        <w:t>short conference paper</w:t>
      </w:r>
      <w:r w:rsidR="00B45500">
        <w:rPr>
          <w:rFonts w:eastAsia="Times New Roman"/>
          <w:lang w:eastAsia="en-GB"/>
        </w:rPr>
        <w:t xml:space="preserve"> </w:t>
      </w:r>
      <w:r w:rsidRPr="0031555D">
        <w:rPr>
          <w:rFonts w:eastAsia="Times New Roman"/>
          <w:lang w:eastAsia="en-GB"/>
        </w:rPr>
        <w:t xml:space="preserve">detailing a statistical evaluation of the factor structure of the preceding, Academic Confidence Scale, </w:t>
      </w:r>
      <w:r w:rsidR="00B45500">
        <w:rPr>
          <w:rFonts w:eastAsia="Times New Roman"/>
          <w:lang w:eastAsia="en-GB"/>
        </w:rPr>
        <w:t xml:space="preserve">that </w:t>
      </w:r>
      <w:r w:rsidRPr="0031555D">
        <w:rPr>
          <w:rFonts w:eastAsia="Times New Roman"/>
          <w:lang w:eastAsia="en-GB"/>
        </w:rPr>
        <w:t>used</w:t>
      </w:r>
      <w:r w:rsidR="00B45500">
        <w:rPr>
          <w:rFonts w:eastAsia="Times New Roman"/>
          <w:lang w:eastAsia="en-GB"/>
        </w:rPr>
        <w:t xml:space="preserve"> </w:t>
      </w:r>
      <w:r w:rsidRPr="0031555D">
        <w:rPr>
          <w:rFonts w:eastAsia="Times New Roman"/>
          <w:lang w:eastAsia="en-GB"/>
        </w:rPr>
        <w:t>data collected from a local university (Corkery, et.al., 2011), and although</w:t>
      </w:r>
      <w:r w:rsidR="00B45500">
        <w:rPr>
          <w:rFonts w:eastAsia="Times New Roman"/>
          <w:lang w:eastAsia="en-GB"/>
        </w:rPr>
        <w:t xml:space="preserve"> </w:t>
      </w:r>
      <w:r w:rsidRPr="0031555D">
        <w:rPr>
          <w:rFonts w:eastAsia="Times New Roman"/>
          <w:lang w:eastAsia="en-GB"/>
        </w:rPr>
        <w:t>no overall</w:t>
      </w:r>
      <w:r w:rsidR="00B45500">
        <w:rPr>
          <w:rFonts w:eastAsia="Times New Roman"/>
          <w:lang w:eastAsia="en-GB"/>
        </w:rPr>
        <w:t xml:space="preserve"> </w:t>
      </w:r>
      <w:r w:rsidRPr="0031555D">
        <w:rPr>
          <w:rFonts w:eastAsia="Times New Roman"/>
          <w:lang w:eastAsia="en-GB"/>
        </w:rPr>
        <w:t>measure for scale reliability was indicated, coefficients for the three subscales were presented, with values ranging from 0.711 &lt; ɑ &lt; 0.880.</w:t>
      </w:r>
    </w:p>
    <w:p w14:paraId="68CF9C01" w14:textId="63D068CA" w:rsidR="00401DC0" w:rsidRDefault="0031555D" w:rsidP="0031555D">
      <w:pPr>
        <w:rPr>
          <w:rFonts w:eastAsia="Times New Roman"/>
          <w:lang w:eastAsia="en-GB"/>
        </w:rPr>
      </w:pPr>
      <w:r w:rsidRPr="0031555D">
        <w:rPr>
          <w:rFonts w:eastAsia="Times New Roman"/>
          <w:lang w:eastAsia="en-GB"/>
        </w:rPr>
        <w:t>In this current study, data were collected using the original, 24-item scale</w:t>
      </w:r>
      <w:r w:rsidR="00B45500">
        <w:rPr>
          <w:rFonts w:eastAsia="Times New Roman"/>
          <w:lang w:eastAsia="en-GB"/>
        </w:rPr>
        <w:t xml:space="preserve"> </w:t>
      </w:r>
      <w:r w:rsidRPr="0031555D">
        <w:rPr>
          <w:rFonts w:eastAsia="Times New Roman"/>
          <w:lang w:eastAsia="en-GB"/>
        </w:rPr>
        <w:t>because this permitted 17-item scale outputs to be generated simultaneously</w:t>
      </w:r>
      <w:r w:rsidR="00401DC0">
        <w:rPr>
          <w:rFonts w:eastAsia="Times New Roman"/>
          <w:lang w:eastAsia="en-GB"/>
        </w:rPr>
        <w:t xml:space="preserve">. </w:t>
      </w:r>
      <w:r w:rsidRPr="0031555D">
        <w:rPr>
          <w:rFonts w:eastAsia="Times New Roman"/>
          <w:lang w:eastAsia="en-GB"/>
        </w:rPr>
        <w:t>Reliability analysis was conducted on both versions, and this process also permitted scale item redundancy to be considered for the 24-item scale based on local data. Items were identified as redundant using the same protocols as for the Dx Profiler (see 4.3</w:t>
      </w:r>
      <w:r w:rsidR="005F0F49">
        <w:rPr>
          <w:rFonts w:eastAsia="Times New Roman"/>
          <w:lang w:eastAsia="en-GB"/>
        </w:rPr>
        <w:t>/</w:t>
      </w:r>
      <w:r w:rsidRPr="0031555D">
        <w:rPr>
          <w:rFonts w:eastAsia="Times New Roman"/>
          <w:lang w:eastAsia="en-GB"/>
        </w:rPr>
        <w:t>III</w:t>
      </w:r>
      <w:r w:rsidR="005F0F49">
        <w:rPr>
          <w:rFonts w:eastAsia="Times New Roman"/>
          <w:lang w:eastAsia="en-GB"/>
        </w:rPr>
        <w:t>.1</w:t>
      </w:r>
      <w:r w:rsidRPr="0031555D">
        <w:rPr>
          <w:rFonts w:eastAsia="Times New Roman"/>
          <w:lang w:eastAsia="en-GB"/>
        </w:rPr>
        <w:t xml:space="preserve">), that is, by inspection of the matrices of item correlation coefficients </w:t>
      </w:r>
      <w:r w:rsidR="00B45500">
        <w:rPr>
          <w:rFonts w:eastAsia="Times New Roman"/>
          <w:lang w:eastAsia="en-GB"/>
        </w:rPr>
        <w:t xml:space="preserve">(not shown) </w:t>
      </w:r>
      <w:r w:rsidRPr="0031555D">
        <w:rPr>
          <w:rFonts w:eastAsia="Times New Roman"/>
          <w:lang w:eastAsia="en-GB"/>
        </w:rPr>
        <w:t xml:space="preserve">and adopting the </w:t>
      </w:r>
      <w:r w:rsidRPr="0031555D">
        <w:rPr>
          <w:rFonts w:eastAsia="Times New Roman"/>
          <w:i/>
          <w:iCs/>
          <w:lang w:eastAsia="en-GB"/>
        </w:rPr>
        <w:t>r</w:t>
      </w:r>
      <w:r w:rsidRPr="0031555D">
        <w:rPr>
          <w:rFonts w:eastAsia="Times New Roman"/>
          <w:lang w:eastAsia="en-GB"/>
        </w:rPr>
        <w:t> &gt; 0.7 criterion.</w:t>
      </w:r>
    </w:p>
    <w:p w14:paraId="5D735CD5" w14:textId="6C170B9C" w:rsidR="0031555D" w:rsidRPr="0031555D" w:rsidRDefault="0031555D" w:rsidP="0031555D">
      <w:pPr>
        <w:rPr>
          <w:rFonts w:eastAsia="Times New Roman"/>
          <w:lang w:eastAsia="en-GB"/>
        </w:rPr>
      </w:pPr>
      <w:r w:rsidRPr="0031555D">
        <w:rPr>
          <w:rFonts w:eastAsia="Times New Roman"/>
          <w:lang w:eastAsia="en-GB"/>
        </w:rPr>
        <w:t>Results suggested two</w:t>
      </w:r>
      <w:r w:rsidR="001571BF">
        <w:rPr>
          <w:rFonts w:eastAsia="Times New Roman"/>
          <w:lang w:eastAsia="en-GB"/>
        </w:rPr>
        <w:t xml:space="preserve"> </w:t>
      </w:r>
      <w:r w:rsidRPr="0031555D">
        <w:rPr>
          <w:rFonts w:eastAsia="Times New Roman"/>
          <w:lang w:eastAsia="en-GB"/>
        </w:rPr>
        <w:t>alternatives to the existing ABC Scales, one comprising 17 items (co-incidentally), the other a 21-item scale. The local 17-item scale emerged as similar but not identical to the Sander and Sanders version (for the differences, see sub-section 4.5, below). Scale and sub-scale reliability coefficients all exceeded ɑ &gt; 0.7, widely considered as an appropriate critical value for</w:t>
      </w:r>
      <w:r w:rsidR="00B45500">
        <w:rPr>
          <w:rFonts w:eastAsia="Times New Roman"/>
          <w:lang w:eastAsia="en-GB"/>
        </w:rPr>
        <w:t xml:space="preserve"> </w:t>
      </w:r>
      <w:r w:rsidRPr="0031555D">
        <w:rPr>
          <w:rFonts w:eastAsia="Times New Roman"/>
          <w:lang w:eastAsia="en-GB"/>
        </w:rPr>
        <w:t>indicating a reasonable</w:t>
      </w:r>
      <w:r w:rsidR="00B45500">
        <w:rPr>
          <w:rFonts w:eastAsia="Times New Roman"/>
          <w:lang w:eastAsia="en-GB"/>
        </w:rPr>
        <w:t xml:space="preserve"> </w:t>
      </w:r>
      <w:r w:rsidRPr="0031555D">
        <w:rPr>
          <w:rFonts w:eastAsia="Times New Roman"/>
          <w:lang w:eastAsia="en-GB"/>
        </w:rPr>
        <w:t>balance between strong levels of internal reliability, and possible scale item redundancy (Table 1</w:t>
      </w:r>
      <w:r w:rsidR="0063711A">
        <w:rPr>
          <w:rFonts w:eastAsia="Times New Roman"/>
          <w:lang w:eastAsia="en-GB"/>
        </w:rPr>
        <w:t>3</w:t>
      </w:r>
      <w:r w:rsidRPr="0031555D">
        <w:rPr>
          <w:rFonts w:eastAsia="Times New Roman"/>
          <w:lang w:eastAsia="en-GB"/>
        </w:rPr>
        <w:t>).</w:t>
      </w:r>
    </w:p>
    <w:tbl>
      <w:tblPr>
        <w:tblStyle w:val="GridTable5Dark-Accent1"/>
        <w:tblW w:w="0" w:type="auto"/>
        <w:tblLook w:val="04A0" w:firstRow="1" w:lastRow="0" w:firstColumn="1" w:lastColumn="0" w:noHBand="0" w:noVBand="1"/>
      </w:tblPr>
      <w:tblGrid>
        <w:gridCol w:w="1732"/>
        <w:gridCol w:w="1733"/>
        <w:gridCol w:w="1733"/>
        <w:gridCol w:w="1733"/>
        <w:gridCol w:w="1733"/>
      </w:tblGrid>
      <w:tr w:rsidR="00BF0987" w:rsidRPr="00BF0987" w14:paraId="7C614827" w14:textId="77777777" w:rsidTr="00BF098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32" w:type="dxa"/>
            <w:vAlign w:val="center"/>
          </w:tcPr>
          <w:p w14:paraId="08B92995" w14:textId="13582694" w:rsidR="00BF0987" w:rsidRPr="00BF0987" w:rsidRDefault="00BF0987" w:rsidP="00BF0987">
            <w:pPr>
              <w:spacing w:before="0" w:after="0" w:line="240" w:lineRule="auto"/>
              <w:jc w:val="center"/>
              <w:rPr>
                <w:rFonts w:ascii="Gill Sans MT" w:hAnsi="Gill Sans MT"/>
                <w:b w:val="0"/>
                <w:bCs w:val="0"/>
              </w:rPr>
            </w:pPr>
            <w:r w:rsidRPr="00BF0987">
              <w:rPr>
                <w:rFonts w:ascii="Gill Sans MT" w:hAnsi="Gill Sans MT"/>
                <w:b w:val="0"/>
                <w:bCs w:val="0"/>
              </w:rPr>
              <w:t>ABC Scale</w:t>
            </w:r>
          </w:p>
        </w:tc>
        <w:tc>
          <w:tcPr>
            <w:tcW w:w="1733" w:type="dxa"/>
            <w:vAlign w:val="center"/>
          </w:tcPr>
          <w:p w14:paraId="427CEF3A" w14:textId="7C9AE921" w:rsidR="00BF0987" w:rsidRPr="00BF0987" w:rsidRDefault="00BF0987" w:rsidP="00BF098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cs="Arial"/>
                <w:b w:val="0"/>
                <w:bCs w:val="0"/>
                <w:lang w:eastAsia="zh-CN"/>
              </w:rPr>
            </w:pPr>
            <w:r w:rsidRPr="00BF0987">
              <w:rPr>
                <w:rFonts w:ascii="Arial" w:hAnsi="Arial" w:cs="Arial"/>
                <w:b w:val="0"/>
                <w:bCs w:val="0"/>
                <w:lang w:eastAsia="zh-CN"/>
              </w:rPr>
              <w:t>ɑ</w:t>
            </w:r>
            <w:r w:rsidRPr="00BF0987">
              <w:rPr>
                <w:rFonts w:ascii="Gill Sans MT" w:hAnsi="Gill Sans MT" w:cs="Arial"/>
                <w:b w:val="0"/>
                <w:bCs w:val="0"/>
                <w:lang w:eastAsia="zh-CN"/>
              </w:rPr>
              <w:t>, Scale</w:t>
            </w:r>
          </w:p>
        </w:tc>
        <w:tc>
          <w:tcPr>
            <w:tcW w:w="1733" w:type="dxa"/>
            <w:vAlign w:val="center"/>
          </w:tcPr>
          <w:p w14:paraId="4DF26374" w14:textId="360E44CA" w:rsidR="00BF0987" w:rsidRPr="00BF0987" w:rsidRDefault="00BF0987" w:rsidP="00BF098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sidRPr="00BF0987">
              <w:rPr>
                <w:rFonts w:ascii="Arial" w:hAnsi="Arial" w:cs="Arial"/>
                <w:b w:val="0"/>
                <w:bCs w:val="0"/>
                <w:lang w:eastAsia="zh-CN"/>
              </w:rPr>
              <w:t>ɑ</w:t>
            </w:r>
            <w:r w:rsidRPr="00BF0987">
              <w:rPr>
                <w:rFonts w:ascii="Gill Sans MT" w:hAnsi="Gill Sans MT" w:cs="Arial"/>
                <w:b w:val="0"/>
                <w:bCs w:val="0"/>
                <w:lang w:eastAsia="zh-CN"/>
              </w:rPr>
              <w:t xml:space="preserve">, </w:t>
            </w:r>
            <w:r>
              <w:rPr>
                <w:rFonts w:ascii="Gill Sans MT" w:hAnsi="Gill Sans MT" w:cs="Arial"/>
                <w:b w:val="0"/>
                <w:bCs w:val="0"/>
                <w:lang w:eastAsia="zh-CN"/>
              </w:rPr>
              <w:t>Factor 1</w:t>
            </w:r>
          </w:p>
        </w:tc>
        <w:tc>
          <w:tcPr>
            <w:tcW w:w="1733" w:type="dxa"/>
            <w:vAlign w:val="center"/>
          </w:tcPr>
          <w:p w14:paraId="66DE3BBF" w14:textId="64FAC5F7" w:rsidR="00BF0987" w:rsidRPr="00BF0987" w:rsidRDefault="00BF0987" w:rsidP="00BF098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sidRPr="00BF0987">
              <w:rPr>
                <w:rFonts w:ascii="Arial" w:hAnsi="Arial" w:cs="Arial"/>
                <w:b w:val="0"/>
                <w:bCs w:val="0"/>
                <w:lang w:eastAsia="zh-CN"/>
              </w:rPr>
              <w:t>ɑ</w:t>
            </w:r>
            <w:r w:rsidRPr="00BF0987">
              <w:rPr>
                <w:rFonts w:ascii="Gill Sans MT" w:hAnsi="Gill Sans MT" w:cs="Arial"/>
                <w:b w:val="0"/>
                <w:bCs w:val="0"/>
                <w:lang w:eastAsia="zh-CN"/>
              </w:rPr>
              <w:t xml:space="preserve">, </w:t>
            </w:r>
            <w:r>
              <w:rPr>
                <w:rFonts w:ascii="Gill Sans MT" w:hAnsi="Gill Sans MT" w:cs="Arial"/>
                <w:b w:val="0"/>
                <w:bCs w:val="0"/>
                <w:lang w:eastAsia="zh-CN"/>
              </w:rPr>
              <w:t>Factor 2</w:t>
            </w:r>
          </w:p>
        </w:tc>
        <w:tc>
          <w:tcPr>
            <w:tcW w:w="1733" w:type="dxa"/>
            <w:vAlign w:val="center"/>
          </w:tcPr>
          <w:p w14:paraId="76A6E9B9" w14:textId="608ACFE8" w:rsidR="00BF0987" w:rsidRPr="00BF0987" w:rsidRDefault="00BF0987" w:rsidP="00BF098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sidRPr="00BF0987">
              <w:rPr>
                <w:rFonts w:ascii="Arial" w:hAnsi="Arial" w:cs="Arial"/>
                <w:b w:val="0"/>
                <w:bCs w:val="0"/>
                <w:lang w:eastAsia="zh-CN"/>
              </w:rPr>
              <w:t>ɑ</w:t>
            </w:r>
            <w:r w:rsidRPr="00BF0987">
              <w:rPr>
                <w:rFonts w:ascii="Gill Sans MT" w:hAnsi="Gill Sans MT" w:cs="Arial"/>
                <w:b w:val="0"/>
                <w:bCs w:val="0"/>
                <w:lang w:eastAsia="zh-CN"/>
              </w:rPr>
              <w:t xml:space="preserve">, </w:t>
            </w:r>
            <w:r>
              <w:rPr>
                <w:rFonts w:ascii="Gill Sans MT" w:hAnsi="Gill Sans MT" w:cs="Arial"/>
                <w:b w:val="0"/>
                <w:bCs w:val="0"/>
                <w:lang w:eastAsia="zh-CN"/>
              </w:rPr>
              <w:t>Factor 3</w:t>
            </w:r>
          </w:p>
        </w:tc>
      </w:tr>
      <w:tr w:rsidR="00BF0987" w:rsidRPr="00BF0987" w14:paraId="4F7ED3BD" w14:textId="77777777" w:rsidTr="00BF098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32" w:type="dxa"/>
            <w:vAlign w:val="center"/>
          </w:tcPr>
          <w:p w14:paraId="3B19FA60" w14:textId="21978ABA" w:rsidR="00BF0987" w:rsidRPr="00BF0987" w:rsidRDefault="00BF0987" w:rsidP="00BF0987">
            <w:pPr>
              <w:spacing w:before="0" w:after="0" w:line="240" w:lineRule="auto"/>
              <w:jc w:val="center"/>
              <w:rPr>
                <w:rFonts w:ascii="Gill Sans MT" w:hAnsi="Gill Sans MT"/>
                <w:b w:val="0"/>
                <w:bCs w:val="0"/>
              </w:rPr>
            </w:pPr>
            <w:r>
              <w:rPr>
                <w:rFonts w:ascii="Gill Sans MT" w:hAnsi="Gill Sans MT"/>
                <w:b w:val="0"/>
                <w:bCs w:val="0"/>
              </w:rPr>
              <w:t>ABC24</w:t>
            </w:r>
          </w:p>
        </w:tc>
        <w:tc>
          <w:tcPr>
            <w:tcW w:w="1733" w:type="dxa"/>
            <w:vAlign w:val="center"/>
          </w:tcPr>
          <w:p w14:paraId="6EA7189A" w14:textId="150EEF4F" w:rsidR="00BF0987" w:rsidRPr="00BF0987" w:rsidRDefault="00BF0987" w:rsidP="00BF098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0.914</w:t>
            </w:r>
          </w:p>
        </w:tc>
        <w:tc>
          <w:tcPr>
            <w:tcW w:w="1733" w:type="dxa"/>
            <w:vAlign w:val="center"/>
          </w:tcPr>
          <w:p w14:paraId="1B67C315" w14:textId="3EE0752B" w:rsidR="00BF0987" w:rsidRPr="00BF0987" w:rsidRDefault="00BF0987" w:rsidP="00BF098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0.877</w:t>
            </w:r>
          </w:p>
        </w:tc>
        <w:tc>
          <w:tcPr>
            <w:tcW w:w="1733" w:type="dxa"/>
            <w:vAlign w:val="center"/>
          </w:tcPr>
          <w:p w14:paraId="76B3CF46" w14:textId="77212B6E" w:rsidR="00BF0987" w:rsidRPr="00BF0987" w:rsidRDefault="00BF0987" w:rsidP="00BF098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0.839</w:t>
            </w:r>
          </w:p>
        </w:tc>
        <w:tc>
          <w:tcPr>
            <w:tcW w:w="1733" w:type="dxa"/>
            <w:vAlign w:val="center"/>
          </w:tcPr>
          <w:p w14:paraId="6B2397AE" w14:textId="2CFA658B" w:rsidR="00BF0987" w:rsidRPr="00BF0987" w:rsidRDefault="00BF0987" w:rsidP="00BF098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0.820</w:t>
            </w:r>
          </w:p>
        </w:tc>
      </w:tr>
      <w:tr w:rsidR="00BF0987" w:rsidRPr="00BF0987" w14:paraId="058B7C85" w14:textId="77777777" w:rsidTr="00BF0987">
        <w:trPr>
          <w:trHeight w:val="454"/>
        </w:trPr>
        <w:tc>
          <w:tcPr>
            <w:cnfStyle w:val="001000000000" w:firstRow="0" w:lastRow="0" w:firstColumn="1" w:lastColumn="0" w:oddVBand="0" w:evenVBand="0" w:oddHBand="0" w:evenHBand="0" w:firstRowFirstColumn="0" w:firstRowLastColumn="0" w:lastRowFirstColumn="0" w:lastRowLastColumn="0"/>
            <w:tcW w:w="1732" w:type="dxa"/>
            <w:vAlign w:val="center"/>
          </w:tcPr>
          <w:p w14:paraId="4F8DD84B" w14:textId="6DE77499" w:rsidR="00BF0987" w:rsidRPr="00BF0987" w:rsidRDefault="00BF0987" w:rsidP="00BF0987">
            <w:pPr>
              <w:spacing w:before="0" w:after="0" w:line="240" w:lineRule="auto"/>
              <w:jc w:val="center"/>
              <w:rPr>
                <w:rFonts w:ascii="Gill Sans MT" w:hAnsi="Gill Sans MT"/>
                <w:b w:val="0"/>
                <w:bCs w:val="0"/>
              </w:rPr>
            </w:pPr>
            <w:r>
              <w:rPr>
                <w:rFonts w:ascii="Gill Sans MT" w:hAnsi="Gill Sans MT"/>
                <w:b w:val="0"/>
                <w:bCs w:val="0"/>
              </w:rPr>
              <w:t>ABC17</w:t>
            </w:r>
          </w:p>
        </w:tc>
        <w:tc>
          <w:tcPr>
            <w:tcW w:w="1733" w:type="dxa"/>
            <w:vAlign w:val="center"/>
          </w:tcPr>
          <w:p w14:paraId="0FAF9EE6" w14:textId="54CFEACE" w:rsidR="00BF0987" w:rsidRPr="00BF0987" w:rsidRDefault="00BF0987" w:rsidP="00BF098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0.874</w:t>
            </w:r>
          </w:p>
        </w:tc>
        <w:tc>
          <w:tcPr>
            <w:tcW w:w="1733" w:type="dxa"/>
            <w:vAlign w:val="center"/>
          </w:tcPr>
          <w:p w14:paraId="5F6F9560" w14:textId="736DF3F3" w:rsidR="00BF0987" w:rsidRPr="00BF0987" w:rsidRDefault="00BF0987" w:rsidP="00BF098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0.889</w:t>
            </w:r>
          </w:p>
        </w:tc>
        <w:tc>
          <w:tcPr>
            <w:tcW w:w="1733" w:type="dxa"/>
            <w:vAlign w:val="center"/>
          </w:tcPr>
          <w:p w14:paraId="56C26A13" w14:textId="097764E5" w:rsidR="00BF0987" w:rsidRPr="00BF0987" w:rsidRDefault="00BF0987" w:rsidP="00BF098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0.770</w:t>
            </w:r>
          </w:p>
        </w:tc>
        <w:tc>
          <w:tcPr>
            <w:tcW w:w="1733" w:type="dxa"/>
            <w:vAlign w:val="center"/>
          </w:tcPr>
          <w:p w14:paraId="7B6C51CF" w14:textId="01BF536D" w:rsidR="00BF0987" w:rsidRPr="00BF0987" w:rsidRDefault="00BF0987" w:rsidP="00BF098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0.727</w:t>
            </w:r>
          </w:p>
        </w:tc>
      </w:tr>
      <w:tr w:rsidR="00BF0987" w:rsidRPr="00BF0987" w14:paraId="7FA5BF0A" w14:textId="77777777" w:rsidTr="00BF098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32" w:type="dxa"/>
            <w:vAlign w:val="center"/>
          </w:tcPr>
          <w:p w14:paraId="5334B9C8" w14:textId="7C1477DA" w:rsidR="00BF0987" w:rsidRPr="00BF0987" w:rsidRDefault="00BF0987" w:rsidP="00BF0987">
            <w:pPr>
              <w:spacing w:before="0" w:after="0" w:line="240" w:lineRule="auto"/>
              <w:jc w:val="center"/>
              <w:rPr>
                <w:rFonts w:ascii="Gill Sans MT" w:hAnsi="Gill Sans MT"/>
                <w:b w:val="0"/>
                <w:bCs w:val="0"/>
              </w:rPr>
            </w:pPr>
            <w:r>
              <w:rPr>
                <w:rFonts w:ascii="Gill Sans MT" w:hAnsi="Gill Sans MT"/>
                <w:b w:val="0"/>
                <w:bCs w:val="0"/>
              </w:rPr>
              <w:t>ABC21-L</w:t>
            </w:r>
            <w:r w:rsidR="006F1525">
              <w:rPr>
                <w:rFonts w:ascii="Gill Sans MT" w:hAnsi="Gill Sans MT"/>
                <w:b w:val="0"/>
                <w:bCs w:val="0"/>
              </w:rPr>
              <w:t xml:space="preserve"> (l</w:t>
            </w:r>
            <w:r>
              <w:rPr>
                <w:rFonts w:ascii="Gill Sans MT" w:hAnsi="Gill Sans MT"/>
                <w:b w:val="0"/>
                <w:bCs w:val="0"/>
              </w:rPr>
              <w:t>ocal</w:t>
            </w:r>
            <w:r w:rsidR="006F1525">
              <w:rPr>
                <w:rFonts w:ascii="Gill Sans MT" w:hAnsi="Gill Sans MT"/>
                <w:b w:val="0"/>
                <w:bCs w:val="0"/>
              </w:rPr>
              <w:t>)</w:t>
            </w:r>
          </w:p>
        </w:tc>
        <w:tc>
          <w:tcPr>
            <w:tcW w:w="1733" w:type="dxa"/>
            <w:vAlign w:val="center"/>
          </w:tcPr>
          <w:p w14:paraId="28C801BA" w14:textId="403913F7" w:rsidR="00BF0987" w:rsidRPr="00BF0987" w:rsidRDefault="00BF0987" w:rsidP="00BF098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0.899</w:t>
            </w:r>
          </w:p>
        </w:tc>
        <w:tc>
          <w:tcPr>
            <w:tcW w:w="1733" w:type="dxa"/>
            <w:vAlign w:val="center"/>
          </w:tcPr>
          <w:p w14:paraId="1BF70EC5" w14:textId="29170287" w:rsidR="00BF0987" w:rsidRPr="00BF0987" w:rsidRDefault="00BF0987" w:rsidP="00BF098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0.855</w:t>
            </w:r>
          </w:p>
        </w:tc>
        <w:tc>
          <w:tcPr>
            <w:tcW w:w="1733" w:type="dxa"/>
            <w:vAlign w:val="center"/>
          </w:tcPr>
          <w:p w14:paraId="6FFE5901" w14:textId="269167C3" w:rsidR="00BF0987" w:rsidRPr="00BF0987" w:rsidRDefault="00BF0987" w:rsidP="00BF098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0.807</w:t>
            </w:r>
          </w:p>
        </w:tc>
        <w:tc>
          <w:tcPr>
            <w:tcW w:w="1733" w:type="dxa"/>
            <w:vAlign w:val="center"/>
          </w:tcPr>
          <w:p w14:paraId="0BA97979" w14:textId="0F2A8153" w:rsidR="00BF0987" w:rsidRPr="00BF0987" w:rsidRDefault="00BF0987" w:rsidP="00BF098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0.794</w:t>
            </w:r>
          </w:p>
        </w:tc>
      </w:tr>
      <w:tr w:rsidR="00BF0987" w:rsidRPr="00BF0987" w14:paraId="130A1A4E" w14:textId="77777777" w:rsidTr="00BF0987">
        <w:trPr>
          <w:trHeight w:val="454"/>
        </w:trPr>
        <w:tc>
          <w:tcPr>
            <w:cnfStyle w:val="001000000000" w:firstRow="0" w:lastRow="0" w:firstColumn="1" w:lastColumn="0" w:oddVBand="0" w:evenVBand="0" w:oddHBand="0" w:evenHBand="0" w:firstRowFirstColumn="0" w:firstRowLastColumn="0" w:lastRowFirstColumn="0" w:lastRowLastColumn="0"/>
            <w:tcW w:w="1732" w:type="dxa"/>
            <w:vAlign w:val="center"/>
          </w:tcPr>
          <w:p w14:paraId="5EC9C84B" w14:textId="28F43CE3" w:rsidR="00BF0987" w:rsidRPr="00BF0987" w:rsidRDefault="00BF0987" w:rsidP="00BF0987">
            <w:pPr>
              <w:spacing w:before="0" w:after="0" w:line="240" w:lineRule="auto"/>
              <w:jc w:val="center"/>
              <w:rPr>
                <w:rFonts w:ascii="Gill Sans MT" w:hAnsi="Gill Sans MT"/>
                <w:b w:val="0"/>
                <w:bCs w:val="0"/>
              </w:rPr>
            </w:pPr>
            <w:r>
              <w:rPr>
                <w:rFonts w:ascii="Gill Sans MT" w:hAnsi="Gill Sans MT"/>
                <w:b w:val="0"/>
                <w:bCs w:val="0"/>
              </w:rPr>
              <w:t>ABC17-L</w:t>
            </w:r>
            <w:r w:rsidR="006F1525">
              <w:rPr>
                <w:rFonts w:ascii="Gill Sans MT" w:hAnsi="Gill Sans MT"/>
                <w:b w:val="0"/>
                <w:bCs w:val="0"/>
              </w:rPr>
              <w:t xml:space="preserve"> (l</w:t>
            </w:r>
            <w:r>
              <w:rPr>
                <w:rFonts w:ascii="Gill Sans MT" w:hAnsi="Gill Sans MT"/>
                <w:b w:val="0"/>
                <w:bCs w:val="0"/>
              </w:rPr>
              <w:t>ocal</w:t>
            </w:r>
            <w:r w:rsidR="006F1525">
              <w:rPr>
                <w:rFonts w:ascii="Gill Sans MT" w:hAnsi="Gill Sans MT"/>
                <w:b w:val="0"/>
                <w:bCs w:val="0"/>
              </w:rPr>
              <w:t>)</w:t>
            </w:r>
          </w:p>
        </w:tc>
        <w:tc>
          <w:tcPr>
            <w:tcW w:w="1733" w:type="dxa"/>
            <w:vAlign w:val="center"/>
          </w:tcPr>
          <w:p w14:paraId="7E15C8BF" w14:textId="75D3E3CF" w:rsidR="00BF0987" w:rsidRPr="00BF0987" w:rsidRDefault="00BF0987" w:rsidP="00BF098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0.877</w:t>
            </w:r>
          </w:p>
        </w:tc>
        <w:tc>
          <w:tcPr>
            <w:tcW w:w="1733" w:type="dxa"/>
            <w:vAlign w:val="center"/>
          </w:tcPr>
          <w:p w14:paraId="24C34FFC" w14:textId="433FCC1E" w:rsidR="00BF0987" w:rsidRPr="00BF0987" w:rsidRDefault="00BF0987" w:rsidP="00BF098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0.844</w:t>
            </w:r>
          </w:p>
        </w:tc>
        <w:tc>
          <w:tcPr>
            <w:tcW w:w="1733" w:type="dxa"/>
            <w:vAlign w:val="center"/>
          </w:tcPr>
          <w:p w14:paraId="73E02F1D" w14:textId="309BBF78" w:rsidR="00BF0987" w:rsidRPr="00BF0987" w:rsidRDefault="00BF0987" w:rsidP="00BF098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0.786</w:t>
            </w:r>
          </w:p>
        </w:tc>
        <w:tc>
          <w:tcPr>
            <w:tcW w:w="1733" w:type="dxa"/>
            <w:vAlign w:val="center"/>
          </w:tcPr>
          <w:p w14:paraId="7A7C710E" w14:textId="0C3E42AA" w:rsidR="00BF0987" w:rsidRPr="00BF0987" w:rsidRDefault="00BF0987" w:rsidP="00BF098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0.707</w:t>
            </w:r>
          </w:p>
        </w:tc>
      </w:tr>
    </w:tbl>
    <w:p w14:paraId="734C8554" w14:textId="707D8CEB" w:rsidR="00BF0987" w:rsidRDefault="00BF0987" w:rsidP="001571BF">
      <w:pPr>
        <w:pStyle w:val="Tables"/>
      </w:pPr>
      <w:bookmarkStart w:id="209" w:name="_Toc57033192"/>
      <w:r>
        <w:t>Table 1</w:t>
      </w:r>
      <w:r w:rsidR="0063711A">
        <w:t>3</w:t>
      </w:r>
      <w:r>
        <w:t>:</w:t>
      </w:r>
      <w:r w:rsidR="003214C8">
        <w:tab/>
      </w:r>
      <w:r>
        <w:t>Reliability coefficients for the ABC Scales and sub-scales</w:t>
      </w:r>
      <w:bookmarkEnd w:id="209"/>
    </w:p>
    <w:p w14:paraId="20DC473B" w14:textId="7FA0BBC9" w:rsidR="00BF0987" w:rsidRPr="00BF0987" w:rsidRDefault="00BF0987" w:rsidP="00BF0987">
      <w:pPr>
        <w:rPr>
          <w:rFonts w:eastAsia="Times New Roman"/>
          <w:lang w:eastAsia="en-GB"/>
        </w:rPr>
      </w:pPr>
      <w:r w:rsidRPr="00BF0987">
        <w:rPr>
          <w:rFonts w:eastAsia="Times New Roman"/>
          <w:lang w:eastAsia="en-GB"/>
        </w:rPr>
        <w:lastRenderedPageBreak/>
        <w:t>Hence a variety of alternatives were available, both at scale and sub-scale level, for relating the data collected in this study to the focus of the enquiry, the research questions, and hypotheses being explored</w:t>
      </w:r>
      <w:r w:rsidR="00B45500">
        <w:rPr>
          <w:rFonts w:eastAsia="Times New Roman"/>
          <w:lang w:eastAsia="en-GB"/>
        </w:rPr>
        <w:t>.</w:t>
      </w:r>
      <w:r w:rsidRPr="00BF0987">
        <w:rPr>
          <w:rFonts w:eastAsia="Times New Roman"/>
          <w:lang w:eastAsia="en-GB"/>
        </w:rPr>
        <w:t xml:space="preserve"> </w:t>
      </w:r>
      <w:r w:rsidR="00B45500">
        <w:rPr>
          <w:rFonts w:eastAsia="Times New Roman"/>
          <w:lang w:eastAsia="en-GB"/>
        </w:rPr>
        <w:t>I</w:t>
      </w:r>
      <w:r w:rsidRPr="00BF0987">
        <w:rPr>
          <w:rFonts w:eastAsia="Times New Roman"/>
          <w:lang w:eastAsia="en-GB"/>
        </w:rPr>
        <w:t>t was considered that the results that emerged from all versions of the ABC Scale with the three, comparison subgroups  defined according to both Dx Profiler Scales, was a strength of the study</w:t>
      </w:r>
      <w:r w:rsidR="00B45500">
        <w:rPr>
          <w:rFonts w:eastAsia="Times New Roman"/>
          <w:lang w:eastAsia="en-GB"/>
        </w:rPr>
        <w:t xml:space="preserve"> </w:t>
      </w:r>
      <w:r w:rsidRPr="00BF0987">
        <w:rPr>
          <w:rFonts w:eastAsia="Times New Roman"/>
          <w:lang w:eastAsia="en-GB"/>
        </w:rPr>
        <w:t>because interpretation of the differences in outcomes that emerged</w:t>
      </w:r>
      <w:r w:rsidR="000E71C3">
        <w:rPr>
          <w:rFonts w:eastAsia="Times New Roman"/>
          <w:lang w:eastAsia="en-GB"/>
        </w:rPr>
        <w:t xml:space="preserve"> </w:t>
      </w:r>
      <w:r w:rsidRPr="00BF0987">
        <w:rPr>
          <w:rFonts w:eastAsia="Times New Roman"/>
          <w:lang w:eastAsia="en-GB"/>
        </w:rPr>
        <w:t>contributed positively to the discussion element of this thesis</w:t>
      </w:r>
      <w:r w:rsidR="00B45500">
        <w:rPr>
          <w:rFonts w:eastAsia="Times New Roman"/>
          <w:lang w:eastAsia="en-GB"/>
        </w:rPr>
        <w:t xml:space="preserve"> </w:t>
      </w:r>
      <w:r w:rsidRPr="00BF0987">
        <w:rPr>
          <w:rFonts w:eastAsia="Times New Roman"/>
          <w:lang w:eastAsia="en-GB"/>
        </w:rPr>
        <w:t xml:space="preserve">(Section </w:t>
      </w:r>
      <w:r w:rsidR="000E71C3">
        <w:rPr>
          <w:rFonts w:eastAsia="Times New Roman"/>
          <w:lang w:eastAsia="en-GB"/>
        </w:rPr>
        <w:t>5</w:t>
      </w:r>
      <w:r w:rsidRPr="00BF0987">
        <w:rPr>
          <w:rFonts w:eastAsia="Times New Roman"/>
          <w:lang w:eastAsia="en-GB"/>
        </w:rPr>
        <w:t>).</w:t>
      </w:r>
    </w:p>
    <w:p w14:paraId="135E46A2" w14:textId="57662978" w:rsidR="00BF0987" w:rsidRPr="0096683F" w:rsidRDefault="00BF0987" w:rsidP="00BF0987">
      <w:pPr>
        <w:pStyle w:val="Heading4"/>
      </w:pPr>
      <w:r>
        <w:t>II</w:t>
      </w:r>
      <w:r w:rsidR="00CA48C2">
        <w:t xml:space="preserve">  </w:t>
      </w:r>
      <w:r>
        <w:t>Differences in mean ABC values</w:t>
      </w:r>
    </w:p>
    <w:p w14:paraId="550905B6" w14:textId="6E8EF4BD" w:rsidR="002B49D4" w:rsidRDefault="00BC295E" w:rsidP="00BC295E">
      <w:r>
        <w:t>When the subgroups were determined by either the Dx20 of the Dx16 Profiler scales, m</w:t>
      </w:r>
      <w:r w:rsidR="00BF0987">
        <w:t>ean ABC values (Table 1</w:t>
      </w:r>
      <w:r w:rsidR="0063711A">
        <w:t>4</w:t>
      </w:r>
      <w:r w:rsidR="00BF0987">
        <w:t>) and effect sizes (Tables 1</w:t>
      </w:r>
      <w:r w:rsidR="0063711A">
        <w:t>5</w:t>
      </w:r>
      <w:r w:rsidR="00BF0987">
        <w:t>, 1</w:t>
      </w:r>
      <w:r w:rsidR="0063711A">
        <w:t>6</w:t>
      </w:r>
      <w:r w:rsidR="00BF0987">
        <w:t xml:space="preserve">) </w:t>
      </w:r>
      <w:r>
        <w:t xml:space="preserve">were found to be similar </w:t>
      </w:r>
      <w:r w:rsidR="00BF0987">
        <w:t>between the non-dyslexic and dyslexic groups overall, and also between the Test and Control subgroups, and between the Base and Control subgroups.</w:t>
      </w:r>
      <w:r w:rsidR="00B32636">
        <w:t xml:space="preserve"> The locally-derived, ABC17-L Scale consistently produced the highest mean ABC values across the range of groups and subgroups (ranging between ABC17-L = 60.53 for the Control subgroup and ABC17-L = 73.52 for the Base subgroup, as derived from the Dx16 Profiler), whereas the complete ABC24 Scale generated the most pessimistic outputs.</w:t>
      </w:r>
    </w:p>
    <w:p w14:paraId="174F7FB8" w14:textId="71F7BE7E" w:rsidR="002B49D4" w:rsidRPr="002B49D4" w:rsidRDefault="00B32636" w:rsidP="00BC295E">
      <w:r>
        <w:t xml:space="preserve">However, differences in mean ABC values from the four variants of the </w:t>
      </w:r>
      <w:r w:rsidR="002B49D4">
        <w:t>s</w:t>
      </w:r>
      <w:r>
        <w:t xml:space="preserve">cale within each of the groups and subgroups </w:t>
      </w:r>
      <w:r w:rsidR="00C73671">
        <w:t>were small</w:t>
      </w:r>
      <w:r w:rsidR="002B49D4">
        <w:t>, ranging between 0.84 mean value percentage points for the Dx20 Base subgroup (ABC24 = 72.44 to ABC17-L = 73.28) to 2.91 mean value percentage points for the Dx20 Control subgroup (ABC17 = 57.92 to ABC17-L = 60.83).</w:t>
      </w:r>
    </w:p>
    <w:tbl>
      <w:tblPr>
        <w:tblStyle w:val="GridTable5Dark-Accent1"/>
        <w:tblpPr w:leftFromText="180" w:rightFromText="180" w:vertAnchor="text" w:horzAnchor="margin" w:tblpY="-40"/>
        <w:tblW w:w="0" w:type="auto"/>
        <w:tblLook w:val="04A0" w:firstRow="1" w:lastRow="0" w:firstColumn="1" w:lastColumn="0" w:noHBand="0" w:noVBand="1"/>
      </w:tblPr>
      <w:tblGrid>
        <w:gridCol w:w="1838"/>
        <w:gridCol w:w="1276"/>
        <w:gridCol w:w="598"/>
        <w:gridCol w:w="1238"/>
        <w:gridCol w:w="1238"/>
        <w:gridCol w:w="1238"/>
        <w:gridCol w:w="1238"/>
      </w:tblGrid>
      <w:tr w:rsidR="002B49D4" w:rsidRPr="00843013" w14:paraId="26556299" w14:textId="77777777" w:rsidTr="002B49D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16BF573" w14:textId="77777777" w:rsidR="002B49D4" w:rsidRPr="00490522" w:rsidRDefault="002B49D4" w:rsidP="002B49D4">
            <w:pPr>
              <w:spacing w:before="0" w:after="0" w:line="240" w:lineRule="auto"/>
              <w:jc w:val="center"/>
              <w:rPr>
                <w:rFonts w:ascii="Gill Sans MT" w:hAnsi="Gill Sans MT"/>
                <w:b w:val="0"/>
                <w:bCs w:val="0"/>
                <w:sz w:val="18"/>
                <w:szCs w:val="18"/>
              </w:rPr>
            </w:pPr>
            <w:r w:rsidRPr="00490522">
              <w:rPr>
                <w:rFonts w:ascii="Gill Sans MT" w:hAnsi="Gill Sans MT"/>
                <w:b w:val="0"/>
                <w:bCs w:val="0"/>
                <w:sz w:val="18"/>
                <w:szCs w:val="18"/>
              </w:rPr>
              <w:t>group / subgroup</w:t>
            </w:r>
          </w:p>
        </w:tc>
        <w:tc>
          <w:tcPr>
            <w:tcW w:w="1276" w:type="dxa"/>
            <w:vAlign w:val="center"/>
          </w:tcPr>
          <w:p w14:paraId="65B423BA" w14:textId="77777777" w:rsidR="002B49D4" w:rsidRPr="00490522" w:rsidRDefault="002B49D4" w:rsidP="002B49D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490522">
              <w:rPr>
                <w:rFonts w:ascii="Gill Sans MT" w:hAnsi="Gill Sans MT"/>
                <w:b w:val="0"/>
                <w:bCs w:val="0"/>
                <w:sz w:val="18"/>
                <w:szCs w:val="18"/>
              </w:rPr>
              <w:t>Dx Scale</w:t>
            </w:r>
          </w:p>
        </w:tc>
        <w:tc>
          <w:tcPr>
            <w:tcW w:w="598" w:type="dxa"/>
            <w:vAlign w:val="center"/>
          </w:tcPr>
          <w:p w14:paraId="4ACB8670" w14:textId="77777777" w:rsidR="002B49D4" w:rsidRPr="00490522" w:rsidRDefault="002B49D4" w:rsidP="002B49D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490522">
              <w:rPr>
                <w:rFonts w:ascii="Gill Sans MT" w:hAnsi="Gill Sans MT"/>
                <w:b w:val="0"/>
                <w:bCs w:val="0"/>
                <w:sz w:val="18"/>
                <w:szCs w:val="18"/>
              </w:rPr>
              <w:t>n</w:t>
            </w:r>
          </w:p>
        </w:tc>
        <w:tc>
          <w:tcPr>
            <w:tcW w:w="1238" w:type="dxa"/>
            <w:vAlign w:val="center"/>
          </w:tcPr>
          <w:p w14:paraId="7CF157CB" w14:textId="77777777" w:rsidR="002B49D4" w:rsidRPr="00490522" w:rsidRDefault="002B49D4" w:rsidP="002B49D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490522">
              <w:rPr>
                <w:rFonts w:ascii="Gill Sans MT" w:hAnsi="Gill Sans MT"/>
                <w:b w:val="0"/>
                <w:bCs w:val="0"/>
                <w:sz w:val="18"/>
                <w:szCs w:val="18"/>
              </w:rPr>
              <w:t>mean ABC24</w:t>
            </w:r>
          </w:p>
        </w:tc>
        <w:tc>
          <w:tcPr>
            <w:tcW w:w="1238" w:type="dxa"/>
            <w:vAlign w:val="center"/>
          </w:tcPr>
          <w:p w14:paraId="51C1F02B" w14:textId="77777777" w:rsidR="002B49D4" w:rsidRPr="00490522" w:rsidRDefault="002B49D4" w:rsidP="002B49D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490522">
              <w:rPr>
                <w:rFonts w:ascii="Gill Sans MT" w:hAnsi="Gill Sans MT"/>
                <w:b w:val="0"/>
                <w:bCs w:val="0"/>
                <w:sz w:val="18"/>
                <w:szCs w:val="18"/>
              </w:rPr>
              <w:t>mean ABC17</w:t>
            </w:r>
          </w:p>
        </w:tc>
        <w:tc>
          <w:tcPr>
            <w:tcW w:w="1238" w:type="dxa"/>
            <w:vAlign w:val="center"/>
          </w:tcPr>
          <w:p w14:paraId="18279158" w14:textId="77777777" w:rsidR="002B49D4" w:rsidRPr="00490522" w:rsidRDefault="002B49D4" w:rsidP="002B49D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490522">
              <w:rPr>
                <w:rFonts w:ascii="Gill Sans MT" w:hAnsi="Gill Sans MT"/>
                <w:b w:val="0"/>
                <w:bCs w:val="0"/>
                <w:sz w:val="18"/>
                <w:szCs w:val="18"/>
              </w:rPr>
              <w:t>mean ABC21-L</w:t>
            </w:r>
          </w:p>
        </w:tc>
        <w:tc>
          <w:tcPr>
            <w:tcW w:w="1238" w:type="dxa"/>
            <w:vAlign w:val="center"/>
          </w:tcPr>
          <w:p w14:paraId="40FF89C7" w14:textId="77777777" w:rsidR="002B49D4" w:rsidRPr="00490522" w:rsidRDefault="002B49D4" w:rsidP="002B49D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490522">
              <w:rPr>
                <w:rFonts w:ascii="Gill Sans MT" w:hAnsi="Gill Sans MT"/>
                <w:b w:val="0"/>
                <w:bCs w:val="0"/>
                <w:sz w:val="18"/>
                <w:szCs w:val="18"/>
              </w:rPr>
              <w:t>mean ABC17-L</w:t>
            </w:r>
          </w:p>
        </w:tc>
      </w:tr>
      <w:tr w:rsidR="002B49D4" w:rsidRPr="00843013" w14:paraId="1DA7762E" w14:textId="77777777" w:rsidTr="002B49D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4B4501D" w14:textId="77777777" w:rsidR="002B49D4" w:rsidRPr="00490522" w:rsidRDefault="002B49D4" w:rsidP="002B49D4">
            <w:pPr>
              <w:spacing w:before="0" w:after="0" w:line="240" w:lineRule="auto"/>
              <w:jc w:val="center"/>
              <w:rPr>
                <w:rFonts w:ascii="Gill Sans MT" w:hAnsi="Gill Sans MT"/>
                <w:b w:val="0"/>
                <w:bCs w:val="0"/>
                <w:sz w:val="18"/>
                <w:szCs w:val="18"/>
              </w:rPr>
            </w:pPr>
            <w:r w:rsidRPr="00490522">
              <w:rPr>
                <w:rFonts w:ascii="Gill Sans MT" w:hAnsi="Gill Sans MT"/>
                <w:b w:val="0"/>
                <w:bCs w:val="0"/>
                <w:sz w:val="18"/>
                <w:szCs w:val="18"/>
              </w:rPr>
              <w:t>ND (all non-dyslexic students)</w:t>
            </w:r>
          </w:p>
        </w:tc>
        <w:tc>
          <w:tcPr>
            <w:tcW w:w="1276" w:type="dxa"/>
            <w:vAlign w:val="center"/>
          </w:tcPr>
          <w:p w14:paraId="04723BC9" w14:textId="77777777" w:rsidR="002B49D4" w:rsidRPr="00843013" w:rsidRDefault="002B49D4" w:rsidP="002B49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843013">
              <w:rPr>
                <w:rFonts w:ascii="Gill Sans MT" w:hAnsi="Gill Sans MT"/>
              </w:rPr>
              <w:t>-</w:t>
            </w:r>
          </w:p>
        </w:tc>
        <w:tc>
          <w:tcPr>
            <w:tcW w:w="598" w:type="dxa"/>
            <w:vAlign w:val="center"/>
          </w:tcPr>
          <w:p w14:paraId="2D6C39EE" w14:textId="77777777" w:rsidR="002B49D4" w:rsidRPr="00843013" w:rsidRDefault="002B49D4" w:rsidP="002B49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843013">
              <w:rPr>
                <w:rFonts w:ascii="Gill Sans MT" w:hAnsi="Gill Sans MT"/>
              </w:rPr>
              <w:t>98</w:t>
            </w:r>
          </w:p>
        </w:tc>
        <w:tc>
          <w:tcPr>
            <w:tcW w:w="1238" w:type="dxa"/>
            <w:vAlign w:val="center"/>
          </w:tcPr>
          <w:p w14:paraId="2BF723DF" w14:textId="77777777" w:rsidR="002B49D4" w:rsidRPr="00843013" w:rsidRDefault="002B49D4" w:rsidP="002B49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67.21</w:t>
            </w:r>
          </w:p>
        </w:tc>
        <w:tc>
          <w:tcPr>
            <w:tcW w:w="1238" w:type="dxa"/>
            <w:vAlign w:val="center"/>
          </w:tcPr>
          <w:p w14:paraId="4327F5A2" w14:textId="77777777" w:rsidR="002B49D4" w:rsidRPr="00843013" w:rsidRDefault="002B49D4" w:rsidP="002B49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67.51</w:t>
            </w:r>
          </w:p>
        </w:tc>
        <w:tc>
          <w:tcPr>
            <w:tcW w:w="1238" w:type="dxa"/>
            <w:vAlign w:val="center"/>
          </w:tcPr>
          <w:p w14:paraId="6F071699" w14:textId="77777777" w:rsidR="002B49D4" w:rsidRPr="00843013" w:rsidRDefault="002B49D4" w:rsidP="002B49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68.08</w:t>
            </w:r>
          </w:p>
        </w:tc>
        <w:tc>
          <w:tcPr>
            <w:tcW w:w="1238" w:type="dxa"/>
            <w:vAlign w:val="center"/>
          </w:tcPr>
          <w:p w14:paraId="7DFAE81C" w14:textId="77777777" w:rsidR="002B49D4" w:rsidRPr="00843013" w:rsidRDefault="002B49D4" w:rsidP="002B49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68.30</w:t>
            </w:r>
          </w:p>
        </w:tc>
      </w:tr>
      <w:tr w:rsidR="002B49D4" w:rsidRPr="00843013" w14:paraId="05BD230C" w14:textId="77777777" w:rsidTr="002B49D4">
        <w:trPr>
          <w:trHeight w:val="51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C6D8DDD" w14:textId="77777777" w:rsidR="002B49D4" w:rsidRPr="00490522" w:rsidRDefault="002B49D4" w:rsidP="002B49D4">
            <w:pPr>
              <w:spacing w:before="0" w:after="0" w:line="240" w:lineRule="auto"/>
              <w:jc w:val="center"/>
              <w:rPr>
                <w:rFonts w:ascii="Gill Sans MT" w:hAnsi="Gill Sans MT"/>
                <w:b w:val="0"/>
                <w:bCs w:val="0"/>
                <w:sz w:val="18"/>
                <w:szCs w:val="18"/>
              </w:rPr>
            </w:pPr>
            <w:r w:rsidRPr="00490522">
              <w:rPr>
                <w:rFonts w:ascii="Gill Sans MT" w:hAnsi="Gill Sans MT"/>
                <w:b w:val="0"/>
                <w:bCs w:val="0"/>
                <w:sz w:val="18"/>
                <w:szCs w:val="18"/>
              </w:rPr>
              <w:t>DI (all dyslexic students)</w:t>
            </w:r>
          </w:p>
        </w:tc>
        <w:tc>
          <w:tcPr>
            <w:tcW w:w="1276" w:type="dxa"/>
            <w:vAlign w:val="center"/>
          </w:tcPr>
          <w:p w14:paraId="51E8383E" w14:textId="77777777" w:rsidR="002B49D4" w:rsidRPr="00843013" w:rsidRDefault="002B49D4" w:rsidP="002B49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w:t>
            </w:r>
          </w:p>
        </w:tc>
        <w:tc>
          <w:tcPr>
            <w:tcW w:w="598" w:type="dxa"/>
            <w:vAlign w:val="center"/>
          </w:tcPr>
          <w:p w14:paraId="54C27E03" w14:textId="77777777" w:rsidR="002B49D4" w:rsidRPr="00843013" w:rsidRDefault="002B49D4" w:rsidP="002B49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68</w:t>
            </w:r>
          </w:p>
        </w:tc>
        <w:tc>
          <w:tcPr>
            <w:tcW w:w="1238" w:type="dxa"/>
            <w:vAlign w:val="center"/>
          </w:tcPr>
          <w:p w14:paraId="44690A9D" w14:textId="77777777" w:rsidR="002B49D4" w:rsidRPr="00843013" w:rsidRDefault="002B49D4" w:rsidP="002B49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58.45</w:t>
            </w:r>
          </w:p>
        </w:tc>
        <w:tc>
          <w:tcPr>
            <w:tcW w:w="1238" w:type="dxa"/>
            <w:vAlign w:val="center"/>
          </w:tcPr>
          <w:p w14:paraId="0CC8F47E" w14:textId="77777777" w:rsidR="002B49D4" w:rsidRPr="00843013" w:rsidRDefault="002B49D4" w:rsidP="002B49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58.40</w:t>
            </w:r>
          </w:p>
        </w:tc>
        <w:tc>
          <w:tcPr>
            <w:tcW w:w="1238" w:type="dxa"/>
            <w:vAlign w:val="center"/>
          </w:tcPr>
          <w:p w14:paraId="145835E1" w14:textId="77777777" w:rsidR="002B49D4" w:rsidRPr="00843013" w:rsidRDefault="002B49D4" w:rsidP="002B49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59.48</w:t>
            </w:r>
          </w:p>
        </w:tc>
        <w:tc>
          <w:tcPr>
            <w:tcW w:w="1238" w:type="dxa"/>
            <w:vAlign w:val="center"/>
          </w:tcPr>
          <w:p w14:paraId="1717C3BF" w14:textId="77777777" w:rsidR="002B49D4" w:rsidRPr="00843013" w:rsidRDefault="002B49D4" w:rsidP="002B49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60.48</w:t>
            </w:r>
          </w:p>
        </w:tc>
      </w:tr>
      <w:tr w:rsidR="002B49D4" w:rsidRPr="00843013" w14:paraId="3B6D2A92" w14:textId="77777777" w:rsidTr="002B49D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3F640BA" w14:textId="77777777" w:rsidR="002B49D4" w:rsidRPr="00490522" w:rsidRDefault="002B49D4" w:rsidP="002B49D4">
            <w:pPr>
              <w:spacing w:before="0" w:after="0" w:line="240" w:lineRule="auto"/>
              <w:jc w:val="center"/>
              <w:rPr>
                <w:rFonts w:ascii="Gill Sans MT" w:hAnsi="Gill Sans MT"/>
                <w:b w:val="0"/>
                <w:bCs w:val="0"/>
                <w:sz w:val="18"/>
                <w:szCs w:val="18"/>
              </w:rPr>
            </w:pPr>
            <w:r w:rsidRPr="00490522">
              <w:rPr>
                <w:rFonts w:ascii="Gill Sans MT" w:hAnsi="Gill Sans MT"/>
                <w:b w:val="0"/>
                <w:bCs w:val="0"/>
                <w:sz w:val="18"/>
                <w:szCs w:val="18"/>
              </w:rPr>
              <w:t>ND / Base</w:t>
            </w:r>
          </w:p>
        </w:tc>
        <w:tc>
          <w:tcPr>
            <w:tcW w:w="1276" w:type="dxa"/>
            <w:vAlign w:val="center"/>
          </w:tcPr>
          <w:p w14:paraId="591DF058" w14:textId="77777777" w:rsidR="002B49D4" w:rsidRPr="00843013" w:rsidRDefault="002B49D4" w:rsidP="002B49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Dx20</w:t>
            </w:r>
          </w:p>
        </w:tc>
        <w:tc>
          <w:tcPr>
            <w:tcW w:w="598" w:type="dxa"/>
            <w:vAlign w:val="center"/>
          </w:tcPr>
          <w:p w14:paraId="6C9A3276" w14:textId="77777777" w:rsidR="002B49D4" w:rsidRPr="00843013" w:rsidRDefault="002B49D4" w:rsidP="002B49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44</w:t>
            </w:r>
          </w:p>
        </w:tc>
        <w:tc>
          <w:tcPr>
            <w:tcW w:w="1238" w:type="dxa"/>
            <w:vAlign w:val="center"/>
          </w:tcPr>
          <w:p w14:paraId="728ED88B" w14:textId="77777777" w:rsidR="002B49D4" w:rsidRPr="00843013" w:rsidRDefault="002B49D4" w:rsidP="002B49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72.44</w:t>
            </w:r>
          </w:p>
        </w:tc>
        <w:tc>
          <w:tcPr>
            <w:tcW w:w="1238" w:type="dxa"/>
            <w:vAlign w:val="center"/>
          </w:tcPr>
          <w:p w14:paraId="6D163A1D" w14:textId="77777777" w:rsidR="002B49D4" w:rsidRPr="00843013" w:rsidRDefault="002B49D4" w:rsidP="002B49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72.61</w:t>
            </w:r>
          </w:p>
        </w:tc>
        <w:tc>
          <w:tcPr>
            <w:tcW w:w="1238" w:type="dxa"/>
            <w:vAlign w:val="center"/>
          </w:tcPr>
          <w:p w14:paraId="08C060DA" w14:textId="77777777" w:rsidR="002B49D4" w:rsidRPr="00843013" w:rsidRDefault="002B49D4" w:rsidP="002B49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73.44</w:t>
            </w:r>
          </w:p>
        </w:tc>
        <w:tc>
          <w:tcPr>
            <w:tcW w:w="1238" w:type="dxa"/>
            <w:vAlign w:val="center"/>
          </w:tcPr>
          <w:p w14:paraId="5750377A" w14:textId="77777777" w:rsidR="002B49D4" w:rsidRPr="00843013" w:rsidRDefault="002B49D4" w:rsidP="002B49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73.28</w:t>
            </w:r>
          </w:p>
        </w:tc>
      </w:tr>
      <w:tr w:rsidR="002B49D4" w:rsidRPr="00843013" w14:paraId="698FAA4B" w14:textId="77777777" w:rsidTr="002B49D4">
        <w:trPr>
          <w:trHeight w:val="51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607086A" w14:textId="77777777" w:rsidR="002B49D4" w:rsidRPr="00490522" w:rsidRDefault="002B49D4" w:rsidP="002B49D4">
            <w:pPr>
              <w:spacing w:before="0" w:after="0" w:line="240" w:lineRule="auto"/>
              <w:jc w:val="center"/>
              <w:rPr>
                <w:rFonts w:ascii="Gill Sans MT" w:hAnsi="Gill Sans MT"/>
                <w:b w:val="0"/>
                <w:bCs w:val="0"/>
                <w:sz w:val="18"/>
                <w:szCs w:val="18"/>
              </w:rPr>
            </w:pPr>
            <w:r w:rsidRPr="00490522">
              <w:rPr>
                <w:rFonts w:ascii="Gill Sans MT" w:hAnsi="Gill Sans MT"/>
                <w:b w:val="0"/>
                <w:bCs w:val="0"/>
                <w:sz w:val="18"/>
                <w:szCs w:val="18"/>
              </w:rPr>
              <w:t>"</w:t>
            </w:r>
          </w:p>
        </w:tc>
        <w:tc>
          <w:tcPr>
            <w:tcW w:w="1276" w:type="dxa"/>
            <w:vAlign w:val="center"/>
          </w:tcPr>
          <w:p w14:paraId="36DAC17F" w14:textId="77777777" w:rsidR="002B49D4" w:rsidRPr="00843013" w:rsidRDefault="002B49D4" w:rsidP="002B49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Dx16</w:t>
            </w:r>
          </w:p>
        </w:tc>
        <w:tc>
          <w:tcPr>
            <w:tcW w:w="598" w:type="dxa"/>
            <w:vAlign w:val="center"/>
          </w:tcPr>
          <w:p w14:paraId="013DE9B3" w14:textId="77777777" w:rsidR="002B49D4" w:rsidRPr="00843013" w:rsidRDefault="002B49D4" w:rsidP="002B49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50</w:t>
            </w:r>
          </w:p>
        </w:tc>
        <w:tc>
          <w:tcPr>
            <w:tcW w:w="1238" w:type="dxa"/>
            <w:vAlign w:val="center"/>
          </w:tcPr>
          <w:p w14:paraId="3F3B3339" w14:textId="77777777" w:rsidR="002B49D4" w:rsidRPr="00843013" w:rsidRDefault="002B49D4" w:rsidP="002B49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72.54</w:t>
            </w:r>
          </w:p>
        </w:tc>
        <w:tc>
          <w:tcPr>
            <w:tcW w:w="1238" w:type="dxa"/>
            <w:vAlign w:val="center"/>
          </w:tcPr>
          <w:p w14:paraId="5D28D837" w14:textId="77777777" w:rsidR="002B49D4" w:rsidRPr="00843013" w:rsidRDefault="002B49D4" w:rsidP="002B49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72.79</w:t>
            </w:r>
          </w:p>
        </w:tc>
        <w:tc>
          <w:tcPr>
            <w:tcW w:w="1238" w:type="dxa"/>
            <w:vAlign w:val="center"/>
          </w:tcPr>
          <w:p w14:paraId="02FB985E" w14:textId="77777777" w:rsidR="002B49D4" w:rsidRPr="00843013" w:rsidRDefault="002B49D4" w:rsidP="002B49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73.45</w:t>
            </w:r>
          </w:p>
        </w:tc>
        <w:tc>
          <w:tcPr>
            <w:tcW w:w="1238" w:type="dxa"/>
            <w:vAlign w:val="center"/>
          </w:tcPr>
          <w:p w14:paraId="0910EE39" w14:textId="77777777" w:rsidR="002B49D4" w:rsidRPr="00843013" w:rsidRDefault="002B49D4" w:rsidP="002B49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73.52</w:t>
            </w:r>
          </w:p>
        </w:tc>
      </w:tr>
      <w:tr w:rsidR="002B49D4" w:rsidRPr="00843013" w14:paraId="7325E263" w14:textId="77777777" w:rsidTr="002B49D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784E8D0" w14:textId="77777777" w:rsidR="002B49D4" w:rsidRPr="00490522" w:rsidRDefault="002B49D4" w:rsidP="002B49D4">
            <w:pPr>
              <w:spacing w:before="0" w:after="0" w:line="240" w:lineRule="auto"/>
              <w:jc w:val="center"/>
              <w:rPr>
                <w:rFonts w:ascii="Gill Sans MT" w:hAnsi="Gill Sans MT"/>
                <w:b w:val="0"/>
                <w:bCs w:val="0"/>
                <w:sz w:val="18"/>
                <w:szCs w:val="18"/>
              </w:rPr>
            </w:pPr>
            <w:r w:rsidRPr="00490522">
              <w:rPr>
                <w:rFonts w:ascii="Gill Sans MT" w:hAnsi="Gill Sans MT"/>
                <w:b w:val="0"/>
                <w:bCs w:val="0"/>
                <w:sz w:val="18"/>
                <w:szCs w:val="18"/>
              </w:rPr>
              <w:t>ND / Test</w:t>
            </w:r>
          </w:p>
        </w:tc>
        <w:tc>
          <w:tcPr>
            <w:tcW w:w="1276" w:type="dxa"/>
            <w:vAlign w:val="center"/>
          </w:tcPr>
          <w:p w14:paraId="50E43B7E" w14:textId="77777777" w:rsidR="002B49D4" w:rsidRPr="00843013" w:rsidRDefault="002B49D4" w:rsidP="002B49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Dx20</w:t>
            </w:r>
          </w:p>
        </w:tc>
        <w:tc>
          <w:tcPr>
            <w:tcW w:w="598" w:type="dxa"/>
            <w:vAlign w:val="center"/>
          </w:tcPr>
          <w:p w14:paraId="5ECB38FF" w14:textId="77777777" w:rsidR="002B49D4" w:rsidRPr="00843013" w:rsidRDefault="002B49D4" w:rsidP="002B49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18</w:t>
            </w:r>
          </w:p>
        </w:tc>
        <w:tc>
          <w:tcPr>
            <w:tcW w:w="1238" w:type="dxa"/>
            <w:vAlign w:val="center"/>
          </w:tcPr>
          <w:p w14:paraId="355681E1" w14:textId="77777777" w:rsidR="002B49D4" w:rsidRPr="00843013" w:rsidRDefault="002B49D4" w:rsidP="002B49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61.72</w:t>
            </w:r>
          </w:p>
        </w:tc>
        <w:tc>
          <w:tcPr>
            <w:tcW w:w="1238" w:type="dxa"/>
            <w:vAlign w:val="center"/>
          </w:tcPr>
          <w:p w14:paraId="52C15626" w14:textId="77777777" w:rsidR="002B49D4" w:rsidRPr="00843013" w:rsidRDefault="002B49D4" w:rsidP="002B49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62.08</w:t>
            </w:r>
          </w:p>
        </w:tc>
        <w:tc>
          <w:tcPr>
            <w:tcW w:w="1238" w:type="dxa"/>
            <w:vAlign w:val="center"/>
          </w:tcPr>
          <w:p w14:paraId="5E12DF99" w14:textId="77777777" w:rsidR="002B49D4" w:rsidRPr="00843013" w:rsidRDefault="002B49D4" w:rsidP="002B49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62.60</w:t>
            </w:r>
          </w:p>
        </w:tc>
        <w:tc>
          <w:tcPr>
            <w:tcW w:w="1238" w:type="dxa"/>
            <w:vAlign w:val="center"/>
          </w:tcPr>
          <w:p w14:paraId="1518CAB9" w14:textId="77777777" w:rsidR="002B49D4" w:rsidRPr="00843013" w:rsidRDefault="002B49D4" w:rsidP="002B49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63.21</w:t>
            </w:r>
          </w:p>
        </w:tc>
      </w:tr>
      <w:tr w:rsidR="002B49D4" w:rsidRPr="00843013" w14:paraId="4D913D77" w14:textId="77777777" w:rsidTr="002B49D4">
        <w:trPr>
          <w:trHeight w:val="51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F6ADF3D" w14:textId="77777777" w:rsidR="002B49D4" w:rsidRPr="00490522" w:rsidRDefault="002B49D4" w:rsidP="002B49D4">
            <w:pPr>
              <w:spacing w:before="0" w:after="0" w:line="240" w:lineRule="auto"/>
              <w:jc w:val="center"/>
              <w:rPr>
                <w:rFonts w:ascii="Gill Sans MT" w:hAnsi="Gill Sans MT"/>
                <w:b w:val="0"/>
                <w:bCs w:val="0"/>
                <w:sz w:val="18"/>
                <w:szCs w:val="18"/>
              </w:rPr>
            </w:pPr>
            <w:r w:rsidRPr="00490522">
              <w:rPr>
                <w:rFonts w:ascii="Gill Sans MT" w:hAnsi="Gill Sans MT"/>
                <w:b w:val="0"/>
                <w:bCs w:val="0"/>
                <w:sz w:val="18"/>
                <w:szCs w:val="18"/>
              </w:rPr>
              <w:t>"</w:t>
            </w:r>
          </w:p>
        </w:tc>
        <w:tc>
          <w:tcPr>
            <w:tcW w:w="1276" w:type="dxa"/>
            <w:vAlign w:val="center"/>
          </w:tcPr>
          <w:p w14:paraId="1202D099" w14:textId="77777777" w:rsidR="002B49D4" w:rsidRPr="00843013" w:rsidRDefault="002B49D4" w:rsidP="002B49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Dx16</w:t>
            </w:r>
          </w:p>
        </w:tc>
        <w:tc>
          <w:tcPr>
            <w:tcW w:w="598" w:type="dxa"/>
            <w:vAlign w:val="center"/>
          </w:tcPr>
          <w:p w14:paraId="11094238" w14:textId="77777777" w:rsidR="002B49D4" w:rsidRPr="00843013" w:rsidRDefault="002B49D4" w:rsidP="002B49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19</w:t>
            </w:r>
          </w:p>
        </w:tc>
        <w:tc>
          <w:tcPr>
            <w:tcW w:w="1238" w:type="dxa"/>
            <w:vAlign w:val="center"/>
          </w:tcPr>
          <w:p w14:paraId="2B3E2082" w14:textId="77777777" w:rsidR="002B49D4" w:rsidRPr="00843013" w:rsidRDefault="002B49D4" w:rsidP="002B49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63.69</w:t>
            </w:r>
          </w:p>
        </w:tc>
        <w:tc>
          <w:tcPr>
            <w:tcW w:w="1238" w:type="dxa"/>
            <w:vAlign w:val="center"/>
          </w:tcPr>
          <w:p w14:paraId="0971DD9E" w14:textId="77777777" w:rsidR="002B49D4" w:rsidRPr="00843013" w:rsidRDefault="002B49D4" w:rsidP="002B49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63.68</w:t>
            </w:r>
          </w:p>
        </w:tc>
        <w:tc>
          <w:tcPr>
            <w:tcW w:w="1238" w:type="dxa"/>
            <w:vAlign w:val="center"/>
          </w:tcPr>
          <w:p w14:paraId="704FA753" w14:textId="77777777" w:rsidR="002B49D4" w:rsidRPr="00843013" w:rsidRDefault="002B49D4" w:rsidP="002B49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64.46</w:t>
            </w:r>
          </w:p>
        </w:tc>
        <w:tc>
          <w:tcPr>
            <w:tcW w:w="1238" w:type="dxa"/>
            <w:vAlign w:val="center"/>
          </w:tcPr>
          <w:p w14:paraId="3AD30C72" w14:textId="77777777" w:rsidR="002B49D4" w:rsidRPr="00843013" w:rsidRDefault="002B49D4" w:rsidP="002B49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65.95</w:t>
            </w:r>
          </w:p>
        </w:tc>
      </w:tr>
      <w:tr w:rsidR="002B49D4" w:rsidRPr="00843013" w14:paraId="53C0A55F" w14:textId="77777777" w:rsidTr="002B49D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7EFE614" w14:textId="77777777" w:rsidR="002B49D4" w:rsidRPr="00490522" w:rsidRDefault="002B49D4" w:rsidP="002B49D4">
            <w:pPr>
              <w:spacing w:before="0" w:after="0" w:line="240" w:lineRule="auto"/>
              <w:jc w:val="center"/>
              <w:rPr>
                <w:rFonts w:ascii="Gill Sans MT" w:hAnsi="Gill Sans MT"/>
                <w:b w:val="0"/>
                <w:bCs w:val="0"/>
                <w:sz w:val="18"/>
                <w:szCs w:val="18"/>
              </w:rPr>
            </w:pPr>
            <w:r w:rsidRPr="00490522">
              <w:rPr>
                <w:rFonts w:ascii="Gill Sans MT" w:hAnsi="Gill Sans MT"/>
                <w:b w:val="0"/>
                <w:bCs w:val="0"/>
                <w:sz w:val="18"/>
                <w:szCs w:val="18"/>
              </w:rPr>
              <w:t>DI / Control</w:t>
            </w:r>
          </w:p>
        </w:tc>
        <w:tc>
          <w:tcPr>
            <w:tcW w:w="1276" w:type="dxa"/>
            <w:vAlign w:val="center"/>
          </w:tcPr>
          <w:p w14:paraId="295A8407" w14:textId="77777777" w:rsidR="002B49D4" w:rsidRPr="00843013" w:rsidRDefault="002B49D4" w:rsidP="002B49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Dx20</w:t>
            </w:r>
          </w:p>
        </w:tc>
        <w:tc>
          <w:tcPr>
            <w:tcW w:w="598" w:type="dxa"/>
            <w:vAlign w:val="center"/>
          </w:tcPr>
          <w:p w14:paraId="1087D690" w14:textId="77777777" w:rsidR="002B49D4" w:rsidRPr="00843013" w:rsidRDefault="002B49D4" w:rsidP="002B49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40</w:t>
            </w:r>
          </w:p>
        </w:tc>
        <w:tc>
          <w:tcPr>
            <w:tcW w:w="1238" w:type="dxa"/>
            <w:vAlign w:val="center"/>
          </w:tcPr>
          <w:p w14:paraId="463F19DE" w14:textId="77777777" w:rsidR="002B49D4" w:rsidRPr="00843013" w:rsidRDefault="002B49D4" w:rsidP="002B49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58.05</w:t>
            </w:r>
          </w:p>
        </w:tc>
        <w:tc>
          <w:tcPr>
            <w:tcW w:w="1238" w:type="dxa"/>
            <w:vAlign w:val="center"/>
          </w:tcPr>
          <w:p w14:paraId="7DD04564" w14:textId="77777777" w:rsidR="002B49D4" w:rsidRPr="00843013" w:rsidRDefault="002B49D4" w:rsidP="002B49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57.92</w:t>
            </w:r>
          </w:p>
        </w:tc>
        <w:tc>
          <w:tcPr>
            <w:tcW w:w="1238" w:type="dxa"/>
            <w:vAlign w:val="center"/>
          </w:tcPr>
          <w:p w14:paraId="3A03152C" w14:textId="77777777" w:rsidR="002B49D4" w:rsidRPr="00843013" w:rsidRDefault="002B49D4" w:rsidP="002B49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59.20</w:t>
            </w:r>
          </w:p>
        </w:tc>
        <w:tc>
          <w:tcPr>
            <w:tcW w:w="1238" w:type="dxa"/>
            <w:vAlign w:val="center"/>
          </w:tcPr>
          <w:p w14:paraId="23501EF7" w14:textId="77777777" w:rsidR="002B49D4" w:rsidRPr="00843013" w:rsidRDefault="002B49D4" w:rsidP="002B49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60.83</w:t>
            </w:r>
          </w:p>
        </w:tc>
      </w:tr>
      <w:tr w:rsidR="002B49D4" w:rsidRPr="00843013" w14:paraId="10D2F277" w14:textId="77777777" w:rsidTr="002B49D4">
        <w:trPr>
          <w:trHeight w:val="51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0951DD5" w14:textId="77777777" w:rsidR="002B49D4" w:rsidRPr="00490522" w:rsidRDefault="002B49D4" w:rsidP="002B49D4">
            <w:pPr>
              <w:spacing w:before="0" w:after="0" w:line="240" w:lineRule="auto"/>
              <w:jc w:val="center"/>
              <w:rPr>
                <w:rFonts w:ascii="Gill Sans MT" w:hAnsi="Gill Sans MT"/>
                <w:b w:val="0"/>
                <w:bCs w:val="0"/>
                <w:sz w:val="18"/>
                <w:szCs w:val="18"/>
              </w:rPr>
            </w:pPr>
            <w:r w:rsidRPr="00490522">
              <w:rPr>
                <w:rFonts w:ascii="Gill Sans MT" w:hAnsi="Gill Sans MT"/>
                <w:b w:val="0"/>
                <w:bCs w:val="0"/>
                <w:sz w:val="18"/>
                <w:szCs w:val="18"/>
              </w:rPr>
              <w:t>"</w:t>
            </w:r>
          </w:p>
        </w:tc>
        <w:tc>
          <w:tcPr>
            <w:tcW w:w="1276" w:type="dxa"/>
            <w:vAlign w:val="center"/>
          </w:tcPr>
          <w:p w14:paraId="13A63293" w14:textId="77777777" w:rsidR="002B49D4" w:rsidRPr="00843013" w:rsidRDefault="002B49D4" w:rsidP="002B49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Dx16</w:t>
            </w:r>
          </w:p>
        </w:tc>
        <w:tc>
          <w:tcPr>
            <w:tcW w:w="598" w:type="dxa"/>
            <w:vAlign w:val="center"/>
          </w:tcPr>
          <w:p w14:paraId="69EEDBBC" w14:textId="77777777" w:rsidR="002B49D4" w:rsidRPr="00843013" w:rsidRDefault="002B49D4" w:rsidP="002B49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43</w:t>
            </w:r>
          </w:p>
        </w:tc>
        <w:tc>
          <w:tcPr>
            <w:tcW w:w="1238" w:type="dxa"/>
            <w:vAlign w:val="center"/>
          </w:tcPr>
          <w:p w14:paraId="0B70AD31" w14:textId="77777777" w:rsidR="002B49D4" w:rsidRPr="00843013" w:rsidRDefault="002B49D4" w:rsidP="002B49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57.94</w:t>
            </w:r>
          </w:p>
        </w:tc>
        <w:tc>
          <w:tcPr>
            <w:tcW w:w="1238" w:type="dxa"/>
            <w:vAlign w:val="center"/>
          </w:tcPr>
          <w:p w14:paraId="7CB0E7DF" w14:textId="77777777" w:rsidR="002B49D4" w:rsidRPr="00843013" w:rsidRDefault="002B49D4" w:rsidP="002B49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57.83</w:t>
            </w:r>
          </w:p>
        </w:tc>
        <w:tc>
          <w:tcPr>
            <w:tcW w:w="1238" w:type="dxa"/>
            <w:vAlign w:val="center"/>
          </w:tcPr>
          <w:p w14:paraId="29BC4342" w14:textId="77777777" w:rsidR="002B49D4" w:rsidRPr="00843013" w:rsidRDefault="002B49D4" w:rsidP="002B49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59.17</w:t>
            </w:r>
          </w:p>
        </w:tc>
        <w:tc>
          <w:tcPr>
            <w:tcW w:w="1238" w:type="dxa"/>
            <w:vAlign w:val="center"/>
          </w:tcPr>
          <w:p w14:paraId="366D0E86" w14:textId="77777777" w:rsidR="002B49D4" w:rsidRPr="00843013" w:rsidRDefault="002B49D4" w:rsidP="002B49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60.53</w:t>
            </w:r>
          </w:p>
        </w:tc>
      </w:tr>
    </w:tbl>
    <w:p w14:paraId="518AA685" w14:textId="77777777" w:rsidR="001571BF" w:rsidRDefault="001571BF" w:rsidP="00BC295E">
      <w:pPr>
        <w:pStyle w:val="Tables"/>
        <w:spacing w:before="0"/>
      </w:pPr>
    </w:p>
    <w:p w14:paraId="04021F27" w14:textId="7FDDECAE" w:rsidR="00FB2E2E" w:rsidRDefault="002B49D4" w:rsidP="00BC295E">
      <w:pPr>
        <w:pStyle w:val="Tables"/>
        <w:spacing w:before="0"/>
      </w:pPr>
      <w:bookmarkStart w:id="210" w:name="_Toc57033193"/>
      <w:r>
        <w:t>Table 1</w:t>
      </w:r>
      <w:r w:rsidR="0063711A">
        <w:t>4</w:t>
      </w:r>
      <w:r>
        <w:t>:</w:t>
      </w:r>
      <w:r>
        <w:tab/>
        <w:t>Summary of ABC mean values by research group and subgroup according to ABC, and Dx scales</w:t>
      </w:r>
      <w:bookmarkEnd w:id="210"/>
    </w:p>
    <w:p w14:paraId="264BD072" w14:textId="77777777" w:rsidR="002B49D4" w:rsidRPr="00BC295E" w:rsidRDefault="002B49D4" w:rsidP="00BC295E">
      <w:pPr>
        <w:pStyle w:val="Tables"/>
        <w:spacing w:before="0"/>
      </w:pPr>
    </w:p>
    <w:tbl>
      <w:tblPr>
        <w:tblStyle w:val="GridTable5Dark-Accent1"/>
        <w:tblW w:w="0" w:type="auto"/>
        <w:jc w:val="center"/>
        <w:tblLook w:val="04A0" w:firstRow="1" w:lastRow="0" w:firstColumn="1" w:lastColumn="0" w:noHBand="0" w:noVBand="1"/>
      </w:tblPr>
      <w:tblGrid>
        <w:gridCol w:w="1169"/>
        <w:gridCol w:w="953"/>
        <w:gridCol w:w="817"/>
        <w:gridCol w:w="818"/>
        <w:gridCol w:w="818"/>
        <w:gridCol w:w="818"/>
        <w:gridCol w:w="817"/>
        <w:gridCol w:w="818"/>
        <w:gridCol w:w="818"/>
        <w:gridCol w:w="818"/>
      </w:tblGrid>
      <w:tr w:rsidR="00E40A22" w:rsidRPr="00843013" w14:paraId="21A48A08" w14:textId="68C7EA61" w:rsidTr="009A27D7">
        <w:trPr>
          <w:cnfStyle w:val="100000000000" w:firstRow="1" w:lastRow="0" w:firstColumn="0" w:lastColumn="0" w:oddVBand="0" w:evenVBand="0" w:oddHBand="0" w:evenHBand="0" w:firstRowFirstColumn="0" w:firstRowLastColumn="0" w:lastRowFirstColumn="0" w:lastRowLastColumn="0"/>
          <w:cantSplit/>
          <w:trHeight w:val="929"/>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5DFC1979" w14:textId="677B9B79" w:rsidR="00E40A22" w:rsidRPr="00490522" w:rsidRDefault="00E40A22" w:rsidP="00295B4A">
            <w:pPr>
              <w:spacing w:before="0" w:after="0" w:line="240" w:lineRule="auto"/>
              <w:jc w:val="center"/>
              <w:rPr>
                <w:rFonts w:ascii="Gill Sans MT" w:hAnsi="Gill Sans MT"/>
                <w:b w:val="0"/>
                <w:bCs w:val="0"/>
                <w:sz w:val="18"/>
                <w:szCs w:val="18"/>
              </w:rPr>
            </w:pPr>
            <w:r w:rsidRPr="00490522">
              <w:rPr>
                <w:rFonts w:ascii="Gill Sans MT" w:hAnsi="Gill Sans MT"/>
                <w:b w:val="0"/>
                <w:bCs w:val="0"/>
                <w:sz w:val="18"/>
                <w:szCs w:val="18"/>
              </w:rPr>
              <w:t>ABC Scale</w:t>
            </w:r>
          </w:p>
        </w:tc>
        <w:tc>
          <w:tcPr>
            <w:tcW w:w="953" w:type="dxa"/>
            <w:vAlign w:val="center"/>
          </w:tcPr>
          <w:p w14:paraId="2B6A1F69" w14:textId="14A18250" w:rsidR="00E40A22" w:rsidRPr="00490522" w:rsidRDefault="00E40A22" w:rsidP="00295B4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490522">
              <w:rPr>
                <w:rFonts w:ascii="Gill Sans MT" w:hAnsi="Gill Sans MT"/>
                <w:b w:val="0"/>
                <w:bCs w:val="0"/>
                <w:sz w:val="18"/>
                <w:szCs w:val="18"/>
              </w:rPr>
              <w:t>Dx</w:t>
            </w:r>
            <w:r w:rsidR="00295B4A" w:rsidRPr="00490522">
              <w:rPr>
                <w:rFonts w:ascii="Gill Sans MT" w:hAnsi="Gill Sans MT"/>
                <w:b w:val="0"/>
                <w:bCs w:val="0"/>
                <w:sz w:val="18"/>
                <w:szCs w:val="18"/>
              </w:rPr>
              <w:t>20</w:t>
            </w:r>
            <w:r w:rsidRPr="00490522">
              <w:rPr>
                <w:rFonts w:ascii="Gill Sans MT" w:hAnsi="Gill Sans MT"/>
                <w:b w:val="0"/>
                <w:bCs w:val="0"/>
                <w:sz w:val="18"/>
                <w:szCs w:val="18"/>
              </w:rPr>
              <w:t xml:space="preserve"> Scale: group / subgroup</w:t>
            </w:r>
          </w:p>
        </w:tc>
        <w:tc>
          <w:tcPr>
            <w:tcW w:w="817" w:type="dxa"/>
            <w:textDirection w:val="btLr"/>
            <w:vAlign w:val="center"/>
          </w:tcPr>
          <w:p w14:paraId="2143BA91" w14:textId="3D8C9F1C" w:rsidR="00E40A22" w:rsidRPr="00490522" w:rsidRDefault="00E40A22" w:rsidP="00E40A22">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490522">
              <w:rPr>
                <w:rFonts w:ascii="Gill Sans MT" w:hAnsi="Gill Sans MT"/>
                <w:b w:val="0"/>
                <w:bCs w:val="0"/>
                <w:sz w:val="18"/>
                <w:szCs w:val="18"/>
              </w:rPr>
              <w:t>ABC24 Group DI</w:t>
            </w:r>
          </w:p>
        </w:tc>
        <w:tc>
          <w:tcPr>
            <w:tcW w:w="818" w:type="dxa"/>
            <w:textDirection w:val="btLr"/>
            <w:vAlign w:val="center"/>
          </w:tcPr>
          <w:p w14:paraId="3E5901BA" w14:textId="63B2C5A5" w:rsidR="00E40A22" w:rsidRPr="00490522" w:rsidRDefault="00E40A22" w:rsidP="00E40A22">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490522">
              <w:rPr>
                <w:rFonts w:ascii="Gill Sans MT" w:hAnsi="Gill Sans MT"/>
                <w:b w:val="0"/>
                <w:bCs w:val="0"/>
                <w:sz w:val="18"/>
                <w:szCs w:val="18"/>
              </w:rPr>
              <w:t>ABC 24 Control</w:t>
            </w:r>
          </w:p>
        </w:tc>
        <w:tc>
          <w:tcPr>
            <w:tcW w:w="818" w:type="dxa"/>
            <w:textDirection w:val="btLr"/>
            <w:vAlign w:val="center"/>
          </w:tcPr>
          <w:p w14:paraId="77A4071F" w14:textId="54A1EDA2" w:rsidR="00E40A22" w:rsidRPr="00490522" w:rsidRDefault="00E40A22" w:rsidP="00E40A22">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490522">
              <w:rPr>
                <w:rFonts w:ascii="Gill Sans MT" w:hAnsi="Gill Sans MT"/>
                <w:b w:val="0"/>
                <w:bCs w:val="0"/>
                <w:sz w:val="18"/>
                <w:szCs w:val="18"/>
              </w:rPr>
              <w:t>ABC17 Group DI</w:t>
            </w:r>
          </w:p>
        </w:tc>
        <w:tc>
          <w:tcPr>
            <w:tcW w:w="818" w:type="dxa"/>
            <w:textDirection w:val="btLr"/>
            <w:vAlign w:val="center"/>
          </w:tcPr>
          <w:p w14:paraId="6AB22632" w14:textId="36FC8821" w:rsidR="00E40A22" w:rsidRPr="00490522" w:rsidRDefault="00E40A22" w:rsidP="00E40A22">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490522">
              <w:rPr>
                <w:rFonts w:ascii="Gill Sans MT" w:hAnsi="Gill Sans MT"/>
                <w:b w:val="0"/>
                <w:bCs w:val="0"/>
                <w:sz w:val="18"/>
                <w:szCs w:val="18"/>
              </w:rPr>
              <w:t>ABC17 Control</w:t>
            </w:r>
          </w:p>
        </w:tc>
        <w:tc>
          <w:tcPr>
            <w:tcW w:w="817" w:type="dxa"/>
            <w:textDirection w:val="btLr"/>
            <w:vAlign w:val="center"/>
          </w:tcPr>
          <w:p w14:paraId="4F7048C5" w14:textId="364AEA3C" w:rsidR="00E40A22" w:rsidRPr="00490522" w:rsidRDefault="00E40A22" w:rsidP="00E40A22">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490522">
              <w:rPr>
                <w:rFonts w:ascii="Gill Sans MT" w:hAnsi="Gill Sans MT"/>
                <w:b w:val="0"/>
                <w:bCs w:val="0"/>
                <w:sz w:val="18"/>
                <w:szCs w:val="18"/>
              </w:rPr>
              <w:t>ABC21-L Group DI</w:t>
            </w:r>
          </w:p>
        </w:tc>
        <w:tc>
          <w:tcPr>
            <w:tcW w:w="818" w:type="dxa"/>
            <w:textDirection w:val="btLr"/>
            <w:vAlign w:val="center"/>
          </w:tcPr>
          <w:p w14:paraId="4173FDC5" w14:textId="7CCFEC9C" w:rsidR="00E40A22" w:rsidRPr="00490522" w:rsidRDefault="00E40A22" w:rsidP="00E40A22">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490522">
              <w:rPr>
                <w:rFonts w:ascii="Gill Sans MT" w:hAnsi="Gill Sans MT"/>
                <w:b w:val="0"/>
                <w:bCs w:val="0"/>
                <w:sz w:val="18"/>
                <w:szCs w:val="18"/>
              </w:rPr>
              <w:t>ABC21-L Control</w:t>
            </w:r>
          </w:p>
        </w:tc>
        <w:tc>
          <w:tcPr>
            <w:tcW w:w="818" w:type="dxa"/>
            <w:textDirection w:val="btLr"/>
            <w:vAlign w:val="center"/>
          </w:tcPr>
          <w:p w14:paraId="6BCE8968" w14:textId="04B6A5B5" w:rsidR="00E40A22" w:rsidRPr="00490522" w:rsidRDefault="00E40A22" w:rsidP="00E40A22">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490522">
              <w:rPr>
                <w:rFonts w:ascii="Gill Sans MT" w:hAnsi="Gill Sans MT"/>
                <w:b w:val="0"/>
                <w:bCs w:val="0"/>
                <w:sz w:val="18"/>
                <w:szCs w:val="18"/>
              </w:rPr>
              <w:t>ABC17-L Group DI</w:t>
            </w:r>
          </w:p>
        </w:tc>
        <w:tc>
          <w:tcPr>
            <w:tcW w:w="818" w:type="dxa"/>
            <w:textDirection w:val="btLr"/>
            <w:vAlign w:val="center"/>
          </w:tcPr>
          <w:p w14:paraId="58778525" w14:textId="6BE9F366" w:rsidR="00E40A22" w:rsidRPr="00490522" w:rsidRDefault="00E40A22" w:rsidP="00E40A22">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490522">
              <w:rPr>
                <w:rFonts w:ascii="Gill Sans MT" w:hAnsi="Gill Sans MT"/>
                <w:b w:val="0"/>
                <w:bCs w:val="0"/>
                <w:sz w:val="18"/>
                <w:szCs w:val="18"/>
              </w:rPr>
              <w:t>ABC17-L Control</w:t>
            </w:r>
          </w:p>
        </w:tc>
      </w:tr>
      <w:tr w:rsidR="00E40A22" w:rsidRPr="00843013" w14:paraId="6F37B828" w14:textId="7C3BCA95" w:rsidTr="00295B4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40500DED" w14:textId="18A80E2D" w:rsidR="00E40A22" w:rsidRPr="00843013" w:rsidRDefault="00E40A22" w:rsidP="00295B4A">
            <w:pPr>
              <w:spacing w:before="0" w:after="0" w:line="240" w:lineRule="auto"/>
              <w:jc w:val="center"/>
              <w:rPr>
                <w:rFonts w:ascii="Gill Sans MT" w:hAnsi="Gill Sans MT"/>
                <w:b w:val="0"/>
                <w:bCs w:val="0"/>
              </w:rPr>
            </w:pPr>
            <w:r>
              <w:rPr>
                <w:rFonts w:ascii="Gill Sans MT" w:hAnsi="Gill Sans MT"/>
                <w:b w:val="0"/>
                <w:bCs w:val="0"/>
              </w:rPr>
              <w:t>ABC24</w:t>
            </w:r>
          </w:p>
        </w:tc>
        <w:tc>
          <w:tcPr>
            <w:tcW w:w="953" w:type="dxa"/>
            <w:vAlign w:val="center"/>
          </w:tcPr>
          <w:p w14:paraId="5A331FB4" w14:textId="38411C31"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Group ND</w:t>
            </w:r>
          </w:p>
        </w:tc>
        <w:tc>
          <w:tcPr>
            <w:tcW w:w="817" w:type="dxa"/>
            <w:vAlign w:val="center"/>
          </w:tcPr>
          <w:p w14:paraId="765417BA" w14:textId="6A2FE473" w:rsidR="00E40A22"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0.604</w:t>
            </w:r>
          </w:p>
        </w:tc>
        <w:tc>
          <w:tcPr>
            <w:tcW w:w="818" w:type="dxa"/>
            <w:vAlign w:val="center"/>
          </w:tcPr>
          <w:p w14:paraId="131F2486" w14:textId="7281797D"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2CC8D62A" w14:textId="63DEB98E"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2FCCC68D" w14:textId="72312ED6"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7" w:type="dxa"/>
            <w:vAlign w:val="center"/>
          </w:tcPr>
          <w:p w14:paraId="5DE9D907" w14:textId="118D3B86"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0E417AC4" w14:textId="77777777" w:rsidR="00E40A22" w:rsidRPr="00295B4A" w:rsidRDefault="00E40A22" w:rsidP="00E40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077A8478" w14:textId="77777777" w:rsidR="00E40A22" w:rsidRPr="00295B4A" w:rsidRDefault="00E40A22" w:rsidP="00E40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1CD7B6C9" w14:textId="77777777" w:rsidR="00E40A22" w:rsidRPr="00295B4A" w:rsidRDefault="00E40A22" w:rsidP="00E40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E40A22" w:rsidRPr="00843013" w14:paraId="28C37CE3" w14:textId="1A8BEBDA" w:rsidTr="00295B4A">
        <w:trPr>
          <w:trHeight w:val="397"/>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47A0D5D6" w14:textId="6E72C116" w:rsidR="00E40A22" w:rsidRPr="00843013" w:rsidRDefault="00E40A22" w:rsidP="00295B4A">
            <w:pPr>
              <w:spacing w:before="0" w:after="0" w:line="240" w:lineRule="auto"/>
              <w:jc w:val="center"/>
              <w:rPr>
                <w:rFonts w:ascii="Gill Sans MT" w:hAnsi="Gill Sans MT"/>
                <w:b w:val="0"/>
                <w:bCs w:val="0"/>
              </w:rPr>
            </w:pPr>
          </w:p>
        </w:tc>
        <w:tc>
          <w:tcPr>
            <w:tcW w:w="953" w:type="dxa"/>
            <w:vAlign w:val="center"/>
          </w:tcPr>
          <w:p w14:paraId="00383D9A" w14:textId="347DC5A6"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Base</w:t>
            </w:r>
          </w:p>
        </w:tc>
        <w:tc>
          <w:tcPr>
            <w:tcW w:w="817" w:type="dxa"/>
            <w:vAlign w:val="center"/>
          </w:tcPr>
          <w:p w14:paraId="089FDBAB" w14:textId="15601EA3"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77BAF4BA" w14:textId="5E2A803F" w:rsidR="00E40A22"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1.027</w:t>
            </w:r>
          </w:p>
        </w:tc>
        <w:tc>
          <w:tcPr>
            <w:tcW w:w="818" w:type="dxa"/>
            <w:vAlign w:val="center"/>
          </w:tcPr>
          <w:p w14:paraId="5A4B8855" w14:textId="157B3E60"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1EBA10DA" w14:textId="5C6B251A"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7" w:type="dxa"/>
            <w:vAlign w:val="center"/>
          </w:tcPr>
          <w:p w14:paraId="63254B38" w14:textId="7D987270"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45710613" w14:textId="77777777" w:rsidR="00E40A22" w:rsidRPr="00295B4A" w:rsidRDefault="00E40A22" w:rsidP="00E40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54D7188D" w14:textId="77777777" w:rsidR="00E40A22" w:rsidRPr="00295B4A" w:rsidRDefault="00E40A22" w:rsidP="00E40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04E3D1D5" w14:textId="77777777" w:rsidR="00E40A22" w:rsidRPr="00295B4A" w:rsidRDefault="00E40A22" w:rsidP="00E40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E40A22" w:rsidRPr="00843013" w14:paraId="1FEB9271" w14:textId="32F57E5E" w:rsidTr="00295B4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6E9AC643" w14:textId="43665590" w:rsidR="00E40A22" w:rsidRPr="00843013" w:rsidRDefault="00E40A22" w:rsidP="00295B4A">
            <w:pPr>
              <w:spacing w:before="0" w:after="0" w:line="240" w:lineRule="auto"/>
              <w:jc w:val="center"/>
              <w:rPr>
                <w:rFonts w:ascii="Gill Sans MT" w:hAnsi="Gill Sans MT"/>
                <w:b w:val="0"/>
                <w:bCs w:val="0"/>
              </w:rPr>
            </w:pPr>
          </w:p>
        </w:tc>
        <w:tc>
          <w:tcPr>
            <w:tcW w:w="953" w:type="dxa"/>
            <w:vAlign w:val="center"/>
          </w:tcPr>
          <w:p w14:paraId="42B4E237" w14:textId="3406646D"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Test</w:t>
            </w:r>
          </w:p>
        </w:tc>
        <w:tc>
          <w:tcPr>
            <w:tcW w:w="817" w:type="dxa"/>
            <w:vAlign w:val="center"/>
          </w:tcPr>
          <w:p w14:paraId="305724C9" w14:textId="65DB7C53"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1A2AED77" w14:textId="11BC5DC3" w:rsidR="00E40A22"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0.242</w:t>
            </w:r>
          </w:p>
        </w:tc>
        <w:tc>
          <w:tcPr>
            <w:tcW w:w="818" w:type="dxa"/>
            <w:vAlign w:val="center"/>
          </w:tcPr>
          <w:p w14:paraId="7BE4BBC7" w14:textId="01402C6B"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1104C16C" w14:textId="3D9466FF"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7" w:type="dxa"/>
            <w:vAlign w:val="center"/>
          </w:tcPr>
          <w:p w14:paraId="7E7D1716" w14:textId="1E1242AB"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352439C8" w14:textId="77777777" w:rsidR="00E40A22" w:rsidRPr="00295B4A" w:rsidRDefault="00E40A22" w:rsidP="00E40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5468884C" w14:textId="77777777" w:rsidR="00E40A22" w:rsidRPr="00295B4A" w:rsidRDefault="00E40A22" w:rsidP="00E40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0EFDB983" w14:textId="77777777" w:rsidR="00E40A22" w:rsidRPr="00295B4A" w:rsidRDefault="00E40A22" w:rsidP="00E40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E40A22" w:rsidRPr="00843013" w14:paraId="5D864CF8" w14:textId="36C29681" w:rsidTr="00295B4A">
        <w:trPr>
          <w:trHeight w:val="397"/>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2B5DBED0" w14:textId="0E96FF33" w:rsidR="00E40A22" w:rsidRPr="00843013" w:rsidRDefault="00E40A22" w:rsidP="00295B4A">
            <w:pPr>
              <w:spacing w:before="0" w:after="0" w:line="240" w:lineRule="auto"/>
              <w:jc w:val="center"/>
              <w:rPr>
                <w:rFonts w:ascii="Gill Sans MT" w:hAnsi="Gill Sans MT"/>
                <w:b w:val="0"/>
                <w:bCs w:val="0"/>
              </w:rPr>
            </w:pPr>
            <w:r>
              <w:rPr>
                <w:rFonts w:ascii="Gill Sans MT" w:hAnsi="Gill Sans MT"/>
                <w:b w:val="0"/>
                <w:bCs w:val="0"/>
              </w:rPr>
              <w:t>ABC17</w:t>
            </w:r>
          </w:p>
        </w:tc>
        <w:tc>
          <w:tcPr>
            <w:tcW w:w="953" w:type="dxa"/>
            <w:vAlign w:val="center"/>
          </w:tcPr>
          <w:p w14:paraId="466DE929" w14:textId="7C4B081D"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Group ND</w:t>
            </w:r>
          </w:p>
        </w:tc>
        <w:tc>
          <w:tcPr>
            <w:tcW w:w="817" w:type="dxa"/>
            <w:vAlign w:val="center"/>
          </w:tcPr>
          <w:p w14:paraId="01969B32" w14:textId="48FE8800"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09CC83B7" w14:textId="45C8F226"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05E5BFF4" w14:textId="4E139309" w:rsidR="00E40A22"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0.621</w:t>
            </w:r>
          </w:p>
        </w:tc>
        <w:tc>
          <w:tcPr>
            <w:tcW w:w="818" w:type="dxa"/>
            <w:vAlign w:val="center"/>
          </w:tcPr>
          <w:p w14:paraId="5A01A2A8" w14:textId="06896ED5"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7" w:type="dxa"/>
            <w:vAlign w:val="center"/>
          </w:tcPr>
          <w:p w14:paraId="0BC9F345" w14:textId="40C5FD0B"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522692E7" w14:textId="77777777" w:rsidR="00E40A22" w:rsidRPr="00295B4A" w:rsidRDefault="00E40A22" w:rsidP="00E40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75472C07" w14:textId="77777777" w:rsidR="00E40A22" w:rsidRPr="00295B4A" w:rsidRDefault="00E40A22" w:rsidP="00E40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6214AA61" w14:textId="77777777" w:rsidR="00E40A22" w:rsidRPr="00295B4A" w:rsidRDefault="00E40A22" w:rsidP="00E40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E40A22" w:rsidRPr="00843013" w14:paraId="62C7FD10" w14:textId="4DD92B12" w:rsidTr="00295B4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0443BB10" w14:textId="77278FA5" w:rsidR="00E40A22" w:rsidRPr="00843013" w:rsidRDefault="00E40A22" w:rsidP="00295B4A">
            <w:pPr>
              <w:spacing w:before="0" w:after="0" w:line="240" w:lineRule="auto"/>
              <w:jc w:val="center"/>
              <w:rPr>
                <w:rFonts w:ascii="Gill Sans MT" w:hAnsi="Gill Sans MT"/>
                <w:b w:val="0"/>
                <w:bCs w:val="0"/>
              </w:rPr>
            </w:pPr>
          </w:p>
        </w:tc>
        <w:tc>
          <w:tcPr>
            <w:tcW w:w="953" w:type="dxa"/>
            <w:vAlign w:val="center"/>
          </w:tcPr>
          <w:p w14:paraId="356BF6AE" w14:textId="4C2DE59C"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Base</w:t>
            </w:r>
          </w:p>
        </w:tc>
        <w:tc>
          <w:tcPr>
            <w:tcW w:w="817" w:type="dxa"/>
            <w:vAlign w:val="center"/>
          </w:tcPr>
          <w:p w14:paraId="09E34EF3" w14:textId="71D77B46"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70587CAB" w14:textId="745812D5"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0DB39566" w14:textId="7075DACE"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3D772579" w14:textId="19792847" w:rsidR="00E40A22"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1.029</w:t>
            </w:r>
          </w:p>
        </w:tc>
        <w:tc>
          <w:tcPr>
            <w:tcW w:w="817" w:type="dxa"/>
            <w:vAlign w:val="center"/>
          </w:tcPr>
          <w:p w14:paraId="1EE56E5F" w14:textId="0AF813A4"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7326F2FA" w14:textId="77777777" w:rsidR="00E40A22" w:rsidRPr="00295B4A" w:rsidRDefault="00E40A22" w:rsidP="00E40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7533698E" w14:textId="77777777" w:rsidR="00E40A22" w:rsidRPr="00295B4A" w:rsidRDefault="00E40A22" w:rsidP="00E40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1F563798" w14:textId="77777777" w:rsidR="00E40A22" w:rsidRPr="00295B4A" w:rsidRDefault="00E40A22" w:rsidP="00E40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E40A22" w:rsidRPr="00843013" w14:paraId="1F895A45" w14:textId="499F84D4" w:rsidTr="00295B4A">
        <w:trPr>
          <w:trHeight w:val="397"/>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2D4444C0" w14:textId="43BEAE58" w:rsidR="00E40A22" w:rsidRPr="00843013" w:rsidRDefault="00E40A22" w:rsidP="00295B4A">
            <w:pPr>
              <w:spacing w:before="0" w:after="0" w:line="240" w:lineRule="auto"/>
              <w:jc w:val="center"/>
              <w:rPr>
                <w:rFonts w:ascii="Gill Sans MT" w:hAnsi="Gill Sans MT"/>
                <w:b w:val="0"/>
                <w:bCs w:val="0"/>
              </w:rPr>
            </w:pPr>
          </w:p>
        </w:tc>
        <w:tc>
          <w:tcPr>
            <w:tcW w:w="953" w:type="dxa"/>
            <w:vAlign w:val="center"/>
          </w:tcPr>
          <w:p w14:paraId="2F0E4FD8" w14:textId="6B15C78B"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Test</w:t>
            </w:r>
          </w:p>
        </w:tc>
        <w:tc>
          <w:tcPr>
            <w:tcW w:w="817" w:type="dxa"/>
            <w:vAlign w:val="center"/>
          </w:tcPr>
          <w:p w14:paraId="5319DFFE" w14:textId="084C0A04"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22B2FAE7" w14:textId="3302AA4D"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47502B69" w14:textId="1FFFCA5A"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699E3D86" w14:textId="1160CF6E" w:rsidR="00E40A22"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0.268</w:t>
            </w:r>
          </w:p>
        </w:tc>
        <w:tc>
          <w:tcPr>
            <w:tcW w:w="817" w:type="dxa"/>
            <w:vAlign w:val="center"/>
          </w:tcPr>
          <w:p w14:paraId="76AB2A79" w14:textId="29E42F80"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30372CEE" w14:textId="77777777" w:rsidR="00E40A22" w:rsidRPr="00295B4A" w:rsidRDefault="00E40A22" w:rsidP="00E40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59DB2371" w14:textId="77777777" w:rsidR="00E40A22" w:rsidRPr="00295B4A" w:rsidRDefault="00E40A22" w:rsidP="00E40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07B7A537" w14:textId="77777777" w:rsidR="00E40A22" w:rsidRPr="00295B4A" w:rsidRDefault="00E40A22" w:rsidP="00E40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E40A22" w:rsidRPr="00843013" w14:paraId="4BC4BBA7" w14:textId="2B49ED8C" w:rsidTr="00295B4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7358DBB6" w14:textId="218BADC5" w:rsidR="00E40A22" w:rsidRPr="00843013" w:rsidRDefault="00E40A22" w:rsidP="00295B4A">
            <w:pPr>
              <w:spacing w:before="0" w:after="0" w:line="240" w:lineRule="auto"/>
              <w:jc w:val="center"/>
              <w:rPr>
                <w:rFonts w:ascii="Gill Sans MT" w:hAnsi="Gill Sans MT"/>
                <w:b w:val="0"/>
                <w:bCs w:val="0"/>
              </w:rPr>
            </w:pPr>
            <w:r>
              <w:rPr>
                <w:rFonts w:ascii="Gill Sans MT" w:hAnsi="Gill Sans MT"/>
                <w:b w:val="0"/>
                <w:bCs w:val="0"/>
              </w:rPr>
              <w:t>ABC21-L</w:t>
            </w:r>
          </w:p>
        </w:tc>
        <w:tc>
          <w:tcPr>
            <w:tcW w:w="953" w:type="dxa"/>
            <w:vAlign w:val="center"/>
          </w:tcPr>
          <w:p w14:paraId="32F1BC5F" w14:textId="1B8D3904"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Group ND</w:t>
            </w:r>
          </w:p>
        </w:tc>
        <w:tc>
          <w:tcPr>
            <w:tcW w:w="817" w:type="dxa"/>
            <w:vAlign w:val="center"/>
          </w:tcPr>
          <w:p w14:paraId="7ED447AC" w14:textId="5FF94041"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30CE9669" w14:textId="0ECCC048"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006CF69E" w14:textId="109DBF9E"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6F3DAEE9" w14:textId="200C3D70"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7" w:type="dxa"/>
            <w:vAlign w:val="center"/>
          </w:tcPr>
          <w:p w14:paraId="2C6C2499" w14:textId="6CA0BCE0" w:rsidR="00E40A22"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0.598</w:t>
            </w:r>
          </w:p>
        </w:tc>
        <w:tc>
          <w:tcPr>
            <w:tcW w:w="818" w:type="dxa"/>
            <w:vAlign w:val="center"/>
          </w:tcPr>
          <w:p w14:paraId="15A8AEFD" w14:textId="77777777" w:rsidR="00E40A22" w:rsidRPr="00295B4A" w:rsidRDefault="00E40A22" w:rsidP="00E40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560023B2" w14:textId="77777777" w:rsidR="00E40A22" w:rsidRPr="00295B4A" w:rsidRDefault="00E40A22" w:rsidP="00E40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4E2AE109" w14:textId="77777777" w:rsidR="00E40A22" w:rsidRPr="00295B4A" w:rsidRDefault="00E40A22" w:rsidP="00E40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E40A22" w:rsidRPr="00843013" w14:paraId="0D381CDA" w14:textId="5E07F38E" w:rsidTr="00295B4A">
        <w:trPr>
          <w:trHeight w:val="397"/>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555FC6BD" w14:textId="18634E0C" w:rsidR="00E40A22" w:rsidRDefault="00E40A22" w:rsidP="00295B4A">
            <w:pPr>
              <w:spacing w:before="0" w:after="0" w:line="240" w:lineRule="auto"/>
              <w:jc w:val="center"/>
              <w:rPr>
                <w:rFonts w:ascii="Gill Sans MT" w:hAnsi="Gill Sans MT"/>
                <w:b w:val="0"/>
                <w:bCs w:val="0"/>
              </w:rPr>
            </w:pPr>
          </w:p>
        </w:tc>
        <w:tc>
          <w:tcPr>
            <w:tcW w:w="953" w:type="dxa"/>
            <w:vAlign w:val="center"/>
          </w:tcPr>
          <w:p w14:paraId="56582F07" w14:textId="3DD2F401"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Base</w:t>
            </w:r>
          </w:p>
        </w:tc>
        <w:tc>
          <w:tcPr>
            <w:tcW w:w="817" w:type="dxa"/>
            <w:vAlign w:val="center"/>
          </w:tcPr>
          <w:p w14:paraId="10110EBD" w14:textId="6C845C5C"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796F316A" w14:textId="2C770194"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39C797A9" w14:textId="5FD93FF2"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3911F474" w14:textId="4626F6DC"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7" w:type="dxa"/>
            <w:vAlign w:val="center"/>
          </w:tcPr>
          <w:p w14:paraId="00DBD99D" w14:textId="6C85053D"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5F59849B" w14:textId="2975C0C7" w:rsidR="00E40A22" w:rsidRPr="00295B4A" w:rsidRDefault="00295B4A" w:rsidP="00E40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1.034</w:t>
            </w:r>
          </w:p>
        </w:tc>
        <w:tc>
          <w:tcPr>
            <w:tcW w:w="818" w:type="dxa"/>
            <w:vAlign w:val="center"/>
          </w:tcPr>
          <w:p w14:paraId="12B436A7" w14:textId="77777777" w:rsidR="00E40A22" w:rsidRPr="00295B4A" w:rsidRDefault="00E40A22" w:rsidP="00E40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72176DE4" w14:textId="77777777" w:rsidR="00E40A22" w:rsidRPr="00295B4A" w:rsidRDefault="00E40A22" w:rsidP="00E40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E40A22" w:rsidRPr="00843013" w14:paraId="1533AAC9" w14:textId="77777777" w:rsidTr="00295B4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6EC4D426" w14:textId="77777777" w:rsidR="00E40A22" w:rsidRDefault="00E40A22" w:rsidP="00295B4A">
            <w:pPr>
              <w:spacing w:before="0" w:after="0" w:line="240" w:lineRule="auto"/>
              <w:jc w:val="center"/>
              <w:rPr>
                <w:rFonts w:ascii="Gill Sans MT" w:hAnsi="Gill Sans MT"/>
                <w:b w:val="0"/>
                <w:bCs w:val="0"/>
              </w:rPr>
            </w:pPr>
          </w:p>
        </w:tc>
        <w:tc>
          <w:tcPr>
            <w:tcW w:w="953" w:type="dxa"/>
            <w:vAlign w:val="center"/>
          </w:tcPr>
          <w:p w14:paraId="100BBACE" w14:textId="74A17C0C" w:rsidR="00E40A22"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Test</w:t>
            </w:r>
          </w:p>
        </w:tc>
        <w:tc>
          <w:tcPr>
            <w:tcW w:w="817" w:type="dxa"/>
            <w:vAlign w:val="center"/>
          </w:tcPr>
          <w:p w14:paraId="2D0A3433" w14:textId="77777777"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7B814750" w14:textId="77777777"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2999D082" w14:textId="77777777"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0CE0DC3A" w14:textId="77777777"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7" w:type="dxa"/>
            <w:vAlign w:val="center"/>
          </w:tcPr>
          <w:p w14:paraId="296D5E1C" w14:textId="77777777"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63C0251F" w14:textId="19AF4475" w:rsidR="00E40A22" w:rsidRPr="00295B4A" w:rsidRDefault="00295B4A" w:rsidP="00E40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0.226</w:t>
            </w:r>
          </w:p>
        </w:tc>
        <w:tc>
          <w:tcPr>
            <w:tcW w:w="818" w:type="dxa"/>
            <w:vAlign w:val="center"/>
          </w:tcPr>
          <w:p w14:paraId="5D5D0501" w14:textId="77777777" w:rsidR="00E40A22" w:rsidRPr="00295B4A" w:rsidRDefault="00E40A22" w:rsidP="00E40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5495E309" w14:textId="77777777" w:rsidR="00E40A22" w:rsidRPr="00295B4A" w:rsidRDefault="00E40A22" w:rsidP="00E40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E40A22" w:rsidRPr="00843013" w14:paraId="1982FB6A" w14:textId="77777777" w:rsidTr="00295B4A">
        <w:trPr>
          <w:trHeight w:val="397"/>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3FD9E1FC" w14:textId="6D32D6F4" w:rsidR="00E40A22" w:rsidRDefault="00295B4A" w:rsidP="00295B4A">
            <w:pPr>
              <w:spacing w:before="0" w:after="0" w:line="240" w:lineRule="auto"/>
              <w:jc w:val="center"/>
              <w:rPr>
                <w:rFonts w:ascii="Gill Sans MT" w:hAnsi="Gill Sans MT"/>
                <w:b w:val="0"/>
                <w:bCs w:val="0"/>
              </w:rPr>
            </w:pPr>
            <w:r>
              <w:rPr>
                <w:rFonts w:ascii="Gill Sans MT" w:hAnsi="Gill Sans MT"/>
                <w:b w:val="0"/>
                <w:bCs w:val="0"/>
              </w:rPr>
              <w:t>ABC17-L</w:t>
            </w:r>
          </w:p>
        </w:tc>
        <w:tc>
          <w:tcPr>
            <w:tcW w:w="953" w:type="dxa"/>
            <w:vAlign w:val="center"/>
          </w:tcPr>
          <w:p w14:paraId="24BF5E36" w14:textId="60C75EA1" w:rsidR="00E40A22"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Group ND</w:t>
            </w:r>
          </w:p>
        </w:tc>
        <w:tc>
          <w:tcPr>
            <w:tcW w:w="817" w:type="dxa"/>
            <w:vAlign w:val="center"/>
          </w:tcPr>
          <w:p w14:paraId="5C8DF30A" w14:textId="77777777"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4CB1B407" w14:textId="77777777"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585451E0" w14:textId="77777777"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35D5D657" w14:textId="77777777"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7" w:type="dxa"/>
            <w:vAlign w:val="center"/>
          </w:tcPr>
          <w:p w14:paraId="678CAAE2" w14:textId="77777777"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1A8493CB" w14:textId="77777777" w:rsidR="00E40A22" w:rsidRPr="00295B4A" w:rsidRDefault="00E40A22" w:rsidP="00E40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6B26979A" w14:textId="0DF0BB2C" w:rsidR="00E40A22" w:rsidRPr="00295B4A" w:rsidRDefault="00295B4A" w:rsidP="00E40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0.532</w:t>
            </w:r>
          </w:p>
        </w:tc>
        <w:tc>
          <w:tcPr>
            <w:tcW w:w="818" w:type="dxa"/>
            <w:vAlign w:val="center"/>
          </w:tcPr>
          <w:p w14:paraId="4292EC60" w14:textId="77777777" w:rsidR="00E40A22" w:rsidRPr="00295B4A" w:rsidRDefault="00E40A22" w:rsidP="00E40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295B4A" w:rsidRPr="00843013" w14:paraId="60A169FB" w14:textId="77777777" w:rsidTr="00295B4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2601A709" w14:textId="77777777" w:rsidR="00295B4A" w:rsidRDefault="00295B4A" w:rsidP="00295B4A">
            <w:pPr>
              <w:spacing w:before="0" w:after="0" w:line="240" w:lineRule="auto"/>
              <w:jc w:val="center"/>
              <w:rPr>
                <w:rFonts w:ascii="Gill Sans MT" w:hAnsi="Gill Sans MT"/>
                <w:b w:val="0"/>
                <w:bCs w:val="0"/>
              </w:rPr>
            </w:pPr>
          </w:p>
        </w:tc>
        <w:tc>
          <w:tcPr>
            <w:tcW w:w="953" w:type="dxa"/>
            <w:vAlign w:val="center"/>
          </w:tcPr>
          <w:p w14:paraId="2871C7B5" w14:textId="7485F58B"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Base</w:t>
            </w:r>
          </w:p>
        </w:tc>
        <w:tc>
          <w:tcPr>
            <w:tcW w:w="817" w:type="dxa"/>
            <w:vAlign w:val="center"/>
          </w:tcPr>
          <w:p w14:paraId="30073083"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1EDCEF8D"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1CDEC586"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294C5C3B"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7" w:type="dxa"/>
            <w:vAlign w:val="center"/>
          </w:tcPr>
          <w:p w14:paraId="717AFFE6"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16B80ACD" w14:textId="77777777" w:rsidR="00295B4A" w:rsidRPr="00295B4A" w:rsidRDefault="00295B4A" w:rsidP="00E40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2D8311D9" w14:textId="77777777" w:rsidR="00295B4A" w:rsidRPr="00295B4A" w:rsidRDefault="00295B4A" w:rsidP="00E40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18506E3A" w14:textId="31C866B1" w:rsidR="00295B4A" w:rsidRPr="00295B4A" w:rsidRDefault="00295B4A" w:rsidP="00E40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0.876</w:t>
            </w:r>
          </w:p>
        </w:tc>
      </w:tr>
      <w:tr w:rsidR="00295B4A" w:rsidRPr="00843013" w14:paraId="6CE6BF9F" w14:textId="77777777" w:rsidTr="00295B4A">
        <w:trPr>
          <w:trHeight w:val="397"/>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7FEBEC66" w14:textId="77777777" w:rsidR="00295B4A" w:rsidRDefault="00295B4A" w:rsidP="00295B4A">
            <w:pPr>
              <w:spacing w:before="0" w:after="0" w:line="240" w:lineRule="auto"/>
              <w:jc w:val="center"/>
              <w:rPr>
                <w:rFonts w:ascii="Gill Sans MT" w:hAnsi="Gill Sans MT"/>
                <w:b w:val="0"/>
                <w:bCs w:val="0"/>
              </w:rPr>
            </w:pPr>
          </w:p>
        </w:tc>
        <w:tc>
          <w:tcPr>
            <w:tcW w:w="953" w:type="dxa"/>
            <w:vAlign w:val="center"/>
          </w:tcPr>
          <w:p w14:paraId="18D8FF1E" w14:textId="4C032224"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Test</w:t>
            </w:r>
          </w:p>
        </w:tc>
        <w:tc>
          <w:tcPr>
            <w:tcW w:w="817" w:type="dxa"/>
            <w:vAlign w:val="center"/>
          </w:tcPr>
          <w:p w14:paraId="57BFD154"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74CE5C87"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2BC09F28"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17A67B9A"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7" w:type="dxa"/>
            <w:vAlign w:val="center"/>
          </w:tcPr>
          <w:p w14:paraId="68E09404"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0A9B4BD3" w14:textId="77777777" w:rsidR="00295B4A" w:rsidRPr="00295B4A" w:rsidRDefault="00295B4A" w:rsidP="00E40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02B8A67D" w14:textId="77777777" w:rsidR="00295B4A" w:rsidRPr="00295B4A" w:rsidRDefault="00295B4A" w:rsidP="00E40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00D7ABCE" w14:textId="6ADA1449" w:rsidR="00295B4A" w:rsidRPr="00295B4A" w:rsidRDefault="00295B4A" w:rsidP="00E40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0.184</w:t>
            </w:r>
          </w:p>
        </w:tc>
      </w:tr>
    </w:tbl>
    <w:p w14:paraId="61BBD932" w14:textId="1697DBE0" w:rsidR="00632E07" w:rsidRDefault="00295B4A" w:rsidP="00295B4A">
      <w:pPr>
        <w:pStyle w:val="Tables"/>
      </w:pPr>
      <w:bookmarkStart w:id="211" w:name="_Toc57033194"/>
      <w:r>
        <w:t>Table 1</w:t>
      </w:r>
      <w:r w:rsidR="0063711A">
        <w:t>5</w:t>
      </w:r>
      <w:r>
        <w:t>:</w:t>
      </w:r>
      <w:r w:rsidR="003214C8">
        <w:tab/>
      </w:r>
      <w:r>
        <w:t>ABC Scales' effect size</w:t>
      </w:r>
      <w:r w:rsidR="00490522">
        <w:t xml:space="preserve">s </w:t>
      </w:r>
      <w:r>
        <w:t xml:space="preserve">(Hedges' </w:t>
      </w:r>
      <w:r>
        <w:rPr>
          <w:i/>
          <w:iCs/>
        </w:rPr>
        <w:t>g</w:t>
      </w:r>
      <w:r>
        <w:t xml:space="preserve">) when the subgroups were defined </w:t>
      </w:r>
      <w:r w:rsidR="00490522">
        <w:t xml:space="preserve">according to </w:t>
      </w:r>
      <w:r>
        <w:t>the Dx20 Profiler.</w:t>
      </w:r>
      <w:bookmarkEnd w:id="211"/>
    </w:p>
    <w:p w14:paraId="09BDD065" w14:textId="77777777" w:rsidR="00632E07" w:rsidRPr="00295B4A" w:rsidRDefault="00632E07" w:rsidP="00295B4A">
      <w:pPr>
        <w:pStyle w:val="Tables"/>
      </w:pPr>
    </w:p>
    <w:tbl>
      <w:tblPr>
        <w:tblStyle w:val="GridTable5Dark-Accent1"/>
        <w:tblW w:w="0" w:type="auto"/>
        <w:jc w:val="center"/>
        <w:tblLook w:val="04A0" w:firstRow="1" w:lastRow="0" w:firstColumn="1" w:lastColumn="0" w:noHBand="0" w:noVBand="1"/>
      </w:tblPr>
      <w:tblGrid>
        <w:gridCol w:w="1169"/>
        <w:gridCol w:w="953"/>
        <w:gridCol w:w="817"/>
        <w:gridCol w:w="818"/>
        <w:gridCol w:w="818"/>
        <w:gridCol w:w="818"/>
        <w:gridCol w:w="817"/>
        <w:gridCol w:w="818"/>
        <w:gridCol w:w="818"/>
        <w:gridCol w:w="818"/>
      </w:tblGrid>
      <w:tr w:rsidR="00295B4A" w:rsidRPr="00843013" w14:paraId="435D4FA7" w14:textId="77777777" w:rsidTr="00490522">
        <w:trPr>
          <w:cnfStyle w:val="100000000000" w:firstRow="1" w:lastRow="0" w:firstColumn="0" w:lastColumn="0" w:oddVBand="0" w:evenVBand="0" w:oddHBand="0" w:evenHBand="0" w:firstRowFirstColumn="0" w:firstRowLastColumn="0" w:lastRowFirstColumn="0" w:lastRowLastColumn="0"/>
          <w:cantSplit/>
          <w:trHeight w:val="976"/>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54A5529E" w14:textId="77777777" w:rsidR="00295B4A" w:rsidRPr="00843013" w:rsidRDefault="00295B4A" w:rsidP="00295B4A">
            <w:pPr>
              <w:spacing w:before="0" w:after="0" w:line="240" w:lineRule="auto"/>
              <w:jc w:val="center"/>
              <w:rPr>
                <w:rFonts w:ascii="Gill Sans MT" w:hAnsi="Gill Sans MT"/>
                <w:b w:val="0"/>
                <w:bCs w:val="0"/>
              </w:rPr>
            </w:pPr>
            <w:r>
              <w:rPr>
                <w:rFonts w:ascii="Gill Sans MT" w:hAnsi="Gill Sans MT"/>
                <w:b w:val="0"/>
                <w:bCs w:val="0"/>
              </w:rPr>
              <w:t>ABC Scale</w:t>
            </w:r>
          </w:p>
        </w:tc>
        <w:tc>
          <w:tcPr>
            <w:tcW w:w="953" w:type="dxa"/>
            <w:vAlign w:val="center"/>
          </w:tcPr>
          <w:p w14:paraId="655F52A9" w14:textId="2D3645AF" w:rsidR="00295B4A" w:rsidRPr="00295B4A" w:rsidRDefault="00295B4A" w:rsidP="00295B4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295B4A">
              <w:rPr>
                <w:rFonts w:ascii="Gill Sans MT" w:hAnsi="Gill Sans MT"/>
                <w:b w:val="0"/>
                <w:bCs w:val="0"/>
                <w:sz w:val="18"/>
                <w:szCs w:val="18"/>
              </w:rPr>
              <w:t>Dx</w:t>
            </w:r>
            <w:r>
              <w:rPr>
                <w:rFonts w:ascii="Gill Sans MT" w:hAnsi="Gill Sans MT"/>
                <w:b w:val="0"/>
                <w:bCs w:val="0"/>
                <w:sz w:val="18"/>
                <w:szCs w:val="18"/>
              </w:rPr>
              <w:t>16</w:t>
            </w:r>
            <w:r w:rsidRPr="00295B4A">
              <w:rPr>
                <w:rFonts w:ascii="Gill Sans MT" w:hAnsi="Gill Sans MT"/>
                <w:b w:val="0"/>
                <w:bCs w:val="0"/>
                <w:sz w:val="18"/>
                <w:szCs w:val="18"/>
              </w:rPr>
              <w:t xml:space="preserve"> Scale: group / subgroup</w:t>
            </w:r>
          </w:p>
        </w:tc>
        <w:tc>
          <w:tcPr>
            <w:tcW w:w="817" w:type="dxa"/>
            <w:textDirection w:val="btLr"/>
            <w:vAlign w:val="center"/>
          </w:tcPr>
          <w:p w14:paraId="14F30E04" w14:textId="77777777" w:rsidR="00295B4A" w:rsidRPr="00295B4A" w:rsidRDefault="00295B4A" w:rsidP="00295B4A">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295B4A">
              <w:rPr>
                <w:rFonts w:ascii="Gill Sans MT" w:hAnsi="Gill Sans MT"/>
                <w:b w:val="0"/>
                <w:bCs w:val="0"/>
                <w:sz w:val="18"/>
                <w:szCs w:val="18"/>
              </w:rPr>
              <w:t>ABC24 Group DI</w:t>
            </w:r>
          </w:p>
        </w:tc>
        <w:tc>
          <w:tcPr>
            <w:tcW w:w="818" w:type="dxa"/>
            <w:textDirection w:val="btLr"/>
            <w:vAlign w:val="center"/>
          </w:tcPr>
          <w:p w14:paraId="4B6D6327" w14:textId="77777777" w:rsidR="00295B4A" w:rsidRPr="00295B4A" w:rsidRDefault="00295B4A" w:rsidP="00295B4A">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295B4A">
              <w:rPr>
                <w:rFonts w:ascii="Gill Sans MT" w:hAnsi="Gill Sans MT"/>
                <w:b w:val="0"/>
                <w:bCs w:val="0"/>
                <w:sz w:val="18"/>
                <w:szCs w:val="18"/>
              </w:rPr>
              <w:t>ABC 24 Control</w:t>
            </w:r>
          </w:p>
        </w:tc>
        <w:tc>
          <w:tcPr>
            <w:tcW w:w="818" w:type="dxa"/>
            <w:textDirection w:val="btLr"/>
            <w:vAlign w:val="center"/>
          </w:tcPr>
          <w:p w14:paraId="3E81B5BF" w14:textId="77777777" w:rsidR="00295B4A" w:rsidRPr="00295B4A" w:rsidRDefault="00295B4A" w:rsidP="00295B4A">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295B4A">
              <w:rPr>
                <w:rFonts w:ascii="Gill Sans MT" w:hAnsi="Gill Sans MT"/>
                <w:b w:val="0"/>
                <w:bCs w:val="0"/>
                <w:sz w:val="18"/>
                <w:szCs w:val="18"/>
              </w:rPr>
              <w:t>ABC17 Group DI</w:t>
            </w:r>
          </w:p>
        </w:tc>
        <w:tc>
          <w:tcPr>
            <w:tcW w:w="818" w:type="dxa"/>
            <w:textDirection w:val="btLr"/>
            <w:vAlign w:val="center"/>
          </w:tcPr>
          <w:p w14:paraId="11262D6B" w14:textId="77777777" w:rsidR="00295B4A" w:rsidRPr="00295B4A" w:rsidRDefault="00295B4A" w:rsidP="00295B4A">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295B4A">
              <w:rPr>
                <w:rFonts w:ascii="Gill Sans MT" w:hAnsi="Gill Sans MT"/>
                <w:b w:val="0"/>
                <w:bCs w:val="0"/>
                <w:sz w:val="18"/>
                <w:szCs w:val="18"/>
              </w:rPr>
              <w:t>ABC17 Control</w:t>
            </w:r>
          </w:p>
        </w:tc>
        <w:tc>
          <w:tcPr>
            <w:tcW w:w="817" w:type="dxa"/>
            <w:textDirection w:val="btLr"/>
            <w:vAlign w:val="center"/>
          </w:tcPr>
          <w:p w14:paraId="00A90ADC" w14:textId="77777777" w:rsidR="00295B4A" w:rsidRPr="00295B4A" w:rsidRDefault="00295B4A" w:rsidP="00295B4A">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295B4A">
              <w:rPr>
                <w:rFonts w:ascii="Gill Sans MT" w:hAnsi="Gill Sans MT"/>
                <w:b w:val="0"/>
                <w:bCs w:val="0"/>
                <w:sz w:val="18"/>
                <w:szCs w:val="18"/>
              </w:rPr>
              <w:t>ABC21-L Group DI</w:t>
            </w:r>
          </w:p>
        </w:tc>
        <w:tc>
          <w:tcPr>
            <w:tcW w:w="818" w:type="dxa"/>
            <w:textDirection w:val="btLr"/>
            <w:vAlign w:val="center"/>
          </w:tcPr>
          <w:p w14:paraId="70125B1B" w14:textId="77777777" w:rsidR="00295B4A" w:rsidRPr="00295B4A" w:rsidRDefault="00295B4A" w:rsidP="00295B4A">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295B4A">
              <w:rPr>
                <w:rFonts w:ascii="Gill Sans MT" w:hAnsi="Gill Sans MT"/>
                <w:b w:val="0"/>
                <w:bCs w:val="0"/>
                <w:sz w:val="18"/>
                <w:szCs w:val="18"/>
              </w:rPr>
              <w:t>ABC21-L Control</w:t>
            </w:r>
          </w:p>
        </w:tc>
        <w:tc>
          <w:tcPr>
            <w:tcW w:w="818" w:type="dxa"/>
            <w:textDirection w:val="btLr"/>
            <w:vAlign w:val="center"/>
          </w:tcPr>
          <w:p w14:paraId="0B3E1C11" w14:textId="77777777" w:rsidR="00295B4A" w:rsidRPr="00295B4A" w:rsidRDefault="00295B4A" w:rsidP="00295B4A">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295B4A">
              <w:rPr>
                <w:rFonts w:ascii="Gill Sans MT" w:hAnsi="Gill Sans MT"/>
                <w:b w:val="0"/>
                <w:bCs w:val="0"/>
                <w:sz w:val="18"/>
                <w:szCs w:val="18"/>
              </w:rPr>
              <w:t>ABC17-L Group DI</w:t>
            </w:r>
          </w:p>
        </w:tc>
        <w:tc>
          <w:tcPr>
            <w:tcW w:w="818" w:type="dxa"/>
            <w:textDirection w:val="btLr"/>
            <w:vAlign w:val="center"/>
          </w:tcPr>
          <w:p w14:paraId="68C75D90" w14:textId="77777777" w:rsidR="00295B4A" w:rsidRPr="00295B4A" w:rsidRDefault="00295B4A" w:rsidP="00295B4A">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295B4A">
              <w:rPr>
                <w:rFonts w:ascii="Gill Sans MT" w:hAnsi="Gill Sans MT"/>
                <w:b w:val="0"/>
                <w:bCs w:val="0"/>
                <w:sz w:val="18"/>
                <w:szCs w:val="18"/>
              </w:rPr>
              <w:t>ABC17-L Control</w:t>
            </w:r>
          </w:p>
        </w:tc>
      </w:tr>
      <w:tr w:rsidR="00295B4A" w:rsidRPr="00843013" w14:paraId="4F31B03F" w14:textId="77777777" w:rsidTr="00295B4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6DC59A8C" w14:textId="77777777" w:rsidR="00295B4A" w:rsidRPr="00843013" w:rsidRDefault="00295B4A" w:rsidP="00295B4A">
            <w:pPr>
              <w:spacing w:before="0" w:after="0" w:line="240" w:lineRule="auto"/>
              <w:jc w:val="center"/>
              <w:rPr>
                <w:rFonts w:ascii="Gill Sans MT" w:hAnsi="Gill Sans MT"/>
                <w:b w:val="0"/>
                <w:bCs w:val="0"/>
              </w:rPr>
            </w:pPr>
            <w:r>
              <w:rPr>
                <w:rFonts w:ascii="Gill Sans MT" w:hAnsi="Gill Sans MT"/>
                <w:b w:val="0"/>
                <w:bCs w:val="0"/>
              </w:rPr>
              <w:t>ABC24</w:t>
            </w:r>
          </w:p>
        </w:tc>
        <w:tc>
          <w:tcPr>
            <w:tcW w:w="953" w:type="dxa"/>
            <w:vAlign w:val="center"/>
          </w:tcPr>
          <w:p w14:paraId="50C6E7BE"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Group ND</w:t>
            </w:r>
          </w:p>
        </w:tc>
        <w:tc>
          <w:tcPr>
            <w:tcW w:w="817" w:type="dxa"/>
            <w:vAlign w:val="center"/>
          </w:tcPr>
          <w:p w14:paraId="79B539AA" w14:textId="122AFF7F"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0.604</w:t>
            </w:r>
          </w:p>
        </w:tc>
        <w:tc>
          <w:tcPr>
            <w:tcW w:w="818" w:type="dxa"/>
            <w:vAlign w:val="center"/>
          </w:tcPr>
          <w:p w14:paraId="38722033"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0D4A1EAB"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6F874D4D"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7" w:type="dxa"/>
            <w:vAlign w:val="center"/>
          </w:tcPr>
          <w:p w14:paraId="34AD723E"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7D048452"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315528CA"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2B0A8F8C"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295B4A" w:rsidRPr="00843013" w14:paraId="61E933BB" w14:textId="77777777" w:rsidTr="00295B4A">
        <w:trPr>
          <w:trHeight w:val="397"/>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4043382E" w14:textId="77777777" w:rsidR="00295B4A" w:rsidRPr="00843013" w:rsidRDefault="00295B4A" w:rsidP="00295B4A">
            <w:pPr>
              <w:spacing w:before="0" w:after="0" w:line="240" w:lineRule="auto"/>
              <w:jc w:val="center"/>
              <w:rPr>
                <w:rFonts w:ascii="Gill Sans MT" w:hAnsi="Gill Sans MT"/>
                <w:b w:val="0"/>
                <w:bCs w:val="0"/>
              </w:rPr>
            </w:pPr>
          </w:p>
        </w:tc>
        <w:tc>
          <w:tcPr>
            <w:tcW w:w="953" w:type="dxa"/>
            <w:vAlign w:val="center"/>
          </w:tcPr>
          <w:p w14:paraId="6DCF07A3"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Base</w:t>
            </w:r>
          </w:p>
        </w:tc>
        <w:tc>
          <w:tcPr>
            <w:tcW w:w="817" w:type="dxa"/>
            <w:vAlign w:val="center"/>
          </w:tcPr>
          <w:p w14:paraId="3A64EAA2"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4C8A0A6A" w14:textId="1C4A324B"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1.086</w:t>
            </w:r>
          </w:p>
        </w:tc>
        <w:tc>
          <w:tcPr>
            <w:tcW w:w="818" w:type="dxa"/>
            <w:vAlign w:val="center"/>
          </w:tcPr>
          <w:p w14:paraId="66BE5BDF"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2FD77246"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7" w:type="dxa"/>
            <w:vAlign w:val="center"/>
          </w:tcPr>
          <w:p w14:paraId="7747AF5C"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141F44A6"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0E996142"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2D34E95C"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295B4A" w:rsidRPr="00843013" w14:paraId="776E6C6A" w14:textId="77777777" w:rsidTr="00295B4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4A726772" w14:textId="77777777" w:rsidR="00295B4A" w:rsidRPr="00843013" w:rsidRDefault="00295B4A" w:rsidP="00295B4A">
            <w:pPr>
              <w:spacing w:before="0" w:after="0" w:line="240" w:lineRule="auto"/>
              <w:jc w:val="center"/>
              <w:rPr>
                <w:rFonts w:ascii="Gill Sans MT" w:hAnsi="Gill Sans MT"/>
                <w:b w:val="0"/>
                <w:bCs w:val="0"/>
              </w:rPr>
            </w:pPr>
          </w:p>
        </w:tc>
        <w:tc>
          <w:tcPr>
            <w:tcW w:w="953" w:type="dxa"/>
            <w:vAlign w:val="center"/>
          </w:tcPr>
          <w:p w14:paraId="21F76A71"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Test</w:t>
            </w:r>
          </w:p>
        </w:tc>
        <w:tc>
          <w:tcPr>
            <w:tcW w:w="817" w:type="dxa"/>
            <w:vAlign w:val="center"/>
          </w:tcPr>
          <w:p w14:paraId="2BBB255A"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4594BF4B" w14:textId="6876A7A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0.406</w:t>
            </w:r>
          </w:p>
        </w:tc>
        <w:tc>
          <w:tcPr>
            <w:tcW w:w="818" w:type="dxa"/>
            <w:vAlign w:val="center"/>
          </w:tcPr>
          <w:p w14:paraId="767B72AA"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78EADC77"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7" w:type="dxa"/>
            <w:vAlign w:val="center"/>
          </w:tcPr>
          <w:p w14:paraId="6518B30B"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7F99A9E6"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4517D4E4"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3E4EFDE1"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295B4A" w:rsidRPr="00843013" w14:paraId="5511CA41" w14:textId="77777777" w:rsidTr="00295B4A">
        <w:trPr>
          <w:trHeight w:val="397"/>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624209E1" w14:textId="77777777" w:rsidR="00295B4A" w:rsidRPr="00843013" w:rsidRDefault="00295B4A" w:rsidP="00295B4A">
            <w:pPr>
              <w:spacing w:before="0" w:after="0" w:line="240" w:lineRule="auto"/>
              <w:jc w:val="center"/>
              <w:rPr>
                <w:rFonts w:ascii="Gill Sans MT" w:hAnsi="Gill Sans MT"/>
                <w:b w:val="0"/>
                <w:bCs w:val="0"/>
              </w:rPr>
            </w:pPr>
            <w:r>
              <w:rPr>
                <w:rFonts w:ascii="Gill Sans MT" w:hAnsi="Gill Sans MT"/>
                <w:b w:val="0"/>
                <w:bCs w:val="0"/>
              </w:rPr>
              <w:t>ABC17</w:t>
            </w:r>
          </w:p>
        </w:tc>
        <w:tc>
          <w:tcPr>
            <w:tcW w:w="953" w:type="dxa"/>
            <w:vAlign w:val="center"/>
          </w:tcPr>
          <w:p w14:paraId="1A81E1D2"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Group ND</w:t>
            </w:r>
          </w:p>
        </w:tc>
        <w:tc>
          <w:tcPr>
            <w:tcW w:w="817" w:type="dxa"/>
            <w:vAlign w:val="center"/>
          </w:tcPr>
          <w:p w14:paraId="03C0EA0B"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1ADF56AE"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050D0AE9" w14:textId="3FD0729D"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0.621</w:t>
            </w:r>
          </w:p>
        </w:tc>
        <w:tc>
          <w:tcPr>
            <w:tcW w:w="818" w:type="dxa"/>
            <w:vAlign w:val="center"/>
          </w:tcPr>
          <w:p w14:paraId="60683AE0"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7" w:type="dxa"/>
            <w:vAlign w:val="center"/>
          </w:tcPr>
          <w:p w14:paraId="19A77FFD"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49E5D3DE"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10FDC604"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72A23D2D"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295B4A" w:rsidRPr="00843013" w14:paraId="2378AB9A" w14:textId="77777777" w:rsidTr="00295B4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2688F076" w14:textId="77777777" w:rsidR="00295B4A" w:rsidRPr="00843013" w:rsidRDefault="00295B4A" w:rsidP="00295B4A">
            <w:pPr>
              <w:spacing w:before="0" w:after="0" w:line="240" w:lineRule="auto"/>
              <w:jc w:val="center"/>
              <w:rPr>
                <w:rFonts w:ascii="Gill Sans MT" w:hAnsi="Gill Sans MT"/>
                <w:b w:val="0"/>
                <w:bCs w:val="0"/>
              </w:rPr>
            </w:pPr>
          </w:p>
        </w:tc>
        <w:tc>
          <w:tcPr>
            <w:tcW w:w="953" w:type="dxa"/>
            <w:vAlign w:val="center"/>
          </w:tcPr>
          <w:p w14:paraId="6E7DB854"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Base</w:t>
            </w:r>
          </w:p>
        </w:tc>
        <w:tc>
          <w:tcPr>
            <w:tcW w:w="817" w:type="dxa"/>
            <w:vAlign w:val="center"/>
          </w:tcPr>
          <w:p w14:paraId="68156A12"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1893229D"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5FA38DFE"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208B2284" w14:textId="25B92D02"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1.079</w:t>
            </w:r>
          </w:p>
        </w:tc>
        <w:tc>
          <w:tcPr>
            <w:tcW w:w="817" w:type="dxa"/>
            <w:vAlign w:val="center"/>
          </w:tcPr>
          <w:p w14:paraId="14B7E23F"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6D6F3884"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5ED8118B"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2225E96C"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295B4A" w:rsidRPr="00843013" w14:paraId="2C9C79A1" w14:textId="77777777" w:rsidTr="00295B4A">
        <w:trPr>
          <w:trHeight w:val="397"/>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675C04D7" w14:textId="77777777" w:rsidR="00295B4A" w:rsidRPr="00843013" w:rsidRDefault="00295B4A" w:rsidP="00295B4A">
            <w:pPr>
              <w:spacing w:before="0" w:after="0" w:line="240" w:lineRule="auto"/>
              <w:jc w:val="center"/>
              <w:rPr>
                <w:rFonts w:ascii="Gill Sans MT" w:hAnsi="Gill Sans MT"/>
                <w:b w:val="0"/>
                <w:bCs w:val="0"/>
              </w:rPr>
            </w:pPr>
          </w:p>
        </w:tc>
        <w:tc>
          <w:tcPr>
            <w:tcW w:w="953" w:type="dxa"/>
            <w:vAlign w:val="center"/>
          </w:tcPr>
          <w:p w14:paraId="50329A66"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Test</w:t>
            </w:r>
          </w:p>
        </w:tc>
        <w:tc>
          <w:tcPr>
            <w:tcW w:w="817" w:type="dxa"/>
            <w:vAlign w:val="center"/>
          </w:tcPr>
          <w:p w14:paraId="405A2348"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5D084E08"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22A670AF"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663DB300" w14:textId="47C0BE5F"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0.400</w:t>
            </w:r>
          </w:p>
        </w:tc>
        <w:tc>
          <w:tcPr>
            <w:tcW w:w="817" w:type="dxa"/>
            <w:vAlign w:val="center"/>
          </w:tcPr>
          <w:p w14:paraId="68090780"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3D71A70C"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4C224044"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5908406D"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295B4A" w:rsidRPr="00843013" w14:paraId="38FA71B0" w14:textId="77777777" w:rsidTr="00295B4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09F2DBC6" w14:textId="77777777" w:rsidR="00295B4A" w:rsidRPr="00843013" w:rsidRDefault="00295B4A" w:rsidP="00295B4A">
            <w:pPr>
              <w:spacing w:before="0" w:after="0" w:line="240" w:lineRule="auto"/>
              <w:jc w:val="center"/>
              <w:rPr>
                <w:rFonts w:ascii="Gill Sans MT" w:hAnsi="Gill Sans MT"/>
                <w:b w:val="0"/>
                <w:bCs w:val="0"/>
              </w:rPr>
            </w:pPr>
            <w:r>
              <w:rPr>
                <w:rFonts w:ascii="Gill Sans MT" w:hAnsi="Gill Sans MT"/>
                <w:b w:val="0"/>
                <w:bCs w:val="0"/>
              </w:rPr>
              <w:t>ABC21-L</w:t>
            </w:r>
          </w:p>
        </w:tc>
        <w:tc>
          <w:tcPr>
            <w:tcW w:w="953" w:type="dxa"/>
            <w:vAlign w:val="center"/>
          </w:tcPr>
          <w:p w14:paraId="44E5FCF1"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Group ND</w:t>
            </w:r>
          </w:p>
        </w:tc>
        <w:tc>
          <w:tcPr>
            <w:tcW w:w="817" w:type="dxa"/>
            <w:vAlign w:val="center"/>
          </w:tcPr>
          <w:p w14:paraId="4625845D"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2853C352"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3078EAF8"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29DAFF31"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7" w:type="dxa"/>
            <w:vAlign w:val="center"/>
          </w:tcPr>
          <w:p w14:paraId="517CBF22" w14:textId="10611F18"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0.598</w:t>
            </w:r>
          </w:p>
        </w:tc>
        <w:tc>
          <w:tcPr>
            <w:tcW w:w="818" w:type="dxa"/>
            <w:vAlign w:val="center"/>
          </w:tcPr>
          <w:p w14:paraId="39BD6E5E"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333FDF05"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345B989C"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295B4A" w:rsidRPr="00843013" w14:paraId="6DDF399A" w14:textId="77777777" w:rsidTr="00295B4A">
        <w:trPr>
          <w:trHeight w:val="397"/>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7AE83EAE" w14:textId="77777777" w:rsidR="00295B4A" w:rsidRDefault="00295B4A" w:rsidP="00295B4A">
            <w:pPr>
              <w:spacing w:before="0" w:after="0" w:line="240" w:lineRule="auto"/>
              <w:jc w:val="center"/>
              <w:rPr>
                <w:rFonts w:ascii="Gill Sans MT" w:hAnsi="Gill Sans MT"/>
                <w:b w:val="0"/>
                <w:bCs w:val="0"/>
              </w:rPr>
            </w:pPr>
          </w:p>
        </w:tc>
        <w:tc>
          <w:tcPr>
            <w:tcW w:w="953" w:type="dxa"/>
            <w:vAlign w:val="center"/>
          </w:tcPr>
          <w:p w14:paraId="3AB99FEF"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Base</w:t>
            </w:r>
          </w:p>
        </w:tc>
        <w:tc>
          <w:tcPr>
            <w:tcW w:w="817" w:type="dxa"/>
            <w:vAlign w:val="center"/>
          </w:tcPr>
          <w:p w14:paraId="7E395E13"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79DAFF54"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6182203E"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581BC58F"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7" w:type="dxa"/>
            <w:vAlign w:val="center"/>
          </w:tcPr>
          <w:p w14:paraId="3C76F363"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3A640125" w14:textId="5B474AAC"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1.086</w:t>
            </w:r>
          </w:p>
        </w:tc>
        <w:tc>
          <w:tcPr>
            <w:tcW w:w="818" w:type="dxa"/>
            <w:vAlign w:val="center"/>
          </w:tcPr>
          <w:p w14:paraId="298CBCAA"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172E7F88"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295B4A" w:rsidRPr="00843013" w14:paraId="614D67CA" w14:textId="77777777" w:rsidTr="00295B4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27B1C7CD" w14:textId="77777777" w:rsidR="00295B4A" w:rsidRDefault="00295B4A" w:rsidP="00295B4A">
            <w:pPr>
              <w:spacing w:before="0" w:after="0" w:line="240" w:lineRule="auto"/>
              <w:jc w:val="center"/>
              <w:rPr>
                <w:rFonts w:ascii="Gill Sans MT" w:hAnsi="Gill Sans MT"/>
                <w:b w:val="0"/>
                <w:bCs w:val="0"/>
              </w:rPr>
            </w:pPr>
          </w:p>
        </w:tc>
        <w:tc>
          <w:tcPr>
            <w:tcW w:w="953" w:type="dxa"/>
            <w:vAlign w:val="center"/>
          </w:tcPr>
          <w:p w14:paraId="6A4ACAE1"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Test</w:t>
            </w:r>
          </w:p>
        </w:tc>
        <w:tc>
          <w:tcPr>
            <w:tcW w:w="817" w:type="dxa"/>
            <w:vAlign w:val="center"/>
          </w:tcPr>
          <w:p w14:paraId="5255F78C"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47069F95"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6424FC48"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79EF383C"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7" w:type="dxa"/>
            <w:vAlign w:val="center"/>
          </w:tcPr>
          <w:p w14:paraId="694D4D15"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5592FF10" w14:textId="1D8D7FE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0.378</w:t>
            </w:r>
          </w:p>
        </w:tc>
        <w:tc>
          <w:tcPr>
            <w:tcW w:w="818" w:type="dxa"/>
            <w:vAlign w:val="center"/>
          </w:tcPr>
          <w:p w14:paraId="034FD9E4"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2966A179"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295B4A" w:rsidRPr="00843013" w14:paraId="4F6F8EC6" w14:textId="77777777" w:rsidTr="00295B4A">
        <w:trPr>
          <w:trHeight w:val="397"/>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71939023" w14:textId="77777777" w:rsidR="00295B4A" w:rsidRDefault="00295B4A" w:rsidP="00295B4A">
            <w:pPr>
              <w:spacing w:before="0" w:after="0" w:line="240" w:lineRule="auto"/>
              <w:jc w:val="center"/>
              <w:rPr>
                <w:rFonts w:ascii="Gill Sans MT" w:hAnsi="Gill Sans MT"/>
                <w:b w:val="0"/>
                <w:bCs w:val="0"/>
              </w:rPr>
            </w:pPr>
            <w:r>
              <w:rPr>
                <w:rFonts w:ascii="Gill Sans MT" w:hAnsi="Gill Sans MT"/>
                <w:b w:val="0"/>
                <w:bCs w:val="0"/>
              </w:rPr>
              <w:t>ABC17-L</w:t>
            </w:r>
          </w:p>
        </w:tc>
        <w:tc>
          <w:tcPr>
            <w:tcW w:w="953" w:type="dxa"/>
            <w:vAlign w:val="center"/>
          </w:tcPr>
          <w:p w14:paraId="450D942A"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Group ND</w:t>
            </w:r>
          </w:p>
        </w:tc>
        <w:tc>
          <w:tcPr>
            <w:tcW w:w="817" w:type="dxa"/>
            <w:vAlign w:val="center"/>
          </w:tcPr>
          <w:p w14:paraId="34F9D611"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6F96169A"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6BEDF646"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230DBDAA"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7" w:type="dxa"/>
            <w:vAlign w:val="center"/>
          </w:tcPr>
          <w:p w14:paraId="6131DB54"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50B804AD"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3E982E8C" w14:textId="10AA1E96"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0.532</w:t>
            </w:r>
          </w:p>
        </w:tc>
        <w:tc>
          <w:tcPr>
            <w:tcW w:w="818" w:type="dxa"/>
            <w:vAlign w:val="center"/>
          </w:tcPr>
          <w:p w14:paraId="6F3E988F"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295B4A" w:rsidRPr="00843013" w14:paraId="1EE836EE" w14:textId="77777777" w:rsidTr="00295B4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05C52045" w14:textId="77777777" w:rsidR="00295B4A" w:rsidRDefault="00295B4A" w:rsidP="00295B4A">
            <w:pPr>
              <w:spacing w:before="0" w:after="0" w:line="240" w:lineRule="auto"/>
              <w:jc w:val="center"/>
              <w:rPr>
                <w:rFonts w:ascii="Gill Sans MT" w:hAnsi="Gill Sans MT"/>
                <w:b w:val="0"/>
                <w:bCs w:val="0"/>
              </w:rPr>
            </w:pPr>
          </w:p>
        </w:tc>
        <w:tc>
          <w:tcPr>
            <w:tcW w:w="953" w:type="dxa"/>
            <w:vAlign w:val="center"/>
          </w:tcPr>
          <w:p w14:paraId="76739E7A"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Base</w:t>
            </w:r>
          </w:p>
        </w:tc>
        <w:tc>
          <w:tcPr>
            <w:tcW w:w="817" w:type="dxa"/>
            <w:vAlign w:val="center"/>
          </w:tcPr>
          <w:p w14:paraId="4C939CFD"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55FA7AB0"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0541978B"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405F6EA9"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7" w:type="dxa"/>
            <w:vAlign w:val="center"/>
          </w:tcPr>
          <w:p w14:paraId="282527F5"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347A9E52"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5F189218"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4CA9888C" w14:textId="3DA713E4"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0.953</w:t>
            </w:r>
          </w:p>
        </w:tc>
      </w:tr>
      <w:tr w:rsidR="00295B4A" w:rsidRPr="00843013" w14:paraId="241FD093" w14:textId="77777777" w:rsidTr="00295B4A">
        <w:trPr>
          <w:trHeight w:val="397"/>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4D901AA8" w14:textId="77777777" w:rsidR="00295B4A" w:rsidRDefault="00295B4A" w:rsidP="00295B4A">
            <w:pPr>
              <w:spacing w:before="0" w:after="0" w:line="240" w:lineRule="auto"/>
              <w:jc w:val="center"/>
              <w:rPr>
                <w:rFonts w:ascii="Gill Sans MT" w:hAnsi="Gill Sans MT"/>
                <w:b w:val="0"/>
                <w:bCs w:val="0"/>
              </w:rPr>
            </w:pPr>
          </w:p>
        </w:tc>
        <w:tc>
          <w:tcPr>
            <w:tcW w:w="953" w:type="dxa"/>
            <w:vAlign w:val="center"/>
          </w:tcPr>
          <w:p w14:paraId="2C5B82D6"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Test</w:t>
            </w:r>
          </w:p>
        </w:tc>
        <w:tc>
          <w:tcPr>
            <w:tcW w:w="817" w:type="dxa"/>
            <w:vAlign w:val="center"/>
          </w:tcPr>
          <w:p w14:paraId="4DB7237C"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05D91A6D"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74D77AEC"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099399D6"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7" w:type="dxa"/>
            <w:vAlign w:val="center"/>
          </w:tcPr>
          <w:p w14:paraId="7E816202"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4499DA91"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5D62BF9F"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305E1386" w14:textId="38350D0B"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0.392</w:t>
            </w:r>
          </w:p>
        </w:tc>
      </w:tr>
    </w:tbl>
    <w:p w14:paraId="47838D31" w14:textId="1C1FF447" w:rsidR="0096683F" w:rsidRPr="0096683F" w:rsidRDefault="00295B4A" w:rsidP="002B49D4">
      <w:pPr>
        <w:pStyle w:val="Tables"/>
        <w:rPr>
          <w:rFonts w:eastAsia="Times New Roman"/>
          <w:sz w:val="20"/>
          <w:lang w:eastAsia="en-GB"/>
        </w:rPr>
      </w:pPr>
      <w:bookmarkStart w:id="212" w:name="_Toc57033195"/>
      <w:r>
        <w:t>Table 1</w:t>
      </w:r>
      <w:r w:rsidR="0063711A">
        <w:t>6</w:t>
      </w:r>
      <w:r>
        <w:t>:</w:t>
      </w:r>
      <w:r w:rsidR="003214C8">
        <w:tab/>
      </w:r>
      <w:r>
        <w:t xml:space="preserve">ABC Scales' effect sizes (Hedges' </w:t>
      </w:r>
      <w:r>
        <w:rPr>
          <w:i/>
          <w:iCs/>
        </w:rPr>
        <w:t>g</w:t>
      </w:r>
      <w:r>
        <w:t>) when the subgroups were defined according to the Dx16 Profiler.</w:t>
      </w:r>
      <w:bookmarkEnd w:id="212"/>
      <w:r w:rsidR="0096683F">
        <w:br w:type="page"/>
      </w:r>
    </w:p>
    <w:p w14:paraId="20C2ACFE" w14:textId="4AA63C6B" w:rsidR="00490BD3" w:rsidRDefault="00490BD3" w:rsidP="00F5045A">
      <w:pPr>
        <w:pStyle w:val="Heading2"/>
      </w:pPr>
      <w:bookmarkStart w:id="213" w:name="_Toc57035928"/>
      <w:r>
        <w:lastRenderedPageBreak/>
        <w:t>4.</w:t>
      </w:r>
      <w:r w:rsidR="0096683F">
        <w:t>4</w:t>
      </w:r>
      <w:r w:rsidR="004D5123">
        <w:tab/>
      </w:r>
      <w:r w:rsidR="00295B4A">
        <w:t>Relating results to hypotheses</w:t>
      </w:r>
      <w:bookmarkEnd w:id="213"/>
    </w:p>
    <w:p w14:paraId="3FD32795" w14:textId="6688A090" w:rsidR="00295B4A" w:rsidRPr="00295B4A" w:rsidRDefault="00295B4A" w:rsidP="00295B4A">
      <w:pPr>
        <w:pStyle w:val="Heading4"/>
        <w:rPr>
          <w:rFonts w:ascii="Times New Roman" w:eastAsia="Times New Roman" w:hAnsi="Times New Roman"/>
        </w:rPr>
      </w:pPr>
      <w:r>
        <w:t>I</w:t>
      </w:r>
      <w:r w:rsidR="00CA48C2">
        <w:t xml:space="preserve">  </w:t>
      </w:r>
      <w:r>
        <w:t>Differences in ABC between the non-dyslexic and the dyslexic groups:</w:t>
      </w:r>
    </w:p>
    <w:p w14:paraId="4718BEB9" w14:textId="2456F97A" w:rsidR="00595DEB" w:rsidRDefault="00295B4A" w:rsidP="00295B4A">
      <w:r>
        <w:t>The greatest, absolute difference in mean ABC values between the non-dyslexic and the dyslexic groups was 9.11 percentage points generated from the ABC17 Scale</w:t>
      </w:r>
      <w:r w:rsidR="00FB2E2E">
        <w:t xml:space="preserve"> </w:t>
      </w:r>
      <w:r>
        <w:t>(</w:t>
      </w:r>
      <w:r w:rsidR="000E71C3">
        <w:t xml:space="preserve">from </w:t>
      </w:r>
      <w:r>
        <w:t>Table 1</w:t>
      </w:r>
      <w:r w:rsidR="0063711A">
        <w:t>4</w:t>
      </w:r>
      <w:r>
        <w:t xml:space="preserve">), which suggests that when ABC is gauged according </w:t>
      </w:r>
      <w:r w:rsidR="00595DEB">
        <w:t xml:space="preserve">to </w:t>
      </w:r>
      <w:r>
        <w:t>the criteria on that</w:t>
      </w:r>
      <w:r w:rsidR="00FB2E2E">
        <w:t xml:space="preserve"> </w:t>
      </w:r>
      <w:r>
        <w:t>scale, non-dyslexic students are expressing, on average, 16% higher levels of academic confidence relative to their non-dyslexic peers. The corresponding, least absolute difference of 7.82 percentage points (ABC17-L Scale,</w:t>
      </w:r>
      <w:r w:rsidR="000E71C3">
        <w:t xml:space="preserve"> from</w:t>
      </w:r>
      <w:r>
        <w:t xml:space="preserve"> Table 1</w:t>
      </w:r>
      <w:r w:rsidR="000E71C3">
        <w:t>5</w:t>
      </w:r>
      <w:r>
        <w:t xml:space="preserve">) still suggests a 13% relative difference. </w:t>
      </w:r>
    </w:p>
    <w:p w14:paraId="51393E0D" w14:textId="77777777" w:rsidR="00595DEB" w:rsidRDefault="00595DEB" w:rsidP="00595DEB">
      <w:r>
        <w:t xml:space="preserve">In comparison with their non-dyslexic peers, (RG:ND), students with a declared dyslexic learning difference (RG:DI) presented a significantly lower mean ABC (67.21-68.30, 58.40-60.48 respectively), indicated by a moderate effect size (0.532 &lt; </w:t>
      </w:r>
      <w:r>
        <w:rPr>
          <w:i/>
          <w:iCs/>
        </w:rPr>
        <w:t>g </w:t>
      </w:r>
      <w:r>
        <w:t>&lt; 0.621; [~, 0.938-0.945]), supported by a significant difference in sample means (ABC17: t(134) = 3.86, </w:t>
      </w:r>
      <w:r>
        <w:rPr>
          <w:i/>
          <w:iCs/>
        </w:rPr>
        <w:t>p </w:t>
      </w:r>
      <w:r>
        <w:t xml:space="preserve">&lt; 0.001;  ABC17-L: t(137)=3.33, </w:t>
      </w:r>
      <w:r>
        <w:rPr>
          <w:i/>
          <w:iCs/>
        </w:rPr>
        <w:t>p </w:t>
      </w:r>
      <w:r>
        <w:t xml:space="preserve">&lt; 0.001). </w:t>
      </w:r>
    </w:p>
    <w:p w14:paraId="77F0E0D3" w14:textId="53240D93" w:rsidR="003214C8" w:rsidRPr="00632E07" w:rsidRDefault="00295B4A" w:rsidP="00595DEB">
      <w:r>
        <w:t>Thus, Null Hypothesis (1), that there is no difference in mean ABC between the two groups, is rejected</w:t>
      </w:r>
      <w:r w:rsidR="00FB2E2E">
        <w:t xml:space="preserve"> </w:t>
      </w:r>
      <w:r>
        <w:t>in favour of Alternative Hypothesis (1), that non-dyslexic students present a higher mean ABC than their non-dyslexic peers.</w:t>
      </w:r>
    </w:p>
    <w:p w14:paraId="73432E11" w14:textId="39532ECD" w:rsidR="003F5E2A" w:rsidRPr="003F5E2A" w:rsidRDefault="003F5E2A" w:rsidP="003F5E2A">
      <w:pPr>
        <w:pStyle w:val="Heading4"/>
        <w:rPr>
          <w:rFonts w:ascii="Times New Roman" w:eastAsia="Times New Roman" w:hAnsi="Times New Roman"/>
        </w:rPr>
      </w:pPr>
      <w:r>
        <w:t>II</w:t>
      </w:r>
      <w:r w:rsidR="00CA48C2">
        <w:t xml:space="preserve">  </w:t>
      </w:r>
      <w:r>
        <w:t>Differences in ABC between the non-dyslexic (Base) and dyslexic (Control) subgroups:</w:t>
      </w:r>
    </w:p>
    <w:p w14:paraId="2441B88F" w14:textId="17E0D279" w:rsidR="00595DEB" w:rsidRDefault="00595DEB" w:rsidP="00595DEB">
      <w:pPr>
        <w:rPr>
          <w:rFonts w:eastAsia="Times New Roman"/>
          <w:lang w:eastAsia="en-GB"/>
        </w:rPr>
      </w:pPr>
      <w:r w:rsidRPr="00295B4A">
        <w:rPr>
          <w:rFonts w:eastAsia="Times New Roman"/>
          <w:lang w:eastAsia="en-GB"/>
        </w:rPr>
        <w:t>When students presenting</w:t>
      </w:r>
      <w:r>
        <w:rPr>
          <w:rFonts w:eastAsia="Times New Roman"/>
          <w:lang w:eastAsia="en-GB"/>
        </w:rPr>
        <w:t xml:space="preserve"> </w:t>
      </w:r>
      <w:r w:rsidRPr="00295B4A">
        <w:rPr>
          <w:rFonts w:eastAsia="Times New Roman"/>
          <w:lang w:eastAsia="en-GB"/>
        </w:rPr>
        <w:t>particularly high levels of dyslexia-ness in the Control subgroup</w:t>
      </w:r>
      <w:r>
        <w:rPr>
          <w:rFonts w:eastAsia="Times New Roman"/>
          <w:lang w:eastAsia="en-GB"/>
        </w:rPr>
        <w:t xml:space="preserve"> </w:t>
      </w:r>
      <w:r w:rsidRPr="00295B4A">
        <w:rPr>
          <w:rFonts w:eastAsia="Times New Roman"/>
          <w:lang w:eastAsia="en-GB"/>
        </w:rPr>
        <w:t>were compared to</w:t>
      </w:r>
      <w:r>
        <w:rPr>
          <w:rFonts w:eastAsia="Times New Roman"/>
          <w:lang w:eastAsia="en-GB"/>
        </w:rPr>
        <w:t xml:space="preserve"> </w:t>
      </w:r>
      <w:r w:rsidRPr="00295B4A">
        <w:rPr>
          <w:rFonts w:eastAsia="Times New Roman"/>
          <w:lang w:eastAsia="en-GB"/>
        </w:rPr>
        <w:t>non-dyslexic students with low levels of dyslexia-ness in the Base subgroup, the differences are more marked.</w:t>
      </w:r>
      <w:r>
        <w:rPr>
          <w:rFonts w:eastAsia="Times New Roman"/>
          <w:lang w:eastAsia="en-GB"/>
        </w:rPr>
        <w:t xml:space="preserve"> </w:t>
      </w:r>
      <w:r w:rsidRPr="00295B4A">
        <w:rPr>
          <w:rFonts w:eastAsia="Times New Roman"/>
          <w:lang w:eastAsia="en-GB"/>
        </w:rPr>
        <w:t>These criteria established the greatest absolute difference in mean ABC at</w:t>
      </w:r>
      <w:r>
        <w:rPr>
          <w:rFonts w:eastAsia="Times New Roman"/>
          <w:lang w:eastAsia="en-GB"/>
        </w:rPr>
        <w:t xml:space="preserve"> </w:t>
      </w:r>
      <w:r w:rsidRPr="00295B4A">
        <w:rPr>
          <w:rFonts w:eastAsia="Times New Roman"/>
          <w:lang w:eastAsia="en-GB"/>
        </w:rPr>
        <w:t>14.96 percentage points (</w:t>
      </w:r>
      <w:r w:rsidR="006D3882">
        <w:rPr>
          <w:rFonts w:eastAsia="Times New Roman"/>
          <w:lang w:eastAsia="en-GB"/>
        </w:rPr>
        <w:t xml:space="preserve">from Table 15: Dx16 Scale, </w:t>
      </w:r>
      <w:r w:rsidRPr="00295B4A">
        <w:rPr>
          <w:rFonts w:eastAsia="Times New Roman"/>
          <w:lang w:eastAsia="en-GB"/>
        </w:rPr>
        <w:t>ABC17</w:t>
      </w:r>
      <w:r w:rsidR="006D3882">
        <w:rPr>
          <w:rFonts w:eastAsia="Times New Roman"/>
          <w:lang w:eastAsia="en-GB"/>
        </w:rPr>
        <w:t>: Base: 72.79, Control: 57.83</w:t>
      </w:r>
      <w:r w:rsidRPr="00295B4A">
        <w:rPr>
          <w:rFonts w:eastAsia="Times New Roman"/>
          <w:lang w:eastAsia="en-GB"/>
        </w:rPr>
        <w:t xml:space="preserve">). The least difference between students in these subgroups of 12.45 percentage points (ABC17-L, Dx16) still represented a substantial difference. In the most extreme case, those values represented a 26% relative difference between the academic confidence of strongly dyslexic students and their strongly non-dyslexic peers when levels of dyslexia-ness </w:t>
      </w:r>
      <w:r>
        <w:rPr>
          <w:rFonts w:eastAsia="Times New Roman"/>
          <w:lang w:eastAsia="en-GB"/>
        </w:rPr>
        <w:t>we</w:t>
      </w:r>
      <w:r w:rsidRPr="00295B4A">
        <w:rPr>
          <w:rFonts w:eastAsia="Times New Roman"/>
          <w:lang w:eastAsia="en-GB"/>
        </w:rPr>
        <w:t>re taken as the gauge. When</w:t>
      </w:r>
      <w:r>
        <w:rPr>
          <w:rFonts w:eastAsia="Times New Roman"/>
          <w:lang w:eastAsia="en-GB"/>
        </w:rPr>
        <w:t xml:space="preserve"> </w:t>
      </w:r>
      <w:r w:rsidRPr="00295B4A">
        <w:rPr>
          <w:rFonts w:eastAsia="Times New Roman"/>
          <w:lang w:eastAsia="en-GB"/>
        </w:rPr>
        <w:t>sample size and distribution variances were taken into account, the greatest effect size of</w:t>
      </w:r>
      <w:r>
        <w:rPr>
          <w:rFonts w:eastAsia="Times New Roman"/>
          <w:lang w:eastAsia="en-GB"/>
        </w:rPr>
        <w:t xml:space="preserve"> </w:t>
      </w:r>
      <w:r w:rsidRPr="00295B4A">
        <w:rPr>
          <w:rFonts w:eastAsia="Times New Roman"/>
          <w:i/>
          <w:iCs/>
          <w:lang w:eastAsia="en-GB"/>
        </w:rPr>
        <w:t>g </w:t>
      </w:r>
      <w:r w:rsidRPr="00295B4A">
        <w:rPr>
          <w:rFonts w:eastAsia="Times New Roman"/>
          <w:lang w:eastAsia="en-GB"/>
        </w:rPr>
        <w:t>= 1.0864, [~,1.526] emerged when the 24-item ABC Scale was used to gauge datasets</w:t>
      </w:r>
      <w:r>
        <w:rPr>
          <w:rFonts w:eastAsia="Times New Roman"/>
          <w:lang w:eastAsia="en-GB"/>
        </w:rPr>
        <w:t xml:space="preserve"> </w:t>
      </w:r>
      <w:r w:rsidRPr="00295B4A">
        <w:rPr>
          <w:rFonts w:eastAsia="Times New Roman"/>
          <w:lang w:eastAsia="en-GB"/>
        </w:rPr>
        <w:t xml:space="preserve">sifted into the Control and Base subgroups using the Dx16 Scale. </w:t>
      </w:r>
      <w:r>
        <w:rPr>
          <w:rFonts w:eastAsia="Times New Roman"/>
          <w:lang w:eastAsia="en-GB"/>
        </w:rPr>
        <w:t>T</w:t>
      </w:r>
      <w:r w:rsidRPr="00295B4A">
        <w:rPr>
          <w:rFonts w:eastAsia="Times New Roman"/>
          <w:lang w:eastAsia="en-GB"/>
        </w:rPr>
        <w:t>his effect size was considered as large to very large.</w:t>
      </w:r>
    </w:p>
    <w:p w14:paraId="0B874116" w14:textId="5FED0E12" w:rsidR="00295B4A" w:rsidRPr="00595DEB" w:rsidRDefault="00295B4A" w:rsidP="00595DEB">
      <w:pPr>
        <w:rPr>
          <w:rFonts w:eastAsia="Times New Roman"/>
          <w:lang w:eastAsia="en-GB"/>
        </w:rPr>
      </w:pPr>
      <w:r>
        <w:lastRenderedPageBreak/>
        <w:t>In comparison with their strongly non-dyslexic peers in the Base subgroup, students in the Control subgroup of identified, dyslexic students present a significantly lower mean ABC (72.44-73.44, 57.83-60.83, respectively), indicated by a large effect size (0.876 &lt; </w:t>
      </w:r>
      <w:r>
        <w:rPr>
          <w:i/>
          <w:iCs/>
        </w:rPr>
        <w:t>g</w:t>
      </w:r>
      <w:r>
        <w:t xml:space="preserve"> &lt; 1.086 [~, 1.329-1.385]), supported by corresponding NHST outcomes (ABC17-L, Dx20: t(77)=3.98, </w:t>
      </w:r>
      <w:r>
        <w:rPr>
          <w:i/>
          <w:iCs/>
        </w:rPr>
        <w:t>p</w:t>
      </w:r>
      <w:r>
        <w:t xml:space="preserve"> &lt; 0.001; ABC24, Dx16: t(83)=5.16, </w:t>
      </w:r>
      <w:r>
        <w:rPr>
          <w:i/>
          <w:iCs/>
        </w:rPr>
        <w:t>p </w:t>
      </w:r>
      <w:r>
        <w:t>&lt; 0.001).</w:t>
      </w:r>
    </w:p>
    <w:p w14:paraId="11660D0B" w14:textId="67A50D9D" w:rsidR="00295B4A" w:rsidRDefault="00295B4A" w:rsidP="00295B4A">
      <w:pPr>
        <w:pStyle w:val="Heading4"/>
        <w:rPr>
          <w:rFonts w:ascii="Times New Roman" w:eastAsia="Times New Roman" w:hAnsi="Times New Roman"/>
        </w:rPr>
      </w:pPr>
      <w:r>
        <w:t>II</w:t>
      </w:r>
      <w:r w:rsidR="003F5E2A">
        <w:t>I</w:t>
      </w:r>
      <w:r w:rsidR="00CA48C2">
        <w:t xml:space="preserve">  </w:t>
      </w:r>
      <w:r>
        <w:t>Differences in ABC between the quasi-dyslexic</w:t>
      </w:r>
      <w:r w:rsidR="003F5E2A">
        <w:t xml:space="preserve"> (Test)</w:t>
      </w:r>
      <w:r>
        <w:t xml:space="preserve"> and dyslexic </w:t>
      </w:r>
      <w:r w:rsidR="003F5E2A">
        <w:t xml:space="preserve">(Control) </w:t>
      </w:r>
      <w:r>
        <w:t>subgroups:</w:t>
      </w:r>
    </w:p>
    <w:p w14:paraId="420C7904" w14:textId="1E9D5C7A" w:rsidR="00295B4A" w:rsidRDefault="00295B4A" w:rsidP="00295B4A">
      <w:r>
        <w:t>With attention focused on differences between students in the quasi-dyslexic, Test, subgroup and the dyslexic students in the Control subgroup, the outcomes were less marked but still of interest. Overall, when any of the ABC Scales were applied to datasets in these subgroups, whether sifted according to the Dx20 Profiler Scale or the Dx16 alternative, mean ABC values were higher for the quasi-dyslexic students when compared with their identified-dyslexic peers.</w:t>
      </w:r>
    </w:p>
    <w:p w14:paraId="1656AC7A" w14:textId="18B25B66" w:rsidR="00295B4A" w:rsidRDefault="00295B4A" w:rsidP="00F5045A">
      <w:r>
        <w:t>Whichever ABC Scale was used, differences between ABC means were greater than 5 percentage points when the Test and Control subgroups were generated from the Dx16 Profiler, with the greatest, absolute difference in mean ABC of 5.85 percentage points when the ABC17 Scale was applied (</w:t>
      </w:r>
      <w:r w:rsidR="000E71C3">
        <w:t xml:space="preserve">from </w:t>
      </w:r>
      <w:r>
        <w:t>Table 1</w:t>
      </w:r>
      <w:r w:rsidR="0063711A">
        <w:t>4</w:t>
      </w:r>
      <w:r>
        <w:t>). Taking into account distribution variances and sample sizes, effect sizes were in the range 0.378 &lt; </w:t>
      </w:r>
      <w:r>
        <w:rPr>
          <w:i/>
          <w:iCs/>
        </w:rPr>
        <w:t>g </w:t>
      </w:r>
      <w:r>
        <w:t>&lt; 0.406, with confidence interval upper boundaries falling in the range [~,0.924] to [~,0.954]. These represent moderate-to-low effect sizes although the true effect sizes may be substantially larger, as indicated by the upper boundaries of the confidence intervals. Given the small sample size of the Test subgroup, (n=19) in comparison to the Control subgroup (n=43), this degree of imprecision is not unexpected. Effects were smaller when datasets were generated and sifted according to the Dx20 Profiler, with absolute differences ranging between 2.38 and 4.16 percentage points, corresponding to an effect size range of 0.184 &lt; </w:t>
      </w:r>
      <w:r>
        <w:rPr>
          <w:i/>
          <w:iCs/>
        </w:rPr>
        <w:t>g </w:t>
      </w:r>
      <w:r>
        <w:t>&lt; 0.268, ([~,0.744] to [~,0.828]), with uncertainty likely to be related to sample sizes (Test: n=18, Control: n=40). However, in all cases, the mean ABC for the quasi-dyslexic subgroup exceeded levels</w:t>
      </w:r>
      <w:r w:rsidR="0098576A">
        <w:t xml:space="preserve"> </w:t>
      </w:r>
      <w:r>
        <w:t>for the dyslexic subgroup.</w:t>
      </w:r>
    </w:p>
    <w:p w14:paraId="027E514B" w14:textId="72D09196" w:rsidR="00295B4A" w:rsidRPr="00595DEB" w:rsidRDefault="00295B4A" w:rsidP="00595DEB">
      <w:pPr>
        <w:rPr>
          <w:rFonts w:ascii="Times New Roman" w:eastAsia="Times New Roman" w:hAnsi="Times New Roman"/>
        </w:rPr>
      </w:pPr>
      <w:r>
        <w:t>Thus, in comparison with students in the Control subgroup of identified, dyslexic students, quasi-dyslexic students in the Test subgroup presented a</w:t>
      </w:r>
      <w:r w:rsidR="0098576A">
        <w:t xml:space="preserve"> </w:t>
      </w:r>
      <w:r>
        <w:t>higher mean ABC (57.83-60.83, 61.72-65.95 respectively) indicated by a low-to-moderate effect size ( 0.184 &lt; </w:t>
      </w:r>
      <w:r>
        <w:rPr>
          <w:i/>
          <w:iCs/>
        </w:rPr>
        <w:t xml:space="preserve">g &lt; </w:t>
      </w:r>
      <w:r>
        <w:t xml:space="preserve">0.406; [~, -0.744-0.954]). None of the NHST outcomes indicated differences to be significant although the outcome </w:t>
      </w:r>
      <w:r w:rsidR="00C45170">
        <w:t xml:space="preserve">generated from </w:t>
      </w:r>
      <w:r>
        <w:t xml:space="preserve">the ABC17 Scale and the Dx16 Profiler was </w:t>
      </w:r>
      <w:r w:rsidR="00C45170">
        <w:t xml:space="preserve">marginal </w:t>
      </w:r>
      <w:r>
        <w:t>(t(38)=1.504, </w:t>
      </w:r>
      <w:r>
        <w:rPr>
          <w:i/>
          <w:iCs/>
        </w:rPr>
        <w:t>p </w:t>
      </w:r>
      <w:r>
        <w:t>=0.0703).</w:t>
      </w:r>
      <w:r w:rsidR="00C45170">
        <w:t xml:space="preserve"> </w:t>
      </w:r>
      <w:r>
        <w:t xml:space="preserve">Hence evidence to reject the Null Hypothesis (2) </w:t>
      </w:r>
      <w:r w:rsidR="00C45170">
        <w:t xml:space="preserve">was also marginal when </w:t>
      </w:r>
      <w:r>
        <w:t xml:space="preserve">based on students in this datapool. However, the differences that did emerge presented a clear pattern, with quasi-dyslexic </w:t>
      </w:r>
      <w:r>
        <w:lastRenderedPageBreak/>
        <w:t xml:space="preserve">students </w:t>
      </w:r>
      <w:r w:rsidR="00C45170">
        <w:t xml:space="preserve">consistently </w:t>
      </w:r>
      <w:r>
        <w:t xml:space="preserve">presenting higher levels of academic confidence </w:t>
      </w:r>
      <w:r w:rsidR="00C45170">
        <w:t xml:space="preserve">on average, </w:t>
      </w:r>
      <w:r>
        <w:t>than their dyslexia-identified peers.</w:t>
      </w:r>
    </w:p>
    <w:p w14:paraId="76F8FD59" w14:textId="5E1B74E3" w:rsidR="00295B4A" w:rsidRDefault="009A27D7">
      <w:pPr>
        <w:spacing w:before="0" w:after="160" w:line="259" w:lineRule="auto"/>
      </w:pPr>
      <w:r>
        <w:t>Implications of these outcomes are discussed below (Section 5)</w:t>
      </w:r>
      <w:r w:rsidR="00202BFF">
        <w:t>.</w:t>
      </w:r>
    </w:p>
    <w:p w14:paraId="6FD469FD" w14:textId="3B0940C7" w:rsidR="00EE15CF" w:rsidRDefault="00EE15CF">
      <w:pPr>
        <w:spacing w:before="0" w:after="160" w:line="259" w:lineRule="auto"/>
      </w:pPr>
    </w:p>
    <w:p w14:paraId="1D0EBDB3" w14:textId="586DD483" w:rsidR="007B0625" w:rsidRDefault="007B0625" w:rsidP="007B0625">
      <w:pPr>
        <w:pStyle w:val="Heading2"/>
      </w:pPr>
      <w:bookmarkStart w:id="214" w:name="_Toc57035929"/>
      <w:r>
        <w:t>4.</w:t>
      </w:r>
      <w:r w:rsidR="00490BD3">
        <w:t>5</w:t>
      </w:r>
      <w:bookmarkEnd w:id="207"/>
      <w:r w:rsidR="004D5123">
        <w:tab/>
      </w:r>
      <w:r w:rsidR="00202BFF">
        <w:t>Further analysis: Dimension reduction</w:t>
      </w:r>
      <w:bookmarkEnd w:id="214"/>
    </w:p>
    <w:p w14:paraId="65347DA7" w14:textId="7B388A9C" w:rsidR="001D265F" w:rsidRPr="001D265F" w:rsidRDefault="00CA48C2" w:rsidP="001D265F">
      <w:pPr>
        <w:pStyle w:val="Heading3"/>
      </w:pPr>
      <w:bookmarkStart w:id="215" w:name="_Toc9795765"/>
      <w:bookmarkStart w:id="216" w:name="_Toc57035930"/>
      <w:r>
        <w:t>I</w:t>
      </w:r>
      <w:r w:rsidR="004D5123">
        <w:tab/>
      </w:r>
      <w:r w:rsidR="007B0625" w:rsidRPr="00461E96">
        <w:t xml:space="preserve">Applying </w:t>
      </w:r>
      <w:r w:rsidR="00F046E9">
        <w:t xml:space="preserve">dimension reduction to the </w:t>
      </w:r>
      <w:r w:rsidR="001D265F">
        <w:t xml:space="preserve">ABC Scales and the </w:t>
      </w:r>
      <w:r w:rsidR="00F046E9">
        <w:t>Dx Profiler</w:t>
      </w:r>
      <w:bookmarkEnd w:id="215"/>
      <w:r w:rsidR="001D265F">
        <w:t>s</w:t>
      </w:r>
      <w:bookmarkEnd w:id="216"/>
    </w:p>
    <w:p w14:paraId="2CE51DDF" w14:textId="53ECB84D" w:rsidR="001D265F" w:rsidRDefault="001D265F" w:rsidP="001D265F">
      <w:pPr>
        <w:rPr>
          <w:rFonts w:eastAsia="Times New Roman"/>
          <w:lang w:eastAsia="en-GB"/>
        </w:rPr>
      </w:pPr>
      <w:r w:rsidRPr="001D265F">
        <w:rPr>
          <w:rFonts w:eastAsia="Times New Roman"/>
          <w:lang w:eastAsia="en-GB"/>
        </w:rPr>
        <w:t>The ABC Scales and Dx Profilers are multi-dimensional, continuous variable, linear scales.</w:t>
      </w:r>
      <w:r w:rsidR="003E15EB">
        <w:rPr>
          <w:rFonts w:eastAsia="Times New Roman"/>
          <w:lang w:eastAsia="en-GB"/>
        </w:rPr>
        <w:t xml:space="preserve"> </w:t>
      </w:r>
      <w:r w:rsidRPr="001D265F">
        <w:rPr>
          <w:rFonts w:eastAsia="Times New Roman"/>
          <w:lang w:eastAsia="en-GB"/>
        </w:rPr>
        <w:t>Of the many dimension reduction techniques available to explore possible sub-scale structures, Principal Component Analysis (PCA) was chosen as the most appropriate firstly, because all precedents for dimension reduction applied to the ABC Scale had used this process, and hence guidance was available; secondly, a factor structure that emerged from PCA on the data in this current study could then be considered alongside existing factor structures for the ABC Scale determined from similar processes.</w:t>
      </w:r>
    </w:p>
    <w:p w14:paraId="2EF447A9" w14:textId="77777777" w:rsidR="009F5F43" w:rsidRDefault="009F5F43" w:rsidP="009F5F43">
      <w:pPr>
        <w:rPr>
          <w:rFonts w:eastAsia="Times New Roman"/>
          <w:lang w:eastAsia="en-GB"/>
        </w:rPr>
      </w:pPr>
      <w:r w:rsidRPr="001D265F">
        <w:rPr>
          <w:rFonts w:eastAsia="Times New Roman"/>
          <w:lang w:eastAsia="en-GB"/>
        </w:rPr>
        <w:t>To maintain</w:t>
      </w:r>
      <w:r>
        <w:rPr>
          <w:rFonts w:eastAsia="Times New Roman"/>
          <w:lang w:eastAsia="en-GB"/>
        </w:rPr>
        <w:t xml:space="preserve"> </w:t>
      </w:r>
      <w:r w:rsidRPr="001D265F">
        <w:rPr>
          <w:rFonts w:eastAsia="Times New Roman"/>
          <w:lang w:eastAsia="en-GB"/>
        </w:rPr>
        <w:t>consistency of dimension reduction, and also to minimize computational complexity, PCA was also the preferred choice for the Dx Profiler. However, because this metric was developed uniquely for this study, only the local</w:t>
      </w:r>
      <w:r>
        <w:rPr>
          <w:rFonts w:eastAsia="Times New Roman"/>
          <w:lang w:eastAsia="en-GB"/>
        </w:rPr>
        <w:t>ly collected</w:t>
      </w:r>
      <w:r w:rsidRPr="001D265F">
        <w:rPr>
          <w:rFonts w:eastAsia="Times New Roman"/>
          <w:lang w:eastAsia="en-GB"/>
        </w:rPr>
        <w:t xml:space="preserve"> data </w:t>
      </w:r>
      <w:r>
        <w:rPr>
          <w:rFonts w:eastAsia="Times New Roman"/>
          <w:lang w:eastAsia="en-GB"/>
        </w:rPr>
        <w:t>(</w:t>
      </w:r>
      <w:r w:rsidRPr="001D265F">
        <w:rPr>
          <w:rFonts w:eastAsia="Times New Roman"/>
          <w:lang w:eastAsia="en-GB"/>
        </w:rPr>
        <w:t>n=166 participants</w:t>
      </w:r>
      <w:r>
        <w:rPr>
          <w:rFonts w:eastAsia="Times New Roman"/>
          <w:lang w:eastAsia="en-GB"/>
        </w:rPr>
        <w:t>)</w:t>
      </w:r>
      <w:r w:rsidRPr="001D265F">
        <w:rPr>
          <w:rFonts w:eastAsia="Times New Roman"/>
          <w:lang w:eastAsia="en-GB"/>
        </w:rPr>
        <w:t xml:space="preserve"> w</w:t>
      </w:r>
      <w:r>
        <w:rPr>
          <w:rFonts w:eastAsia="Times New Roman"/>
          <w:lang w:eastAsia="en-GB"/>
        </w:rPr>
        <w:t>ere</w:t>
      </w:r>
      <w:r w:rsidRPr="001D265F">
        <w:rPr>
          <w:rFonts w:eastAsia="Times New Roman"/>
          <w:lang w:eastAsia="en-GB"/>
        </w:rPr>
        <w:t xml:space="preserve"> available. Consequently,</w:t>
      </w:r>
      <w:r>
        <w:rPr>
          <w:rFonts w:eastAsia="Times New Roman"/>
          <w:lang w:eastAsia="en-GB"/>
        </w:rPr>
        <w:t xml:space="preserve"> </w:t>
      </w:r>
      <w:r w:rsidRPr="001D265F">
        <w:rPr>
          <w:rFonts w:eastAsia="Times New Roman"/>
          <w:lang w:eastAsia="en-GB"/>
        </w:rPr>
        <w:t>the factor analysis of the Dx Profiler was considered unlikely to be sufficiently reliable to contribute to a deeper interpretation of the data in this</w:t>
      </w:r>
      <w:r>
        <w:rPr>
          <w:rFonts w:eastAsia="Times New Roman"/>
          <w:lang w:eastAsia="en-GB"/>
        </w:rPr>
        <w:t xml:space="preserve"> </w:t>
      </w:r>
      <w:r w:rsidRPr="001D265F">
        <w:rPr>
          <w:rFonts w:eastAsia="Times New Roman"/>
          <w:lang w:eastAsia="en-GB"/>
        </w:rPr>
        <w:t>study</w:t>
      </w:r>
      <w:r>
        <w:rPr>
          <w:rFonts w:eastAsia="Times New Roman"/>
          <w:lang w:eastAsia="en-GB"/>
        </w:rPr>
        <w:t>. However, the process was completed to assess whether any early indications of a possible sub-scale structure emerged</w:t>
      </w:r>
      <w:r w:rsidRPr="001D265F">
        <w:rPr>
          <w:rFonts w:eastAsia="Times New Roman"/>
          <w:lang w:eastAsia="en-GB"/>
        </w:rPr>
        <w:t>. Reserving data until they can be supplemented from subsequent studies was considered the most prudent course of action.</w:t>
      </w:r>
    </w:p>
    <w:p w14:paraId="2EAF8DB9" w14:textId="3F322619" w:rsidR="007B5DE1" w:rsidRDefault="007B5DE1" w:rsidP="007B0625">
      <w:pPr>
        <w:rPr>
          <w:rFonts w:eastAsia="Times New Roman"/>
          <w:lang w:eastAsia="en-GB"/>
        </w:rPr>
      </w:pPr>
      <w:r w:rsidRPr="007B5DE1">
        <w:rPr>
          <w:rFonts w:eastAsia="Times New Roman"/>
          <w:lang w:eastAsia="en-GB"/>
        </w:rPr>
        <w:t>Furth</w:t>
      </w:r>
      <w:r>
        <w:rPr>
          <w:rFonts w:eastAsia="Times New Roman"/>
          <w:lang w:eastAsia="en-GB"/>
        </w:rPr>
        <w:t>er</w:t>
      </w:r>
      <w:r w:rsidRPr="007B5DE1">
        <w:rPr>
          <w:rFonts w:eastAsia="Times New Roman"/>
          <w:lang w:eastAsia="en-GB"/>
        </w:rPr>
        <w:t>more, it was anticipated that once the dimension reduction processes were completed, determining the number of factors to retain was likely to be far from straightforward, not least in the light of controversy in research communities about the best criteria to adopt. Hence, parallel analyses using randomized raw score data simulations were conducted to aid this process (Eigenvalue Monte Carlo Simulations).</w:t>
      </w:r>
    </w:p>
    <w:p w14:paraId="6D8EAAB7" w14:textId="30A4C050" w:rsidR="001D265F" w:rsidRPr="001D265F" w:rsidRDefault="007B0625" w:rsidP="001D265F">
      <w:pPr>
        <w:pStyle w:val="Heading4"/>
      </w:pPr>
      <w:r w:rsidRPr="00537A60">
        <w:t>Assumptions and preliminary work</w:t>
      </w:r>
    </w:p>
    <w:p w14:paraId="7B74E5F1" w14:textId="285D3A81" w:rsidR="001D265F" w:rsidRDefault="001D265F" w:rsidP="00687BA0">
      <w:pPr>
        <w:rPr>
          <w:rFonts w:eastAsia="Times New Roman"/>
          <w:lang w:eastAsia="en-GB"/>
        </w:rPr>
      </w:pPr>
      <w:r w:rsidRPr="001D265F">
        <w:rPr>
          <w:rFonts w:eastAsia="Times New Roman"/>
          <w:lang w:eastAsia="en-GB"/>
        </w:rPr>
        <w:t>Although complete-scale outcomes have enabled the research hypotheses to be addressed and conclusions drawn, precedents set for the ABC Scale</w:t>
      </w:r>
      <w:r w:rsidR="005A53B0">
        <w:rPr>
          <w:rFonts w:eastAsia="Times New Roman"/>
          <w:lang w:eastAsia="en-GB"/>
        </w:rPr>
        <w:t xml:space="preserve"> </w:t>
      </w:r>
      <w:r w:rsidRPr="001D265F">
        <w:rPr>
          <w:rFonts w:eastAsia="Times New Roman"/>
          <w:lang w:eastAsia="en-GB"/>
        </w:rPr>
        <w:t>indicated that applying dimension reduction to explore any factor structure which may emerge could reveal</w:t>
      </w:r>
      <w:r w:rsidR="005A53B0">
        <w:rPr>
          <w:rFonts w:eastAsia="Times New Roman"/>
          <w:lang w:eastAsia="en-GB"/>
        </w:rPr>
        <w:t xml:space="preserve"> </w:t>
      </w:r>
      <w:r w:rsidRPr="001D265F">
        <w:rPr>
          <w:rFonts w:eastAsia="Times New Roman"/>
          <w:lang w:eastAsia="en-GB"/>
        </w:rPr>
        <w:t xml:space="preserve">more nuanced outcomes, subsequently permitting a deeper interpretation of the </w:t>
      </w:r>
      <w:r w:rsidRPr="001D265F">
        <w:rPr>
          <w:rFonts w:eastAsia="Times New Roman"/>
          <w:lang w:eastAsia="en-GB"/>
        </w:rPr>
        <w:lastRenderedPageBreak/>
        <w:t>data collected.</w:t>
      </w:r>
      <w:r w:rsidR="003974F5">
        <w:rPr>
          <w:rFonts w:eastAsia="Times New Roman"/>
          <w:lang w:eastAsia="en-GB"/>
        </w:rPr>
        <w:t xml:space="preserve"> </w:t>
      </w:r>
      <w:r w:rsidR="003974F5" w:rsidRPr="001D265F">
        <w:rPr>
          <w:rFonts w:eastAsia="Times New Roman"/>
          <w:lang w:eastAsia="en-GB"/>
        </w:rPr>
        <w:t xml:space="preserve">In this current study, </w:t>
      </w:r>
      <w:r w:rsidR="003214C8">
        <w:rPr>
          <w:rFonts w:eastAsia="Times New Roman"/>
          <w:lang w:eastAsia="en-GB"/>
        </w:rPr>
        <w:t>four</w:t>
      </w:r>
      <w:r w:rsidR="003974F5" w:rsidRPr="001D265F">
        <w:rPr>
          <w:rFonts w:eastAsia="Times New Roman"/>
          <w:lang w:eastAsia="en-GB"/>
        </w:rPr>
        <w:t xml:space="preserve"> possible ABC Scales emerged as contenders for the most appropriate for analysing data, together with two versions of the Dx Profiler. Assumptions and preliminary work was carried out for all of these, but as exemplars, details are reported for the ABC24 Scale and for the Dx16</w:t>
      </w:r>
      <w:r w:rsidR="003974F5">
        <w:rPr>
          <w:rFonts w:eastAsia="Times New Roman"/>
          <w:lang w:eastAsia="en-GB"/>
        </w:rPr>
        <w:t xml:space="preserve"> </w:t>
      </w:r>
      <w:r w:rsidR="003974F5" w:rsidRPr="001D265F">
        <w:rPr>
          <w:rFonts w:eastAsia="Times New Roman"/>
          <w:lang w:eastAsia="en-GB"/>
        </w:rPr>
        <w:t>Profiler</w:t>
      </w:r>
      <w:r w:rsidR="003974F5">
        <w:rPr>
          <w:rFonts w:eastAsia="Times New Roman"/>
          <w:lang w:eastAsia="en-GB"/>
        </w:rPr>
        <w:t>,</w:t>
      </w:r>
      <w:r w:rsidR="003974F5" w:rsidRPr="001D265F">
        <w:rPr>
          <w:rFonts w:eastAsia="Times New Roman"/>
          <w:lang w:eastAsia="en-GB"/>
        </w:rPr>
        <w:t xml:space="preserve"> although</w:t>
      </w:r>
      <w:r w:rsidR="003974F5">
        <w:rPr>
          <w:rFonts w:eastAsia="Times New Roman"/>
          <w:lang w:eastAsia="en-GB"/>
        </w:rPr>
        <w:t xml:space="preserve"> </w:t>
      </w:r>
      <w:r w:rsidR="003974F5" w:rsidRPr="001D265F">
        <w:rPr>
          <w:rFonts w:eastAsia="Times New Roman"/>
          <w:lang w:eastAsia="en-GB"/>
        </w:rPr>
        <w:t>identical processes were conducted for all scales which produced similar results.</w:t>
      </w:r>
    </w:p>
    <w:p w14:paraId="02ECEB2C" w14:textId="657C2CDA" w:rsidR="001D265F" w:rsidRPr="001D265F" w:rsidRDefault="001D265F" w:rsidP="001D265F">
      <w:pPr>
        <w:rPr>
          <w:rFonts w:eastAsia="Times New Roman"/>
          <w:lang w:eastAsia="en-GB"/>
        </w:rPr>
      </w:pPr>
      <w:r w:rsidRPr="001D265F">
        <w:rPr>
          <w:rFonts w:eastAsia="Times New Roman"/>
          <w:lang w:eastAsia="en-GB"/>
        </w:rPr>
        <w:t>For a PCA to be valid, it is considered that a scale-item variable that presents a correlation of</w:t>
      </w:r>
      <w:r w:rsidR="005A53B0">
        <w:rPr>
          <w:rFonts w:eastAsia="Times New Roman"/>
          <w:lang w:eastAsia="en-GB"/>
        </w:rPr>
        <w:t xml:space="preserve"> </w:t>
      </w:r>
      <w:r w:rsidRPr="005A53B0">
        <w:rPr>
          <w:rFonts w:eastAsia="Times New Roman"/>
          <w:i/>
          <w:iCs/>
          <w:lang w:eastAsia="en-GB"/>
        </w:rPr>
        <w:t>r</w:t>
      </w:r>
      <w:r w:rsidRPr="001D265F">
        <w:rPr>
          <w:rFonts w:eastAsia="Times New Roman"/>
          <w:lang w:eastAsia="en-GB"/>
        </w:rPr>
        <w:t xml:space="preserve"> ≥ 0.3 with at least one other scale-item variable is worthy of inclusion in the analysis (Hinton et al., 2004). An analysis of the inter-variable correlation matrix for both metrics showed that for the ABC24 Scale, 138 out of the 300 possible correlations returned a coefficient of </w:t>
      </w:r>
      <w:r w:rsidRPr="005A53B0">
        <w:rPr>
          <w:rFonts w:eastAsia="Times New Roman"/>
          <w:i/>
          <w:iCs/>
          <w:lang w:eastAsia="en-GB"/>
        </w:rPr>
        <w:t>r</w:t>
      </w:r>
      <w:r w:rsidRPr="001D265F">
        <w:rPr>
          <w:rFonts w:eastAsia="Times New Roman"/>
          <w:lang w:eastAsia="en-GB"/>
        </w:rPr>
        <w:t xml:space="preserve"> ≥ 0.3 with all variables returning at least one correlation of r ≥ 0.3. For the Dx16</w:t>
      </w:r>
      <w:r w:rsidR="00557DFB">
        <w:rPr>
          <w:rFonts w:eastAsia="Times New Roman"/>
          <w:lang w:eastAsia="en-GB"/>
        </w:rPr>
        <w:t xml:space="preserve"> </w:t>
      </w:r>
      <w:r w:rsidRPr="001D265F">
        <w:rPr>
          <w:rFonts w:eastAsia="Times New Roman"/>
          <w:lang w:eastAsia="en-GB"/>
        </w:rPr>
        <w:t>Profiler,</w:t>
      </w:r>
      <w:r w:rsidR="00557DFB">
        <w:rPr>
          <w:rFonts w:eastAsia="Times New Roman"/>
          <w:lang w:eastAsia="en-GB"/>
        </w:rPr>
        <w:t xml:space="preserve"> </w:t>
      </w:r>
      <w:r w:rsidRPr="001D265F">
        <w:rPr>
          <w:rFonts w:eastAsia="Times New Roman"/>
          <w:lang w:eastAsia="en-GB"/>
        </w:rPr>
        <w:t xml:space="preserve">of the 120 possible correlation outcomes, 80 returned a Pearson correlation coefficient of </w:t>
      </w:r>
      <w:r w:rsidRPr="005A53B0">
        <w:rPr>
          <w:rFonts w:eastAsia="Times New Roman"/>
          <w:i/>
          <w:iCs/>
          <w:lang w:eastAsia="en-GB"/>
        </w:rPr>
        <w:t xml:space="preserve">r </w:t>
      </w:r>
      <w:r w:rsidRPr="001D265F">
        <w:rPr>
          <w:rFonts w:eastAsia="Times New Roman"/>
          <w:lang w:eastAsia="en-GB"/>
        </w:rPr>
        <w:t xml:space="preserve">≥ 0.3, also with all variables returning at least one correlation of </w:t>
      </w:r>
      <w:r w:rsidRPr="005A53B0">
        <w:rPr>
          <w:rFonts w:eastAsia="Times New Roman"/>
          <w:i/>
          <w:iCs/>
          <w:lang w:eastAsia="en-GB"/>
        </w:rPr>
        <w:t>r</w:t>
      </w:r>
      <w:r w:rsidRPr="001D265F">
        <w:rPr>
          <w:rFonts w:eastAsia="Times New Roman"/>
          <w:lang w:eastAsia="en-GB"/>
        </w:rPr>
        <w:t xml:space="preserve"> ≥ 0.3 with any other variable.</w:t>
      </w:r>
    </w:p>
    <w:p w14:paraId="548C53EB" w14:textId="77777777" w:rsidR="009F5F43" w:rsidRDefault="009F5F43" w:rsidP="009F5F43">
      <w:pPr>
        <w:rPr>
          <w:rFonts w:eastAsia="Times New Roman"/>
          <w:lang w:eastAsia="en-GB"/>
        </w:rPr>
      </w:pPr>
      <w:r w:rsidRPr="001D265F">
        <w:rPr>
          <w:rFonts w:eastAsia="Times New Roman"/>
          <w:lang w:eastAsia="en-GB"/>
        </w:rPr>
        <w:t>Furthermore, sufficient sampling adequacy is fundamental to PCA, but this adequacy is a function of the number of observations rather than the sample sizes(s) per se. Statistical conventions indicate that a</w:t>
      </w:r>
      <w:r>
        <w:rPr>
          <w:rFonts w:eastAsia="Times New Roman"/>
          <w:lang w:eastAsia="en-GB"/>
        </w:rPr>
        <w:t xml:space="preserve">t least </w:t>
      </w:r>
      <w:r w:rsidRPr="001D265F">
        <w:rPr>
          <w:rFonts w:eastAsia="Times New Roman"/>
          <w:lang w:eastAsia="en-GB"/>
        </w:rPr>
        <w:t xml:space="preserve">150 observations </w:t>
      </w:r>
      <w:r>
        <w:rPr>
          <w:rFonts w:eastAsia="Times New Roman"/>
          <w:lang w:eastAsia="en-GB"/>
        </w:rPr>
        <w:t>would be</w:t>
      </w:r>
      <w:r w:rsidRPr="001D265F">
        <w:rPr>
          <w:rFonts w:eastAsia="Times New Roman"/>
          <w:lang w:eastAsia="en-GB"/>
        </w:rPr>
        <w:t xml:space="preserve"> a sufficient condition (Guadagnoli &amp; Velicer, 1988) although a later study suggests that aspects of the variables and the study design have an impact on determining an appropriate level of sampling adequacy, recommending that this is improved with a higher number of observations (McCallum et al., 1999).</w:t>
      </w:r>
      <w:r>
        <w:rPr>
          <w:rFonts w:eastAsia="Times New Roman"/>
          <w:lang w:eastAsia="en-GB"/>
        </w:rPr>
        <w:t xml:space="preserve"> </w:t>
      </w:r>
      <w:r w:rsidRPr="001D265F">
        <w:rPr>
          <w:rFonts w:eastAsia="Times New Roman"/>
          <w:lang w:eastAsia="en-GB"/>
        </w:rPr>
        <w:t>In th</w:t>
      </w:r>
      <w:r>
        <w:rPr>
          <w:rFonts w:eastAsia="Times New Roman"/>
          <w:lang w:eastAsia="en-GB"/>
        </w:rPr>
        <w:t>e</w:t>
      </w:r>
      <w:r w:rsidRPr="001D265F">
        <w:rPr>
          <w:rFonts w:eastAsia="Times New Roman"/>
          <w:lang w:eastAsia="en-GB"/>
        </w:rPr>
        <w:t xml:space="preserve"> current study 4,032 observations for the ABC24 Scale, and 2,656 for the Dx16 Profiler</w:t>
      </w:r>
      <w:r>
        <w:rPr>
          <w:rFonts w:eastAsia="Times New Roman"/>
          <w:lang w:eastAsia="en-GB"/>
        </w:rPr>
        <w:t xml:space="preserve"> </w:t>
      </w:r>
      <w:r w:rsidRPr="001D265F">
        <w:rPr>
          <w:rFonts w:eastAsia="Times New Roman"/>
          <w:lang w:eastAsia="en-GB"/>
        </w:rPr>
        <w:t>were recorded. The Kaiser-Meyer-Olkin (KMO) measure of sampling adequacy produced value</w:t>
      </w:r>
      <w:r>
        <w:rPr>
          <w:rFonts w:eastAsia="Times New Roman"/>
          <w:lang w:eastAsia="en-GB"/>
        </w:rPr>
        <w:t>s</w:t>
      </w:r>
      <w:r w:rsidRPr="001D265F">
        <w:rPr>
          <w:rFonts w:eastAsia="Times New Roman"/>
          <w:lang w:eastAsia="en-GB"/>
        </w:rPr>
        <w:t xml:space="preserve"> of 0.866 for the ABC24 Scale</w:t>
      </w:r>
      <w:r>
        <w:rPr>
          <w:rFonts w:eastAsia="Times New Roman"/>
          <w:lang w:eastAsia="en-GB"/>
        </w:rPr>
        <w:t xml:space="preserve"> </w:t>
      </w:r>
      <w:r w:rsidRPr="001D265F">
        <w:rPr>
          <w:rFonts w:eastAsia="Times New Roman"/>
          <w:lang w:eastAsia="en-GB"/>
        </w:rPr>
        <w:t>and KMO = 0.889</w:t>
      </w:r>
      <w:r>
        <w:rPr>
          <w:rFonts w:eastAsia="Times New Roman"/>
          <w:lang w:eastAsia="en-GB"/>
        </w:rPr>
        <w:t xml:space="preserve"> </w:t>
      </w:r>
      <w:r w:rsidRPr="001D265F">
        <w:rPr>
          <w:rFonts w:eastAsia="Times New Roman"/>
          <w:lang w:eastAsia="en-GB"/>
        </w:rPr>
        <w:t xml:space="preserve">for the Dx16 Profiler. Measures of sampling adequacy for individual variables were examined to ensure that these also confirm the appropriateness for factor analysis. For ABC24, the individual variables measures </w:t>
      </w:r>
      <w:r>
        <w:rPr>
          <w:rFonts w:eastAsia="Times New Roman"/>
          <w:lang w:eastAsia="en-GB"/>
        </w:rPr>
        <w:t>r</w:t>
      </w:r>
      <w:r w:rsidRPr="001D265F">
        <w:rPr>
          <w:rFonts w:eastAsia="Times New Roman"/>
          <w:lang w:eastAsia="en-GB"/>
        </w:rPr>
        <w:t>eturned values of 0.753 ≤ KMO ≤ 0.929, and for Dx16, 0.563</w:t>
      </w:r>
      <w:r>
        <w:rPr>
          <w:rFonts w:eastAsia="Times New Roman"/>
          <w:lang w:eastAsia="en-GB"/>
        </w:rPr>
        <w:t xml:space="preserve"> </w:t>
      </w:r>
      <w:r w:rsidRPr="001D265F">
        <w:rPr>
          <w:rFonts w:eastAsia="Times New Roman"/>
          <w:lang w:eastAsia="en-GB"/>
        </w:rPr>
        <w:t xml:space="preserve">≤ KMO ≤ 0.924. According to Kaiser's (1974) own classification, KMO values can range from 0 to 1, with a value of KMO ≥ 0.5 considered desirable (Hinton el.al, 2004). Finally, the null hypothesis that there are no correlations between any of the variables was tested using Barlett’s Test of Sphericity where a rejection is sought as determined by a </w:t>
      </w:r>
      <w:r w:rsidRPr="001D265F">
        <w:rPr>
          <w:rFonts w:eastAsia="Times New Roman"/>
          <w:i/>
          <w:iCs/>
          <w:lang w:eastAsia="en-GB"/>
        </w:rPr>
        <w:t>p</w:t>
      </w:r>
      <w:r w:rsidRPr="001D265F">
        <w:rPr>
          <w:rFonts w:eastAsia="Times New Roman"/>
          <w:lang w:eastAsia="en-GB"/>
        </w:rPr>
        <w:t xml:space="preserve">-value of p &lt; 0.05. When applied to both the ABC Scale and to Dyslexia Index, the test returned values of p &lt; 0.001. </w:t>
      </w:r>
    </w:p>
    <w:p w14:paraId="3C4EA8D0" w14:textId="71D59EF9" w:rsidR="003214C8" w:rsidRPr="00632E07" w:rsidRDefault="001D265F" w:rsidP="00632E07">
      <w:pPr>
        <w:rPr>
          <w:rFonts w:eastAsia="Times New Roman"/>
          <w:lang w:eastAsia="en-GB"/>
        </w:rPr>
      </w:pPr>
      <w:r w:rsidRPr="001D265F">
        <w:rPr>
          <w:rFonts w:eastAsia="Times New Roman"/>
          <w:lang w:eastAsia="en-GB"/>
        </w:rPr>
        <w:t>Thus</w:t>
      </w:r>
      <w:r w:rsidR="00557DFB">
        <w:rPr>
          <w:rFonts w:eastAsia="Times New Roman"/>
          <w:lang w:eastAsia="en-GB"/>
        </w:rPr>
        <w:t xml:space="preserve">, </w:t>
      </w:r>
      <w:r w:rsidRPr="001D265F">
        <w:rPr>
          <w:rFonts w:eastAsia="Times New Roman"/>
          <w:lang w:eastAsia="en-GB"/>
        </w:rPr>
        <w:t>for both metrics,</w:t>
      </w:r>
      <w:r w:rsidR="00557DFB">
        <w:rPr>
          <w:rFonts w:eastAsia="Times New Roman"/>
          <w:lang w:eastAsia="en-GB"/>
        </w:rPr>
        <w:t xml:space="preserve"> </w:t>
      </w:r>
      <w:r w:rsidRPr="001D265F">
        <w:rPr>
          <w:rFonts w:eastAsia="Times New Roman"/>
          <w:lang w:eastAsia="en-GB"/>
        </w:rPr>
        <w:t>the null hypothesis that there are</w:t>
      </w:r>
      <w:r w:rsidR="00557DFB">
        <w:rPr>
          <w:rFonts w:eastAsia="Times New Roman"/>
          <w:lang w:eastAsia="en-GB"/>
        </w:rPr>
        <w:t xml:space="preserve"> </w:t>
      </w:r>
      <w:r w:rsidRPr="001D265F">
        <w:rPr>
          <w:rFonts w:eastAsia="Times New Roman"/>
          <w:lang w:eastAsia="en-GB"/>
        </w:rPr>
        <w:t>no correlations between the metrics' variables is rejected</w:t>
      </w:r>
      <w:r w:rsidR="009F5F43">
        <w:rPr>
          <w:rFonts w:eastAsia="Times New Roman"/>
          <w:lang w:eastAsia="en-GB"/>
        </w:rPr>
        <w:t xml:space="preserve"> </w:t>
      </w:r>
      <w:r w:rsidR="00557DFB">
        <w:rPr>
          <w:rFonts w:eastAsia="Times New Roman"/>
          <w:lang w:eastAsia="en-GB"/>
        </w:rPr>
        <w:t xml:space="preserve">and that </w:t>
      </w:r>
      <w:r w:rsidR="007B5DE1">
        <w:rPr>
          <w:rFonts w:eastAsia="Times New Roman"/>
          <w:lang w:eastAsia="en-GB"/>
        </w:rPr>
        <w:t>sufficient levels of sample adequacy were also achieved. T</w:t>
      </w:r>
      <w:r w:rsidRPr="001D265F">
        <w:rPr>
          <w:rFonts w:eastAsia="Times New Roman"/>
          <w:lang w:eastAsia="en-GB"/>
        </w:rPr>
        <w:t>herefore</w:t>
      </w:r>
      <w:r w:rsidR="007B5DE1">
        <w:rPr>
          <w:rFonts w:eastAsia="Times New Roman"/>
          <w:lang w:eastAsia="en-GB"/>
        </w:rPr>
        <w:t>,</w:t>
      </w:r>
      <w:r w:rsidRPr="001D265F">
        <w:rPr>
          <w:rFonts w:eastAsia="Times New Roman"/>
          <w:lang w:eastAsia="en-GB"/>
        </w:rPr>
        <w:t xml:space="preserve"> justification for running the PCA </w:t>
      </w:r>
      <w:r w:rsidR="007B5DE1">
        <w:rPr>
          <w:rFonts w:eastAsia="Times New Roman"/>
          <w:lang w:eastAsia="en-GB"/>
        </w:rPr>
        <w:t xml:space="preserve">on both metrics </w:t>
      </w:r>
      <w:r w:rsidRPr="001D265F">
        <w:rPr>
          <w:rFonts w:eastAsia="Times New Roman"/>
          <w:lang w:eastAsia="en-GB"/>
        </w:rPr>
        <w:t>is met.</w:t>
      </w:r>
    </w:p>
    <w:p w14:paraId="3F2C3A1A" w14:textId="77777777" w:rsidR="003214C8" w:rsidRDefault="003214C8">
      <w:pPr>
        <w:spacing w:before="0" w:after="160" w:line="259" w:lineRule="auto"/>
        <w:rPr>
          <w:rFonts w:eastAsia="Times New Roman"/>
          <w:b/>
          <w:smallCaps/>
          <w:color w:val="4472C4" w:themeColor="accent1"/>
          <w:spacing w:val="5"/>
          <w:sz w:val="24"/>
          <w:szCs w:val="24"/>
          <w:lang w:eastAsia="en-GB"/>
        </w:rPr>
      </w:pPr>
      <w:r>
        <w:rPr>
          <w:rFonts w:eastAsia="Times New Roman"/>
          <w:lang w:eastAsia="en-GB"/>
        </w:rPr>
        <w:br w:type="page"/>
      </w:r>
    </w:p>
    <w:p w14:paraId="3BFD0D12" w14:textId="7F965F05" w:rsidR="007B0625" w:rsidRDefault="00CA48C2" w:rsidP="00A323DC">
      <w:pPr>
        <w:pStyle w:val="Heading3"/>
      </w:pPr>
      <w:bookmarkStart w:id="217" w:name="_Toc57035931"/>
      <w:r>
        <w:rPr>
          <w:rFonts w:eastAsia="Times New Roman"/>
          <w:lang w:eastAsia="en-GB"/>
        </w:rPr>
        <w:lastRenderedPageBreak/>
        <w:t>II</w:t>
      </w:r>
      <w:r>
        <w:rPr>
          <w:rFonts w:eastAsia="Times New Roman"/>
          <w:lang w:eastAsia="en-GB"/>
        </w:rPr>
        <w:tab/>
      </w:r>
      <w:r w:rsidR="001D265F">
        <w:rPr>
          <w:rFonts w:eastAsia="Times New Roman"/>
          <w:lang w:eastAsia="en-GB"/>
        </w:rPr>
        <w:t>Eigenvalue Monte Carlo Simulations</w:t>
      </w:r>
      <w:bookmarkEnd w:id="217"/>
    </w:p>
    <w:p w14:paraId="7C473B11" w14:textId="2DE6F5B4" w:rsidR="009F5F43" w:rsidRDefault="009F5F43" w:rsidP="00A323DC">
      <w:pPr>
        <w:rPr>
          <w:rFonts w:eastAsia="Times New Roman"/>
          <w:lang w:eastAsia="en-GB"/>
        </w:rPr>
      </w:pPr>
      <w:bookmarkStart w:id="218" w:name="_Toc9795766"/>
      <w:r w:rsidRPr="00A323DC">
        <w:rPr>
          <w:rFonts w:eastAsia="Times New Roman"/>
          <w:lang w:eastAsia="en-GB"/>
        </w:rPr>
        <w:t>No studies found to date which have used the ABC Scale as their principal metric have indicated</w:t>
      </w:r>
      <w:r>
        <w:rPr>
          <w:rFonts w:eastAsia="Times New Roman"/>
          <w:lang w:eastAsia="en-GB"/>
        </w:rPr>
        <w:t xml:space="preserve"> </w:t>
      </w:r>
      <w:r w:rsidRPr="00A323DC">
        <w:rPr>
          <w:rFonts w:eastAsia="Times New Roman"/>
          <w:lang w:eastAsia="en-GB"/>
        </w:rPr>
        <w:t>that sub-scale structures that emerged through PCA</w:t>
      </w:r>
      <w:r>
        <w:rPr>
          <w:rFonts w:eastAsia="Times New Roman"/>
          <w:lang w:eastAsia="en-GB"/>
        </w:rPr>
        <w:t>,</w:t>
      </w:r>
      <w:r w:rsidRPr="00A323DC">
        <w:rPr>
          <w:rFonts w:eastAsia="Times New Roman"/>
          <w:lang w:eastAsia="en-GB"/>
        </w:rPr>
        <w:t xml:space="preserve"> based on the data within them</w:t>
      </w:r>
      <w:r>
        <w:rPr>
          <w:rFonts w:eastAsia="Times New Roman"/>
          <w:lang w:eastAsia="en-GB"/>
        </w:rPr>
        <w:t xml:space="preserve">, </w:t>
      </w:r>
      <w:r w:rsidRPr="00A323DC">
        <w:rPr>
          <w:rFonts w:eastAsia="Times New Roman"/>
          <w:lang w:eastAsia="en-GB"/>
        </w:rPr>
        <w:t>were tested against structures that might have occur</w:t>
      </w:r>
      <w:r>
        <w:rPr>
          <w:rFonts w:eastAsia="Times New Roman"/>
          <w:lang w:eastAsia="en-GB"/>
        </w:rPr>
        <w:t>r</w:t>
      </w:r>
      <w:r w:rsidRPr="00A323DC">
        <w:rPr>
          <w:rFonts w:eastAsia="Times New Roman"/>
          <w:lang w:eastAsia="en-GB"/>
        </w:rPr>
        <w:t xml:space="preserve">ed by chance. Indeed, of the numerous studies that were examined, with one exception, all have relied on the factor structures developed by the </w:t>
      </w:r>
      <w:r>
        <w:rPr>
          <w:rFonts w:eastAsia="Times New Roman"/>
          <w:lang w:eastAsia="en-GB"/>
        </w:rPr>
        <w:t xml:space="preserve">Scale </w:t>
      </w:r>
      <w:r w:rsidRPr="00A323DC">
        <w:rPr>
          <w:rFonts w:eastAsia="Times New Roman"/>
          <w:lang w:eastAsia="en-GB"/>
        </w:rPr>
        <w:t>originators, where 6 factors were determined for the 24-item scale, reduced to 4 factors in the ABC17 Scale. Only Corkery et.al. (2011) reported a 3-factor solution for their data. Early analysis of the data in th</w:t>
      </w:r>
      <w:r>
        <w:rPr>
          <w:rFonts w:eastAsia="Times New Roman"/>
          <w:lang w:eastAsia="en-GB"/>
        </w:rPr>
        <w:t>e</w:t>
      </w:r>
      <w:r w:rsidRPr="00A323DC">
        <w:rPr>
          <w:rFonts w:eastAsia="Times New Roman"/>
          <w:lang w:eastAsia="en-GB"/>
        </w:rPr>
        <w:t xml:space="preserve"> current study for the ABC24 Scale indicated that possible 6-factor, 5-factor or 4-factor solutions may provide an appropriate</w:t>
      </w:r>
      <w:r>
        <w:rPr>
          <w:rFonts w:eastAsia="Times New Roman"/>
          <w:lang w:eastAsia="en-GB"/>
        </w:rPr>
        <w:t xml:space="preserve"> </w:t>
      </w:r>
      <w:r w:rsidRPr="00A323DC">
        <w:rPr>
          <w:rFonts w:eastAsia="Times New Roman"/>
          <w:lang w:eastAsia="en-GB"/>
        </w:rPr>
        <w:t>PCA outcome to permit a more in</w:t>
      </w:r>
      <w:r>
        <w:rPr>
          <w:rFonts w:eastAsia="Times New Roman"/>
          <w:lang w:eastAsia="en-GB"/>
        </w:rPr>
        <w:t>-</w:t>
      </w:r>
      <w:r w:rsidRPr="00A323DC">
        <w:rPr>
          <w:rFonts w:eastAsia="Times New Roman"/>
          <w:lang w:eastAsia="en-GB"/>
        </w:rPr>
        <w:t>depth examination of the data (sub-section 4.1/II</w:t>
      </w:r>
      <w:r w:rsidR="005F0F49">
        <w:rPr>
          <w:rFonts w:eastAsia="Times New Roman"/>
          <w:lang w:eastAsia="en-GB"/>
        </w:rPr>
        <w:t>.</w:t>
      </w:r>
      <w:r w:rsidRPr="00A323DC">
        <w:rPr>
          <w:rFonts w:eastAsia="Times New Roman"/>
          <w:lang w:eastAsia="en-GB"/>
        </w:rPr>
        <w:t xml:space="preserve">4). This was based on both the </w:t>
      </w:r>
      <w:r>
        <w:rPr>
          <w:rFonts w:eastAsia="Times New Roman"/>
          <w:lang w:eastAsia="en-GB"/>
        </w:rPr>
        <w:t>e</w:t>
      </w:r>
      <w:r w:rsidRPr="00A323DC">
        <w:rPr>
          <w:rFonts w:eastAsia="Times New Roman"/>
          <w:lang w:eastAsia="en-GB"/>
        </w:rPr>
        <w:t>igenvalues &gt; 1 principal, and the visual inspection of scree plots.</w:t>
      </w:r>
    </w:p>
    <w:p w14:paraId="3D837495" w14:textId="4344D228" w:rsidR="00A323DC" w:rsidRPr="00A323DC" w:rsidRDefault="00A323DC" w:rsidP="00A323DC">
      <w:pPr>
        <w:rPr>
          <w:rFonts w:eastAsia="Times New Roman"/>
          <w:lang w:eastAsia="en-GB"/>
        </w:rPr>
      </w:pPr>
      <w:r w:rsidRPr="00A323DC">
        <w:rPr>
          <w:rFonts w:eastAsia="Times New Roman"/>
          <w:lang w:eastAsia="en-GB"/>
        </w:rPr>
        <w:t>With all solutions showing equal merit, a parallel (simulation)</w:t>
      </w:r>
      <w:r w:rsidR="007B5DE1">
        <w:rPr>
          <w:rFonts w:eastAsia="Times New Roman"/>
          <w:lang w:eastAsia="en-GB"/>
        </w:rPr>
        <w:t xml:space="preserve"> </w:t>
      </w:r>
      <w:r w:rsidRPr="00A323DC">
        <w:rPr>
          <w:rFonts w:eastAsia="Times New Roman"/>
          <w:lang w:eastAsia="en-GB"/>
        </w:rPr>
        <w:t>analysis (Horn, 1965) was conducted to determine how any (or all) of these solutions compared with a sub-scale structure</w:t>
      </w:r>
      <w:r w:rsidR="00B86B4F">
        <w:rPr>
          <w:rFonts w:eastAsia="Times New Roman"/>
          <w:lang w:eastAsia="en-GB"/>
        </w:rPr>
        <w:t xml:space="preserve"> </w:t>
      </w:r>
      <w:r w:rsidRPr="00A323DC">
        <w:rPr>
          <w:rFonts w:eastAsia="Times New Roman"/>
          <w:lang w:eastAsia="en-GB"/>
        </w:rPr>
        <w:t>likely to have occu</w:t>
      </w:r>
      <w:r>
        <w:rPr>
          <w:rFonts w:eastAsia="Times New Roman"/>
          <w:lang w:eastAsia="en-GB"/>
        </w:rPr>
        <w:t>r</w:t>
      </w:r>
      <w:r w:rsidRPr="00A323DC">
        <w:rPr>
          <w:rFonts w:eastAsia="Times New Roman"/>
          <w:lang w:eastAsia="en-GB"/>
        </w:rPr>
        <w:t xml:space="preserve">red by chance. </w:t>
      </w:r>
      <w:r w:rsidR="00B86B4F">
        <w:rPr>
          <w:rFonts w:eastAsia="Times New Roman"/>
          <w:lang w:eastAsia="en-GB"/>
        </w:rPr>
        <w:t>Also</w:t>
      </w:r>
      <w:r w:rsidRPr="00A323DC">
        <w:rPr>
          <w:rFonts w:eastAsia="Times New Roman"/>
          <w:lang w:eastAsia="en-GB"/>
        </w:rPr>
        <w:t xml:space="preserve"> known as the Eigenvalue Monte Carlo Simulation (O'Connor, 2000),</w:t>
      </w:r>
      <w:r w:rsidR="00B86B4F">
        <w:rPr>
          <w:rFonts w:eastAsia="Times New Roman"/>
          <w:lang w:eastAsia="en-GB"/>
        </w:rPr>
        <w:t xml:space="preserve"> </w:t>
      </w:r>
      <w:r w:rsidRPr="00A323DC">
        <w:rPr>
          <w:rFonts w:eastAsia="Times New Roman"/>
          <w:lang w:eastAsia="en-GB"/>
        </w:rPr>
        <w:t>this</w:t>
      </w:r>
      <w:r w:rsidR="00B86B4F">
        <w:rPr>
          <w:rFonts w:eastAsia="Times New Roman"/>
          <w:lang w:eastAsia="en-GB"/>
        </w:rPr>
        <w:t xml:space="preserve"> </w:t>
      </w:r>
      <w:r w:rsidRPr="00A323DC">
        <w:rPr>
          <w:rFonts w:eastAsia="Times New Roman"/>
          <w:lang w:eastAsia="en-GB"/>
        </w:rPr>
        <w:t>statistical process determines the number of factors which are likely to have occur</w:t>
      </w:r>
      <w:r>
        <w:rPr>
          <w:rFonts w:eastAsia="Times New Roman"/>
          <w:lang w:eastAsia="en-GB"/>
        </w:rPr>
        <w:t>r</w:t>
      </w:r>
      <w:r w:rsidRPr="00A323DC">
        <w:rPr>
          <w:rFonts w:eastAsia="Times New Roman"/>
          <w:lang w:eastAsia="en-GB"/>
        </w:rPr>
        <w:t>ed through use of random data (or, more usefully, a randomized version of the experimentally acquired data in a study). By running multiple, simulated reductions, not only are mean value eigenvalues produced in the table of total variance explained, but also critical values</w:t>
      </w:r>
      <w:r w:rsidR="00B86B4F">
        <w:rPr>
          <w:rFonts w:eastAsia="Times New Roman"/>
          <w:lang w:eastAsia="en-GB"/>
        </w:rPr>
        <w:t xml:space="preserve"> </w:t>
      </w:r>
      <w:r w:rsidRPr="00A323DC">
        <w:rPr>
          <w:rFonts w:eastAsia="Times New Roman"/>
          <w:lang w:eastAsia="en-GB"/>
        </w:rPr>
        <w:t>are generated where the boundary is conventionally set at the 95th percentile, in much the same fashion as for NHST. Comparison is then made between the eigenvalues generated in the PCA of the raw data with the 95th percentile boundary values for eigenvalues generated from the parallel analysis. Data-generated values that are greater than their parallel analysis</w:t>
      </w:r>
      <w:r w:rsidR="00B86B4F">
        <w:rPr>
          <w:rFonts w:eastAsia="Times New Roman"/>
          <w:lang w:eastAsia="en-GB"/>
        </w:rPr>
        <w:t>,</w:t>
      </w:r>
      <w:r w:rsidRPr="00A323DC">
        <w:rPr>
          <w:rFonts w:eastAsia="Times New Roman"/>
          <w:lang w:eastAsia="en-GB"/>
        </w:rPr>
        <w:t xml:space="preserve"> 95th percentile critical value,</w:t>
      </w:r>
      <w:r w:rsidR="00B86B4F">
        <w:rPr>
          <w:rFonts w:eastAsia="Times New Roman"/>
          <w:lang w:eastAsia="en-GB"/>
        </w:rPr>
        <w:t xml:space="preserve"> </w:t>
      </w:r>
      <w:r w:rsidRPr="00A323DC">
        <w:rPr>
          <w:rFonts w:eastAsia="Times New Roman"/>
          <w:lang w:eastAsia="en-GB"/>
        </w:rPr>
        <w:t>are statistically significant, and therefore are unlikely to have occurred by chance. Hence only those factors are retained in the final solution.</w:t>
      </w:r>
    </w:p>
    <w:p w14:paraId="411C8AFA" w14:textId="37CBB416" w:rsidR="00A323DC" w:rsidRDefault="00A323DC" w:rsidP="00A323DC">
      <w:pPr>
        <w:pStyle w:val="Heading4"/>
      </w:pPr>
      <w:r>
        <w:t>I</w:t>
      </w:r>
      <w:r w:rsidR="00CA48C2">
        <w:t xml:space="preserve">  </w:t>
      </w:r>
      <w:r>
        <w:t>Eigenvalue Monte Carlo Simulation for ABC24 and ABC17 Scales:</w:t>
      </w:r>
    </w:p>
    <w:p w14:paraId="7ADE49D2" w14:textId="310E617E" w:rsidR="008211B8" w:rsidRDefault="00A323DC" w:rsidP="008211B8">
      <w:pPr>
        <w:rPr>
          <w:rFonts w:eastAsia="Times New Roman"/>
          <w:lang w:eastAsia="en-GB"/>
        </w:rPr>
      </w:pPr>
      <w:r w:rsidRPr="00A323DC">
        <w:rPr>
          <w:rFonts w:eastAsia="Times New Roman"/>
          <w:lang w:eastAsia="en-GB"/>
        </w:rPr>
        <w:t>For both the ABC24 and ABC17 Scales, parallel</w:t>
      </w:r>
      <w:r w:rsidR="00B86B4F">
        <w:rPr>
          <w:rFonts w:eastAsia="Times New Roman"/>
          <w:lang w:eastAsia="en-GB"/>
        </w:rPr>
        <w:t xml:space="preserve"> </w:t>
      </w:r>
      <w:r w:rsidRPr="00A323DC">
        <w:rPr>
          <w:rFonts w:eastAsia="Times New Roman"/>
          <w:lang w:eastAsia="en-GB"/>
        </w:rPr>
        <w:t>analysis simulation of 1000 random permutations of the raw data collected in this study identified three components to retain based on their eigenvalues</w:t>
      </w:r>
      <w:r w:rsidR="008211B8">
        <w:rPr>
          <w:rFonts w:eastAsia="Times New Roman"/>
          <w:lang w:eastAsia="en-GB"/>
        </w:rPr>
        <w:t xml:space="preserve"> </w:t>
      </w:r>
      <w:r w:rsidRPr="00A323DC">
        <w:rPr>
          <w:rFonts w:eastAsia="Times New Roman"/>
          <w:lang w:eastAsia="en-GB"/>
        </w:rPr>
        <w:t>exceeding</w:t>
      </w:r>
      <w:r w:rsidR="008211B8">
        <w:rPr>
          <w:rFonts w:eastAsia="Times New Roman"/>
          <w:lang w:eastAsia="en-GB"/>
        </w:rPr>
        <w:t xml:space="preserve"> </w:t>
      </w:r>
      <w:r w:rsidRPr="00A323DC">
        <w:rPr>
          <w:rFonts w:eastAsia="Times New Roman"/>
          <w:lang w:eastAsia="en-GB"/>
        </w:rPr>
        <w:t xml:space="preserve">the equivalent random data </w:t>
      </w:r>
      <w:r>
        <w:rPr>
          <w:rFonts w:eastAsia="Times New Roman"/>
          <w:lang w:eastAsia="en-GB"/>
        </w:rPr>
        <w:t xml:space="preserve">95th </w:t>
      </w:r>
      <w:r w:rsidR="008211B8">
        <w:rPr>
          <w:rFonts w:eastAsia="Times New Roman"/>
          <w:lang w:eastAsia="en-GB"/>
        </w:rPr>
        <w:t xml:space="preserve">percentile </w:t>
      </w:r>
      <w:r w:rsidRPr="00A323DC">
        <w:rPr>
          <w:rFonts w:eastAsia="Times New Roman"/>
          <w:lang w:eastAsia="en-GB"/>
        </w:rPr>
        <w:t>critical value (Tables 1</w:t>
      </w:r>
      <w:r w:rsidR="002652B3">
        <w:rPr>
          <w:rFonts w:eastAsia="Times New Roman"/>
          <w:lang w:eastAsia="en-GB"/>
        </w:rPr>
        <w:t>7</w:t>
      </w:r>
      <w:r w:rsidRPr="00A323DC">
        <w:rPr>
          <w:rFonts w:eastAsia="Times New Roman"/>
          <w:lang w:eastAsia="en-GB"/>
        </w:rPr>
        <w:t>, 1</w:t>
      </w:r>
      <w:r w:rsidR="002652B3">
        <w:rPr>
          <w:rFonts w:eastAsia="Times New Roman"/>
          <w:lang w:eastAsia="en-GB"/>
        </w:rPr>
        <w:t>8</w:t>
      </w:r>
      <w:r w:rsidRPr="00A323DC">
        <w:rPr>
          <w:rFonts w:eastAsia="Times New Roman"/>
          <w:lang w:eastAsia="en-GB"/>
        </w:rPr>
        <w:t>)</w:t>
      </w:r>
      <w:r w:rsidR="00B86B4F">
        <w:rPr>
          <w:rFonts w:eastAsia="Times New Roman"/>
          <w:lang w:eastAsia="en-GB"/>
        </w:rPr>
        <w:t>. This was also</w:t>
      </w:r>
      <w:r w:rsidRPr="00A323DC">
        <w:rPr>
          <w:rFonts w:eastAsia="Times New Roman"/>
          <w:lang w:eastAsia="en-GB"/>
        </w:rPr>
        <w:t xml:space="preserve"> illustrated by the points of intersections of the comparative scree plots for both scales (Figure 1</w:t>
      </w:r>
      <w:r w:rsidR="000B4328">
        <w:rPr>
          <w:rFonts w:eastAsia="Times New Roman"/>
          <w:lang w:eastAsia="en-GB"/>
        </w:rPr>
        <w:t>7</w:t>
      </w:r>
      <w:r w:rsidRPr="00A323DC">
        <w:rPr>
          <w:rFonts w:eastAsia="Times New Roman"/>
          <w:lang w:eastAsia="en-GB"/>
        </w:rPr>
        <w:t>; scree plot for ABC17 Scale not shown)</w:t>
      </w:r>
      <w:r w:rsidR="00B86B4F">
        <w:rPr>
          <w:rFonts w:eastAsia="Times New Roman"/>
          <w:lang w:eastAsia="en-GB"/>
        </w:rPr>
        <w:t xml:space="preserve">, which occurred </w:t>
      </w:r>
      <w:r w:rsidRPr="00A323DC">
        <w:rPr>
          <w:rFonts w:eastAsia="Times New Roman"/>
          <w:lang w:eastAsia="en-GB"/>
        </w:rPr>
        <w:t xml:space="preserve">at eigenvalues between those for the third and fourth components. Hence this suggested that a three-factor solution was the most appropriate extraction to use for the ABC data in this current study, thus displacing the earlier </w:t>
      </w:r>
      <w:r w:rsidRPr="00A323DC">
        <w:rPr>
          <w:rFonts w:eastAsia="Times New Roman"/>
          <w:lang w:eastAsia="en-GB"/>
        </w:rPr>
        <w:lastRenderedPageBreak/>
        <w:t xml:space="preserve">solutions derived from either the </w:t>
      </w:r>
      <w:r w:rsidR="00B86B4F">
        <w:rPr>
          <w:rFonts w:eastAsia="Times New Roman"/>
          <w:lang w:eastAsia="en-GB"/>
        </w:rPr>
        <w:t>e</w:t>
      </w:r>
      <w:r w:rsidRPr="00A323DC">
        <w:rPr>
          <w:rFonts w:eastAsia="Times New Roman"/>
          <w:lang w:eastAsia="en-GB"/>
        </w:rPr>
        <w:t>igenvalues &gt; 1 or the visual inspection of the scree plot criteria (or both).</w:t>
      </w:r>
    </w:p>
    <w:tbl>
      <w:tblPr>
        <w:tblStyle w:val="GridTable5Dark-Accent1"/>
        <w:tblW w:w="0" w:type="auto"/>
        <w:tblLook w:val="04A0" w:firstRow="1" w:lastRow="0" w:firstColumn="1" w:lastColumn="0" w:noHBand="0" w:noVBand="1"/>
      </w:tblPr>
      <w:tblGrid>
        <w:gridCol w:w="2166"/>
        <w:gridCol w:w="2166"/>
        <w:gridCol w:w="2166"/>
        <w:gridCol w:w="2166"/>
      </w:tblGrid>
      <w:tr w:rsidR="008211B8" w:rsidRPr="008211B8" w14:paraId="74BDFA3F" w14:textId="77777777" w:rsidTr="008211B8">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166" w:type="dxa"/>
            <w:vAlign w:val="center"/>
          </w:tcPr>
          <w:p w14:paraId="6B676F09" w14:textId="177B7655" w:rsidR="008211B8" w:rsidRPr="008211B8" w:rsidRDefault="008211B8" w:rsidP="008211B8">
            <w:pPr>
              <w:spacing w:before="0" w:after="0" w:line="240" w:lineRule="auto"/>
              <w:jc w:val="center"/>
              <w:rPr>
                <w:rFonts w:ascii="Gill Sans MT" w:hAnsi="Gill Sans MT"/>
                <w:b w:val="0"/>
                <w:bCs w:val="0"/>
              </w:rPr>
            </w:pPr>
            <w:r w:rsidRPr="008211B8">
              <w:rPr>
                <w:rFonts w:ascii="Gill Sans MT" w:hAnsi="Gill Sans MT"/>
                <w:b w:val="0"/>
                <w:bCs w:val="0"/>
              </w:rPr>
              <w:t xml:space="preserve">ABC </w:t>
            </w:r>
            <w:r w:rsidR="00EA1E29">
              <w:rPr>
                <w:rFonts w:ascii="Gill Sans MT" w:hAnsi="Gill Sans MT"/>
                <w:b w:val="0"/>
                <w:bCs w:val="0"/>
              </w:rPr>
              <w:t xml:space="preserve">24 </w:t>
            </w:r>
            <w:r w:rsidRPr="008211B8">
              <w:rPr>
                <w:rFonts w:ascii="Gill Sans MT" w:hAnsi="Gill Sans MT"/>
                <w:b w:val="0"/>
                <w:bCs w:val="0"/>
              </w:rPr>
              <w:t>Component</w:t>
            </w:r>
          </w:p>
        </w:tc>
        <w:tc>
          <w:tcPr>
            <w:tcW w:w="2166" w:type="dxa"/>
            <w:vAlign w:val="center"/>
          </w:tcPr>
          <w:p w14:paraId="7A1B9A30" w14:textId="504F9572" w:rsidR="008211B8" w:rsidRPr="008211B8" w:rsidRDefault="008211B8" w:rsidP="008211B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Eigenvalue (raw data)</w:t>
            </w:r>
          </w:p>
        </w:tc>
        <w:tc>
          <w:tcPr>
            <w:tcW w:w="2166" w:type="dxa"/>
            <w:vAlign w:val="center"/>
          </w:tcPr>
          <w:p w14:paraId="0FF70F43" w14:textId="07CE0723" w:rsidR="008211B8" w:rsidRPr="008211B8" w:rsidRDefault="008211B8" w:rsidP="008211B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Eigenvalue (mean value, simulations)</w:t>
            </w:r>
          </w:p>
        </w:tc>
        <w:tc>
          <w:tcPr>
            <w:tcW w:w="2166" w:type="dxa"/>
            <w:vAlign w:val="center"/>
          </w:tcPr>
          <w:p w14:paraId="14113F81" w14:textId="158BF657" w:rsidR="008211B8" w:rsidRPr="008211B8" w:rsidRDefault="008211B8" w:rsidP="008211B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95th %ile Eigenvalue (simulations)</w:t>
            </w:r>
          </w:p>
        </w:tc>
      </w:tr>
      <w:tr w:rsidR="008211B8" w:rsidRPr="008211B8" w14:paraId="40EF0B22" w14:textId="77777777" w:rsidTr="00EA1E2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3736408B" w14:textId="4B1A3C2E" w:rsidR="008211B8" w:rsidRPr="008211B8" w:rsidRDefault="008211B8" w:rsidP="008211B8">
            <w:pPr>
              <w:spacing w:before="0" w:after="0" w:line="240" w:lineRule="auto"/>
              <w:jc w:val="center"/>
              <w:rPr>
                <w:rFonts w:ascii="Gill Sans MT" w:hAnsi="Gill Sans MT"/>
                <w:b w:val="0"/>
                <w:bCs w:val="0"/>
              </w:rPr>
            </w:pPr>
            <w:r>
              <w:rPr>
                <w:rFonts w:ascii="Gill Sans MT" w:hAnsi="Gill Sans MT"/>
                <w:b w:val="0"/>
                <w:bCs w:val="0"/>
              </w:rPr>
              <w:t>1</w:t>
            </w:r>
          </w:p>
        </w:tc>
        <w:tc>
          <w:tcPr>
            <w:tcW w:w="2166" w:type="dxa"/>
            <w:vAlign w:val="center"/>
          </w:tcPr>
          <w:p w14:paraId="3756DF80" w14:textId="0EDD2DE6" w:rsidR="008211B8" w:rsidRPr="008211B8" w:rsidRDefault="008211B8" w:rsidP="008211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8.3899</w:t>
            </w:r>
          </w:p>
        </w:tc>
        <w:tc>
          <w:tcPr>
            <w:tcW w:w="2166" w:type="dxa"/>
            <w:vAlign w:val="center"/>
          </w:tcPr>
          <w:p w14:paraId="1AC90486" w14:textId="15E00906" w:rsidR="008211B8" w:rsidRPr="008211B8" w:rsidRDefault="008211B8" w:rsidP="008211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1.7682</w:t>
            </w:r>
          </w:p>
        </w:tc>
        <w:tc>
          <w:tcPr>
            <w:tcW w:w="2166" w:type="dxa"/>
            <w:vAlign w:val="center"/>
          </w:tcPr>
          <w:p w14:paraId="2CBF460C" w14:textId="0DC8D88B" w:rsidR="008211B8" w:rsidRPr="008211B8" w:rsidRDefault="008211B8" w:rsidP="008211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1.8949</w:t>
            </w:r>
          </w:p>
        </w:tc>
      </w:tr>
      <w:tr w:rsidR="008211B8" w:rsidRPr="008211B8" w14:paraId="02DB7C8B" w14:textId="77777777" w:rsidTr="00EA1E29">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2D8AE9D9" w14:textId="48839D35" w:rsidR="008211B8" w:rsidRPr="008211B8" w:rsidRDefault="008211B8" w:rsidP="008211B8">
            <w:pPr>
              <w:spacing w:before="0" w:after="0" w:line="240" w:lineRule="auto"/>
              <w:jc w:val="center"/>
              <w:rPr>
                <w:rFonts w:ascii="Gill Sans MT" w:hAnsi="Gill Sans MT"/>
                <w:b w:val="0"/>
                <w:bCs w:val="0"/>
              </w:rPr>
            </w:pPr>
            <w:r>
              <w:rPr>
                <w:rFonts w:ascii="Gill Sans MT" w:hAnsi="Gill Sans MT"/>
                <w:b w:val="0"/>
                <w:bCs w:val="0"/>
              </w:rPr>
              <w:t>2</w:t>
            </w:r>
          </w:p>
        </w:tc>
        <w:tc>
          <w:tcPr>
            <w:tcW w:w="2166" w:type="dxa"/>
            <w:vAlign w:val="center"/>
          </w:tcPr>
          <w:p w14:paraId="453A0326" w14:textId="39217C9D" w:rsidR="008211B8" w:rsidRPr="008211B8" w:rsidRDefault="008211B8" w:rsidP="008211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2.3844</w:t>
            </w:r>
          </w:p>
        </w:tc>
        <w:tc>
          <w:tcPr>
            <w:tcW w:w="2166" w:type="dxa"/>
            <w:vAlign w:val="center"/>
          </w:tcPr>
          <w:p w14:paraId="5D97900F" w14:textId="38E34257" w:rsidR="008211B8" w:rsidRPr="008211B8" w:rsidRDefault="008211B8" w:rsidP="008211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1.6377</w:t>
            </w:r>
          </w:p>
        </w:tc>
        <w:tc>
          <w:tcPr>
            <w:tcW w:w="2166" w:type="dxa"/>
            <w:vAlign w:val="center"/>
          </w:tcPr>
          <w:p w14:paraId="1A7E85B0" w14:textId="269E2A4E" w:rsidR="008211B8" w:rsidRPr="008211B8" w:rsidRDefault="008211B8" w:rsidP="008211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1.7309</w:t>
            </w:r>
          </w:p>
        </w:tc>
      </w:tr>
      <w:tr w:rsidR="008211B8" w:rsidRPr="008211B8" w14:paraId="1952E773" w14:textId="77777777" w:rsidTr="00EA1E2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39459E8A" w14:textId="7C32D4B0" w:rsidR="008211B8" w:rsidRPr="008211B8" w:rsidRDefault="008211B8" w:rsidP="008211B8">
            <w:pPr>
              <w:spacing w:before="0" w:after="0" w:line="240" w:lineRule="auto"/>
              <w:jc w:val="center"/>
              <w:rPr>
                <w:rFonts w:ascii="Gill Sans MT" w:hAnsi="Gill Sans MT"/>
                <w:b w:val="0"/>
                <w:bCs w:val="0"/>
              </w:rPr>
            </w:pPr>
            <w:r>
              <w:rPr>
                <w:rFonts w:ascii="Gill Sans MT" w:hAnsi="Gill Sans MT"/>
                <w:b w:val="0"/>
                <w:bCs w:val="0"/>
              </w:rPr>
              <w:t>3</w:t>
            </w:r>
          </w:p>
        </w:tc>
        <w:tc>
          <w:tcPr>
            <w:tcW w:w="2166" w:type="dxa"/>
            <w:vAlign w:val="center"/>
          </w:tcPr>
          <w:p w14:paraId="3EDFD6E6" w14:textId="5ACF8AE0" w:rsidR="008211B8" w:rsidRPr="008211B8" w:rsidRDefault="008211B8" w:rsidP="008211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1.9199</w:t>
            </w:r>
          </w:p>
        </w:tc>
        <w:tc>
          <w:tcPr>
            <w:tcW w:w="2166" w:type="dxa"/>
            <w:vAlign w:val="center"/>
          </w:tcPr>
          <w:p w14:paraId="2C43F9F7" w14:textId="232698B6" w:rsidR="008211B8" w:rsidRPr="008211B8" w:rsidRDefault="008211B8" w:rsidP="008211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1.5400</w:t>
            </w:r>
          </w:p>
        </w:tc>
        <w:tc>
          <w:tcPr>
            <w:tcW w:w="2166" w:type="dxa"/>
            <w:vAlign w:val="center"/>
          </w:tcPr>
          <w:p w14:paraId="46D94C5A" w14:textId="63644FA0" w:rsidR="008211B8" w:rsidRPr="008211B8" w:rsidRDefault="008211B8" w:rsidP="008211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1.6158</w:t>
            </w:r>
          </w:p>
        </w:tc>
      </w:tr>
      <w:tr w:rsidR="008211B8" w:rsidRPr="008211B8" w14:paraId="00426BB0" w14:textId="77777777" w:rsidTr="00EA1E29">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1C85D696" w14:textId="59BCAD06" w:rsidR="008211B8" w:rsidRPr="008211B8" w:rsidRDefault="008211B8" w:rsidP="008211B8">
            <w:pPr>
              <w:spacing w:before="0" w:after="0" w:line="240" w:lineRule="auto"/>
              <w:jc w:val="center"/>
              <w:rPr>
                <w:rFonts w:ascii="Gill Sans MT" w:hAnsi="Gill Sans MT"/>
                <w:b w:val="0"/>
                <w:bCs w:val="0"/>
              </w:rPr>
            </w:pPr>
            <w:r>
              <w:rPr>
                <w:rFonts w:ascii="Gill Sans MT" w:hAnsi="Gill Sans MT"/>
                <w:b w:val="0"/>
                <w:bCs w:val="0"/>
              </w:rPr>
              <w:t>4</w:t>
            </w:r>
          </w:p>
        </w:tc>
        <w:tc>
          <w:tcPr>
            <w:tcW w:w="2166" w:type="dxa"/>
            <w:vAlign w:val="center"/>
          </w:tcPr>
          <w:p w14:paraId="5585E79F" w14:textId="1E87AF1B" w:rsidR="008211B8" w:rsidRPr="008211B8" w:rsidRDefault="008211B8" w:rsidP="008211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1.2106</w:t>
            </w:r>
          </w:p>
        </w:tc>
        <w:tc>
          <w:tcPr>
            <w:tcW w:w="2166" w:type="dxa"/>
            <w:vAlign w:val="center"/>
          </w:tcPr>
          <w:p w14:paraId="0D13A245" w14:textId="23A65AB4" w:rsidR="008211B8" w:rsidRPr="008211B8" w:rsidRDefault="008211B8" w:rsidP="008211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1.4553</w:t>
            </w:r>
          </w:p>
        </w:tc>
        <w:tc>
          <w:tcPr>
            <w:tcW w:w="2166" w:type="dxa"/>
            <w:vAlign w:val="center"/>
          </w:tcPr>
          <w:p w14:paraId="4544ECEF" w14:textId="5EA6E095" w:rsidR="008211B8" w:rsidRPr="008211B8" w:rsidRDefault="008211B8" w:rsidP="008211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1.5209</w:t>
            </w:r>
          </w:p>
        </w:tc>
      </w:tr>
      <w:tr w:rsidR="008211B8" w:rsidRPr="008211B8" w14:paraId="5BC7E39F" w14:textId="77777777" w:rsidTr="00EA1E2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0F29F0C5" w14:textId="3646A6E2" w:rsidR="008211B8" w:rsidRPr="008211B8" w:rsidRDefault="008211B8" w:rsidP="008211B8">
            <w:pPr>
              <w:spacing w:before="0" w:after="0" w:line="240" w:lineRule="auto"/>
              <w:jc w:val="center"/>
              <w:rPr>
                <w:rFonts w:ascii="Gill Sans MT" w:hAnsi="Gill Sans MT"/>
                <w:b w:val="0"/>
                <w:bCs w:val="0"/>
              </w:rPr>
            </w:pPr>
            <w:r>
              <w:rPr>
                <w:rFonts w:ascii="Gill Sans MT" w:hAnsi="Gill Sans MT"/>
                <w:b w:val="0"/>
                <w:bCs w:val="0"/>
              </w:rPr>
              <w:t>5</w:t>
            </w:r>
          </w:p>
        </w:tc>
        <w:tc>
          <w:tcPr>
            <w:tcW w:w="2166" w:type="dxa"/>
            <w:vAlign w:val="center"/>
          </w:tcPr>
          <w:p w14:paraId="57066106" w14:textId="0C9DB756" w:rsidR="008211B8" w:rsidRPr="008211B8" w:rsidRDefault="008211B8" w:rsidP="008211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1.1295</w:t>
            </w:r>
          </w:p>
        </w:tc>
        <w:tc>
          <w:tcPr>
            <w:tcW w:w="2166" w:type="dxa"/>
            <w:vAlign w:val="center"/>
          </w:tcPr>
          <w:p w14:paraId="2AC518E0" w14:textId="0C600CEA" w:rsidR="008211B8" w:rsidRPr="008211B8" w:rsidRDefault="008211B8" w:rsidP="008211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1.3797</w:t>
            </w:r>
          </w:p>
        </w:tc>
        <w:tc>
          <w:tcPr>
            <w:tcW w:w="2166" w:type="dxa"/>
            <w:vAlign w:val="center"/>
          </w:tcPr>
          <w:p w14:paraId="6658126E" w14:textId="5582CF33" w:rsidR="008211B8" w:rsidRPr="008211B8" w:rsidRDefault="008211B8" w:rsidP="008211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1.4367</w:t>
            </w:r>
          </w:p>
        </w:tc>
      </w:tr>
      <w:tr w:rsidR="008211B8" w:rsidRPr="008211B8" w14:paraId="34760606" w14:textId="77777777" w:rsidTr="00EA1E29">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1E74268D" w14:textId="4F7D0591" w:rsidR="008211B8" w:rsidRPr="008211B8" w:rsidRDefault="008211B8" w:rsidP="008211B8">
            <w:pPr>
              <w:spacing w:before="0" w:after="0" w:line="240" w:lineRule="auto"/>
              <w:jc w:val="center"/>
              <w:rPr>
                <w:rFonts w:ascii="Gill Sans MT" w:hAnsi="Gill Sans MT"/>
                <w:b w:val="0"/>
                <w:bCs w:val="0"/>
              </w:rPr>
            </w:pPr>
            <w:r>
              <w:rPr>
                <w:rFonts w:ascii="Gill Sans MT" w:hAnsi="Gill Sans MT"/>
                <w:b w:val="0"/>
                <w:bCs w:val="0"/>
              </w:rPr>
              <w:t>6</w:t>
            </w:r>
          </w:p>
        </w:tc>
        <w:tc>
          <w:tcPr>
            <w:tcW w:w="2166" w:type="dxa"/>
            <w:vAlign w:val="center"/>
          </w:tcPr>
          <w:p w14:paraId="68F7B641" w14:textId="4C374B5C" w:rsidR="008211B8" w:rsidRPr="008211B8" w:rsidRDefault="008211B8" w:rsidP="008211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0.9625</w:t>
            </w:r>
          </w:p>
        </w:tc>
        <w:tc>
          <w:tcPr>
            <w:tcW w:w="2166" w:type="dxa"/>
            <w:vAlign w:val="center"/>
          </w:tcPr>
          <w:p w14:paraId="0217BCF3" w14:textId="0BF70E1D" w:rsidR="008211B8" w:rsidRPr="008211B8" w:rsidRDefault="008211B8" w:rsidP="008211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1.3132</w:t>
            </w:r>
          </w:p>
        </w:tc>
        <w:tc>
          <w:tcPr>
            <w:tcW w:w="2166" w:type="dxa"/>
            <w:vAlign w:val="center"/>
          </w:tcPr>
          <w:p w14:paraId="63B867E1" w14:textId="66137432" w:rsidR="008211B8" w:rsidRPr="008211B8" w:rsidRDefault="008211B8" w:rsidP="008211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1.3678</w:t>
            </w:r>
          </w:p>
        </w:tc>
      </w:tr>
      <w:tr w:rsidR="008211B8" w:rsidRPr="008211B8" w14:paraId="69E2AE83" w14:textId="77777777" w:rsidTr="00EA1E2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2ED1D226" w14:textId="0A4B60DF" w:rsidR="008211B8" w:rsidRPr="008211B8" w:rsidRDefault="008211B8" w:rsidP="008211B8">
            <w:pPr>
              <w:spacing w:before="0" w:after="0" w:line="240" w:lineRule="auto"/>
              <w:jc w:val="center"/>
              <w:rPr>
                <w:rFonts w:ascii="Gill Sans MT" w:hAnsi="Gill Sans MT"/>
                <w:b w:val="0"/>
                <w:bCs w:val="0"/>
              </w:rPr>
            </w:pPr>
            <w:r>
              <w:rPr>
                <w:rFonts w:ascii="Gill Sans MT" w:hAnsi="Gill Sans MT"/>
                <w:b w:val="0"/>
                <w:bCs w:val="0"/>
              </w:rPr>
              <w:t>7</w:t>
            </w:r>
          </w:p>
        </w:tc>
        <w:tc>
          <w:tcPr>
            <w:tcW w:w="2166" w:type="dxa"/>
            <w:vAlign w:val="center"/>
          </w:tcPr>
          <w:p w14:paraId="4277B799" w14:textId="697D9754" w:rsidR="008211B8" w:rsidRPr="008211B8" w:rsidRDefault="008211B8" w:rsidP="008211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0.8943</w:t>
            </w:r>
          </w:p>
        </w:tc>
        <w:tc>
          <w:tcPr>
            <w:tcW w:w="2166" w:type="dxa"/>
            <w:vAlign w:val="center"/>
          </w:tcPr>
          <w:p w14:paraId="05CB407A" w14:textId="63030ADE" w:rsidR="008211B8" w:rsidRPr="008211B8" w:rsidRDefault="008211B8" w:rsidP="008211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1.2503</w:t>
            </w:r>
          </w:p>
        </w:tc>
        <w:tc>
          <w:tcPr>
            <w:tcW w:w="2166" w:type="dxa"/>
            <w:vAlign w:val="center"/>
          </w:tcPr>
          <w:p w14:paraId="61753E44" w14:textId="10FA709A" w:rsidR="008211B8" w:rsidRPr="008211B8" w:rsidRDefault="008211B8" w:rsidP="008211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1.3049</w:t>
            </w:r>
          </w:p>
        </w:tc>
      </w:tr>
      <w:tr w:rsidR="008211B8" w:rsidRPr="008211B8" w14:paraId="6F846443" w14:textId="77777777" w:rsidTr="00EA1E29">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384DC270" w14:textId="08D012A6" w:rsidR="008211B8" w:rsidRPr="008211B8" w:rsidRDefault="008211B8" w:rsidP="008211B8">
            <w:pPr>
              <w:spacing w:before="0" w:after="0" w:line="240" w:lineRule="auto"/>
              <w:jc w:val="center"/>
              <w:rPr>
                <w:rFonts w:ascii="Gill Sans MT" w:hAnsi="Gill Sans MT"/>
                <w:b w:val="0"/>
                <w:bCs w:val="0"/>
              </w:rPr>
            </w:pPr>
            <w:r>
              <w:rPr>
                <w:rFonts w:ascii="Gill Sans MT" w:hAnsi="Gill Sans MT"/>
                <w:b w:val="0"/>
                <w:bCs w:val="0"/>
              </w:rPr>
              <w:t>8</w:t>
            </w:r>
          </w:p>
        </w:tc>
        <w:tc>
          <w:tcPr>
            <w:tcW w:w="2166" w:type="dxa"/>
            <w:vAlign w:val="center"/>
          </w:tcPr>
          <w:p w14:paraId="1A291D47" w14:textId="2B611BE2" w:rsidR="008211B8" w:rsidRPr="008211B8" w:rsidRDefault="008211B8" w:rsidP="008211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0.8353</w:t>
            </w:r>
          </w:p>
        </w:tc>
        <w:tc>
          <w:tcPr>
            <w:tcW w:w="2166" w:type="dxa"/>
            <w:vAlign w:val="center"/>
          </w:tcPr>
          <w:p w14:paraId="3654F76C" w14:textId="4548B493" w:rsidR="008211B8" w:rsidRPr="008211B8" w:rsidRDefault="008211B8" w:rsidP="008211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1.1909</w:t>
            </w:r>
          </w:p>
        </w:tc>
        <w:tc>
          <w:tcPr>
            <w:tcW w:w="2166" w:type="dxa"/>
            <w:vAlign w:val="center"/>
          </w:tcPr>
          <w:p w14:paraId="74A4C0C6" w14:textId="6BD285B6" w:rsidR="008211B8" w:rsidRPr="008211B8" w:rsidRDefault="008211B8" w:rsidP="008211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1.2389</w:t>
            </w:r>
          </w:p>
        </w:tc>
      </w:tr>
      <w:tr w:rsidR="008211B8" w:rsidRPr="008211B8" w14:paraId="724C9373" w14:textId="77777777" w:rsidTr="00EA1E2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320E369F" w14:textId="144AEE0E" w:rsidR="008211B8" w:rsidRDefault="008211B8" w:rsidP="008211B8">
            <w:pPr>
              <w:spacing w:before="0" w:after="0" w:line="240" w:lineRule="auto"/>
              <w:jc w:val="center"/>
              <w:rPr>
                <w:rFonts w:ascii="Gill Sans MT" w:hAnsi="Gill Sans MT"/>
                <w:b w:val="0"/>
                <w:bCs w:val="0"/>
              </w:rPr>
            </w:pPr>
            <w:r>
              <w:rPr>
                <w:rFonts w:ascii="Gill Sans MT" w:hAnsi="Gill Sans MT"/>
                <w:b w:val="0"/>
                <w:bCs w:val="0"/>
              </w:rPr>
              <w:t>9-24</w:t>
            </w:r>
          </w:p>
        </w:tc>
        <w:tc>
          <w:tcPr>
            <w:tcW w:w="2166" w:type="dxa"/>
            <w:vAlign w:val="center"/>
          </w:tcPr>
          <w:p w14:paraId="66523319" w14:textId="50E98C9D" w:rsidR="008211B8" w:rsidRPr="008211B8" w:rsidRDefault="008211B8" w:rsidP="008211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&lt; 0.761</w:t>
            </w:r>
          </w:p>
        </w:tc>
        <w:tc>
          <w:tcPr>
            <w:tcW w:w="2166" w:type="dxa"/>
            <w:vAlign w:val="center"/>
          </w:tcPr>
          <w:p w14:paraId="7A7F2EE7" w14:textId="0F32E1A9" w:rsidR="008211B8" w:rsidRPr="008211B8" w:rsidRDefault="008211B8" w:rsidP="008211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&lt; 1.136</w:t>
            </w:r>
          </w:p>
        </w:tc>
        <w:tc>
          <w:tcPr>
            <w:tcW w:w="2166" w:type="dxa"/>
            <w:vAlign w:val="center"/>
          </w:tcPr>
          <w:p w14:paraId="7C37588A" w14:textId="26CC9B57" w:rsidR="008211B8" w:rsidRPr="008211B8" w:rsidRDefault="008211B8" w:rsidP="008211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&lt; 1.181</w:t>
            </w:r>
          </w:p>
        </w:tc>
      </w:tr>
    </w:tbl>
    <w:p w14:paraId="59B5BA1A" w14:textId="28499F44" w:rsidR="00EA1E29" w:rsidRDefault="00EA1E29" w:rsidP="001571BF">
      <w:pPr>
        <w:pStyle w:val="Tables"/>
      </w:pPr>
      <w:bookmarkStart w:id="219" w:name="_Toc57033196"/>
      <w:r>
        <w:t>Table 1</w:t>
      </w:r>
      <w:r w:rsidR="002652B3">
        <w:t>7</w:t>
      </w:r>
      <w:r>
        <w:t>:</w:t>
      </w:r>
      <w:r w:rsidR="003214C8">
        <w:tab/>
      </w:r>
      <w:r>
        <w:t>Parallel Analysis: Principal components and raw data permutations for the ABC24 Scale</w:t>
      </w:r>
      <w:bookmarkEnd w:id="219"/>
    </w:p>
    <w:p w14:paraId="54572794" w14:textId="77777777" w:rsidR="009A27D7" w:rsidRDefault="009A27D7" w:rsidP="00EA1E29">
      <w:pPr>
        <w:pStyle w:val="Tables"/>
      </w:pPr>
    </w:p>
    <w:tbl>
      <w:tblPr>
        <w:tblStyle w:val="GridTable5Dark-Accent1"/>
        <w:tblW w:w="0" w:type="auto"/>
        <w:tblLook w:val="04A0" w:firstRow="1" w:lastRow="0" w:firstColumn="1" w:lastColumn="0" w:noHBand="0" w:noVBand="1"/>
      </w:tblPr>
      <w:tblGrid>
        <w:gridCol w:w="2166"/>
        <w:gridCol w:w="2166"/>
        <w:gridCol w:w="2166"/>
        <w:gridCol w:w="2166"/>
      </w:tblGrid>
      <w:tr w:rsidR="00EA1E29" w:rsidRPr="008211B8" w14:paraId="47DC35A1" w14:textId="77777777" w:rsidTr="00740F49">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166" w:type="dxa"/>
            <w:vAlign w:val="center"/>
          </w:tcPr>
          <w:p w14:paraId="561E7627" w14:textId="77777777" w:rsidR="00EA1E29" w:rsidRPr="008211B8" w:rsidRDefault="00EA1E29" w:rsidP="00740F49">
            <w:pPr>
              <w:spacing w:before="0" w:after="0" w:line="240" w:lineRule="auto"/>
              <w:jc w:val="center"/>
              <w:rPr>
                <w:rFonts w:ascii="Gill Sans MT" w:hAnsi="Gill Sans MT"/>
                <w:b w:val="0"/>
                <w:bCs w:val="0"/>
              </w:rPr>
            </w:pPr>
            <w:r w:rsidRPr="008211B8">
              <w:rPr>
                <w:rFonts w:ascii="Gill Sans MT" w:hAnsi="Gill Sans MT"/>
                <w:b w:val="0"/>
                <w:bCs w:val="0"/>
              </w:rPr>
              <w:t xml:space="preserve">ABC </w:t>
            </w:r>
            <w:r>
              <w:rPr>
                <w:rFonts w:ascii="Gill Sans MT" w:hAnsi="Gill Sans MT"/>
                <w:b w:val="0"/>
                <w:bCs w:val="0"/>
              </w:rPr>
              <w:t xml:space="preserve">24 </w:t>
            </w:r>
            <w:r w:rsidRPr="008211B8">
              <w:rPr>
                <w:rFonts w:ascii="Gill Sans MT" w:hAnsi="Gill Sans MT"/>
                <w:b w:val="0"/>
                <w:bCs w:val="0"/>
              </w:rPr>
              <w:t>Component</w:t>
            </w:r>
          </w:p>
        </w:tc>
        <w:tc>
          <w:tcPr>
            <w:tcW w:w="2166" w:type="dxa"/>
            <w:vAlign w:val="center"/>
          </w:tcPr>
          <w:p w14:paraId="69A7A56F" w14:textId="77777777" w:rsidR="00EA1E29" w:rsidRPr="008211B8" w:rsidRDefault="00EA1E29" w:rsidP="00740F4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Eigenvalue (raw data)</w:t>
            </w:r>
          </w:p>
        </w:tc>
        <w:tc>
          <w:tcPr>
            <w:tcW w:w="2166" w:type="dxa"/>
            <w:vAlign w:val="center"/>
          </w:tcPr>
          <w:p w14:paraId="5F828969" w14:textId="77777777" w:rsidR="00EA1E29" w:rsidRPr="008211B8" w:rsidRDefault="00EA1E29" w:rsidP="00740F4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Eigenvalue (mean value, simulations)</w:t>
            </w:r>
          </w:p>
        </w:tc>
        <w:tc>
          <w:tcPr>
            <w:tcW w:w="2166" w:type="dxa"/>
            <w:vAlign w:val="center"/>
          </w:tcPr>
          <w:p w14:paraId="2DDE652D" w14:textId="77777777" w:rsidR="00EA1E29" w:rsidRPr="008211B8" w:rsidRDefault="00EA1E29" w:rsidP="00740F4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95th %ile Eigenvalue (simulations)</w:t>
            </w:r>
          </w:p>
        </w:tc>
      </w:tr>
      <w:tr w:rsidR="00EA1E29" w:rsidRPr="008211B8" w14:paraId="4868CB5D" w14:textId="77777777" w:rsidTr="00EA1E2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660249DD" w14:textId="77777777" w:rsidR="00EA1E29" w:rsidRPr="008211B8" w:rsidRDefault="00EA1E29" w:rsidP="00740F49">
            <w:pPr>
              <w:spacing w:before="0" w:after="0" w:line="240" w:lineRule="auto"/>
              <w:jc w:val="center"/>
              <w:rPr>
                <w:rFonts w:ascii="Gill Sans MT" w:hAnsi="Gill Sans MT"/>
                <w:b w:val="0"/>
                <w:bCs w:val="0"/>
              </w:rPr>
            </w:pPr>
            <w:r>
              <w:rPr>
                <w:rFonts w:ascii="Gill Sans MT" w:hAnsi="Gill Sans MT"/>
                <w:b w:val="0"/>
                <w:bCs w:val="0"/>
              </w:rPr>
              <w:t>1</w:t>
            </w:r>
          </w:p>
        </w:tc>
        <w:tc>
          <w:tcPr>
            <w:tcW w:w="2166" w:type="dxa"/>
            <w:vAlign w:val="center"/>
          </w:tcPr>
          <w:p w14:paraId="00D87E1A" w14:textId="108D3469" w:rsidR="00EA1E29" w:rsidRPr="008211B8" w:rsidRDefault="00EA1E29"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6.009</w:t>
            </w:r>
          </w:p>
        </w:tc>
        <w:tc>
          <w:tcPr>
            <w:tcW w:w="2166" w:type="dxa"/>
            <w:vAlign w:val="center"/>
          </w:tcPr>
          <w:p w14:paraId="0C6A649E" w14:textId="74984929" w:rsidR="00EA1E29" w:rsidRPr="008211B8" w:rsidRDefault="00EA1E29"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1.6011</w:t>
            </w:r>
          </w:p>
        </w:tc>
        <w:tc>
          <w:tcPr>
            <w:tcW w:w="2166" w:type="dxa"/>
            <w:vAlign w:val="center"/>
          </w:tcPr>
          <w:p w14:paraId="68A2CB94" w14:textId="0DD0B085" w:rsidR="00EA1E29" w:rsidRPr="008211B8" w:rsidRDefault="00EA1E29"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1.7274</w:t>
            </w:r>
          </w:p>
        </w:tc>
      </w:tr>
      <w:tr w:rsidR="00EA1E29" w:rsidRPr="008211B8" w14:paraId="178414A3" w14:textId="77777777" w:rsidTr="00EA1E29">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774E81CD" w14:textId="77777777" w:rsidR="00EA1E29" w:rsidRPr="008211B8" w:rsidRDefault="00EA1E29" w:rsidP="00740F49">
            <w:pPr>
              <w:spacing w:before="0" w:after="0" w:line="240" w:lineRule="auto"/>
              <w:jc w:val="center"/>
              <w:rPr>
                <w:rFonts w:ascii="Gill Sans MT" w:hAnsi="Gill Sans MT"/>
                <w:b w:val="0"/>
                <w:bCs w:val="0"/>
              </w:rPr>
            </w:pPr>
            <w:r>
              <w:rPr>
                <w:rFonts w:ascii="Gill Sans MT" w:hAnsi="Gill Sans MT"/>
                <w:b w:val="0"/>
                <w:bCs w:val="0"/>
              </w:rPr>
              <w:t>2</w:t>
            </w:r>
          </w:p>
        </w:tc>
        <w:tc>
          <w:tcPr>
            <w:tcW w:w="2166" w:type="dxa"/>
            <w:vAlign w:val="center"/>
          </w:tcPr>
          <w:p w14:paraId="19D69F91" w14:textId="1CB881D0" w:rsidR="00EA1E29" w:rsidRPr="008211B8" w:rsidRDefault="00EA1E29"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1.9909</w:t>
            </w:r>
          </w:p>
        </w:tc>
        <w:tc>
          <w:tcPr>
            <w:tcW w:w="2166" w:type="dxa"/>
            <w:vAlign w:val="center"/>
          </w:tcPr>
          <w:p w14:paraId="59B44E86" w14:textId="45A91BD2" w:rsidR="00EA1E29" w:rsidRPr="008211B8" w:rsidRDefault="00EA1E29"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1.4724</w:t>
            </w:r>
          </w:p>
        </w:tc>
        <w:tc>
          <w:tcPr>
            <w:tcW w:w="2166" w:type="dxa"/>
            <w:vAlign w:val="center"/>
          </w:tcPr>
          <w:p w14:paraId="75354424" w14:textId="4713DEF0" w:rsidR="00EA1E29" w:rsidRPr="008211B8" w:rsidRDefault="00EA1E29"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1.5661</w:t>
            </w:r>
          </w:p>
        </w:tc>
      </w:tr>
      <w:tr w:rsidR="00EA1E29" w:rsidRPr="008211B8" w14:paraId="1A04DFD5" w14:textId="77777777" w:rsidTr="00EA1E2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411878EC" w14:textId="77777777" w:rsidR="00EA1E29" w:rsidRPr="008211B8" w:rsidRDefault="00EA1E29" w:rsidP="00740F49">
            <w:pPr>
              <w:spacing w:before="0" w:after="0" w:line="240" w:lineRule="auto"/>
              <w:jc w:val="center"/>
              <w:rPr>
                <w:rFonts w:ascii="Gill Sans MT" w:hAnsi="Gill Sans MT"/>
                <w:b w:val="0"/>
                <w:bCs w:val="0"/>
              </w:rPr>
            </w:pPr>
            <w:r>
              <w:rPr>
                <w:rFonts w:ascii="Gill Sans MT" w:hAnsi="Gill Sans MT"/>
                <w:b w:val="0"/>
                <w:bCs w:val="0"/>
              </w:rPr>
              <w:t>3</w:t>
            </w:r>
          </w:p>
        </w:tc>
        <w:tc>
          <w:tcPr>
            <w:tcW w:w="2166" w:type="dxa"/>
            <w:vAlign w:val="center"/>
          </w:tcPr>
          <w:p w14:paraId="62E3C90E" w14:textId="3BC1F642" w:rsidR="00EA1E29" w:rsidRPr="008211B8" w:rsidRDefault="00EA1E29"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1.7972</w:t>
            </w:r>
          </w:p>
        </w:tc>
        <w:tc>
          <w:tcPr>
            <w:tcW w:w="2166" w:type="dxa"/>
            <w:vAlign w:val="center"/>
          </w:tcPr>
          <w:p w14:paraId="57A4F753" w14:textId="0EFA0921" w:rsidR="00EA1E29" w:rsidRPr="008211B8" w:rsidRDefault="00EA1E29"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1.3769</w:t>
            </w:r>
          </w:p>
        </w:tc>
        <w:tc>
          <w:tcPr>
            <w:tcW w:w="2166" w:type="dxa"/>
            <w:vAlign w:val="center"/>
          </w:tcPr>
          <w:p w14:paraId="6EB111CD" w14:textId="0BDE79C6" w:rsidR="00EA1E29" w:rsidRPr="008211B8" w:rsidRDefault="00EA1E29"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1.4481</w:t>
            </w:r>
          </w:p>
        </w:tc>
      </w:tr>
      <w:tr w:rsidR="00EA1E29" w:rsidRPr="008211B8" w14:paraId="0C9E16D6" w14:textId="77777777" w:rsidTr="00EA1E29">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480BB9AF" w14:textId="77777777" w:rsidR="00EA1E29" w:rsidRPr="008211B8" w:rsidRDefault="00EA1E29" w:rsidP="00740F49">
            <w:pPr>
              <w:spacing w:before="0" w:after="0" w:line="240" w:lineRule="auto"/>
              <w:jc w:val="center"/>
              <w:rPr>
                <w:rFonts w:ascii="Gill Sans MT" w:hAnsi="Gill Sans MT"/>
                <w:b w:val="0"/>
                <w:bCs w:val="0"/>
              </w:rPr>
            </w:pPr>
            <w:r>
              <w:rPr>
                <w:rFonts w:ascii="Gill Sans MT" w:hAnsi="Gill Sans MT"/>
                <w:b w:val="0"/>
                <w:bCs w:val="0"/>
              </w:rPr>
              <w:t>4</w:t>
            </w:r>
          </w:p>
        </w:tc>
        <w:tc>
          <w:tcPr>
            <w:tcW w:w="2166" w:type="dxa"/>
            <w:vAlign w:val="center"/>
          </w:tcPr>
          <w:p w14:paraId="04DF371C" w14:textId="5075D7F6" w:rsidR="00EA1E29" w:rsidRPr="008211B8" w:rsidRDefault="00EA1E29"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1.0532</w:t>
            </w:r>
          </w:p>
        </w:tc>
        <w:tc>
          <w:tcPr>
            <w:tcW w:w="2166" w:type="dxa"/>
            <w:vAlign w:val="center"/>
          </w:tcPr>
          <w:p w14:paraId="0251DA0F" w14:textId="381B4E21" w:rsidR="00EA1E29" w:rsidRPr="008211B8" w:rsidRDefault="00EA1E29"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1.2937</w:t>
            </w:r>
          </w:p>
        </w:tc>
        <w:tc>
          <w:tcPr>
            <w:tcW w:w="2166" w:type="dxa"/>
            <w:vAlign w:val="center"/>
          </w:tcPr>
          <w:p w14:paraId="19271D5C" w14:textId="5E41BDDD" w:rsidR="00EA1E29" w:rsidRPr="008211B8" w:rsidRDefault="00EA1E29"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1.3589</w:t>
            </w:r>
          </w:p>
        </w:tc>
      </w:tr>
      <w:tr w:rsidR="00EA1E29" w:rsidRPr="008211B8" w14:paraId="5D79AA12" w14:textId="77777777" w:rsidTr="00EA1E2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27DED401" w14:textId="77777777" w:rsidR="00EA1E29" w:rsidRPr="008211B8" w:rsidRDefault="00EA1E29" w:rsidP="00740F49">
            <w:pPr>
              <w:spacing w:before="0" w:after="0" w:line="240" w:lineRule="auto"/>
              <w:jc w:val="center"/>
              <w:rPr>
                <w:rFonts w:ascii="Gill Sans MT" w:hAnsi="Gill Sans MT"/>
                <w:b w:val="0"/>
                <w:bCs w:val="0"/>
              </w:rPr>
            </w:pPr>
            <w:r>
              <w:rPr>
                <w:rFonts w:ascii="Gill Sans MT" w:hAnsi="Gill Sans MT"/>
                <w:b w:val="0"/>
                <w:bCs w:val="0"/>
              </w:rPr>
              <w:t>5</w:t>
            </w:r>
          </w:p>
        </w:tc>
        <w:tc>
          <w:tcPr>
            <w:tcW w:w="2166" w:type="dxa"/>
            <w:vAlign w:val="center"/>
          </w:tcPr>
          <w:p w14:paraId="2A77F00C" w14:textId="26D3672F" w:rsidR="00EA1E29" w:rsidRPr="008211B8" w:rsidRDefault="00EA1E29"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0.9552</w:t>
            </w:r>
          </w:p>
        </w:tc>
        <w:tc>
          <w:tcPr>
            <w:tcW w:w="2166" w:type="dxa"/>
            <w:vAlign w:val="center"/>
          </w:tcPr>
          <w:p w14:paraId="5640D35A" w14:textId="3F50F487" w:rsidR="00EA1E29" w:rsidRPr="008211B8" w:rsidRDefault="00EA1E29"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1.2212</w:t>
            </w:r>
          </w:p>
        </w:tc>
        <w:tc>
          <w:tcPr>
            <w:tcW w:w="2166" w:type="dxa"/>
            <w:vAlign w:val="center"/>
          </w:tcPr>
          <w:p w14:paraId="0FF8F91E" w14:textId="766973EF" w:rsidR="00EA1E29" w:rsidRPr="008211B8" w:rsidRDefault="00EA1E29"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1.2783</w:t>
            </w:r>
          </w:p>
        </w:tc>
      </w:tr>
      <w:tr w:rsidR="00EA1E29" w:rsidRPr="008211B8" w14:paraId="0F87D184" w14:textId="77777777" w:rsidTr="00EA1E29">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1F7E5AE5" w14:textId="77777777" w:rsidR="00EA1E29" w:rsidRPr="008211B8" w:rsidRDefault="00EA1E29" w:rsidP="00740F49">
            <w:pPr>
              <w:spacing w:before="0" w:after="0" w:line="240" w:lineRule="auto"/>
              <w:jc w:val="center"/>
              <w:rPr>
                <w:rFonts w:ascii="Gill Sans MT" w:hAnsi="Gill Sans MT"/>
                <w:b w:val="0"/>
                <w:bCs w:val="0"/>
              </w:rPr>
            </w:pPr>
            <w:r>
              <w:rPr>
                <w:rFonts w:ascii="Gill Sans MT" w:hAnsi="Gill Sans MT"/>
                <w:b w:val="0"/>
                <w:bCs w:val="0"/>
              </w:rPr>
              <w:t>6</w:t>
            </w:r>
          </w:p>
        </w:tc>
        <w:tc>
          <w:tcPr>
            <w:tcW w:w="2166" w:type="dxa"/>
            <w:vAlign w:val="center"/>
          </w:tcPr>
          <w:p w14:paraId="4D71BB50" w14:textId="52A137A6" w:rsidR="00EA1E29" w:rsidRPr="008211B8" w:rsidRDefault="00EA1E29"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0.8058</w:t>
            </w:r>
          </w:p>
        </w:tc>
        <w:tc>
          <w:tcPr>
            <w:tcW w:w="2166" w:type="dxa"/>
            <w:vAlign w:val="center"/>
          </w:tcPr>
          <w:p w14:paraId="1F2BC7C7" w14:textId="028ACCFD" w:rsidR="00EA1E29" w:rsidRPr="008211B8" w:rsidRDefault="00EA1E29"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1.1517</w:t>
            </w:r>
          </w:p>
        </w:tc>
        <w:tc>
          <w:tcPr>
            <w:tcW w:w="2166" w:type="dxa"/>
            <w:vAlign w:val="center"/>
          </w:tcPr>
          <w:p w14:paraId="6D9BDD5B" w14:textId="4C30BE20" w:rsidR="00EA1E29" w:rsidRPr="008211B8" w:rsidRDefault="00EA1E29"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1.2509</w:t>
            </w:r>
          </w:p>
        </w:tc>
      </w:tr>
      <w:tr w:rsidR="00EA1E29" w:rsidRPr="008211B8" w14:paraId="3EE3442C" w14:textId="77777777" w:rsidTr="00EA1E2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687D6654" w14:textId="77777777" w:rsidR="00EA1E29" w:rsidRPr="008211B8" w:rsidRDefault="00EA1E29" w:rsidP="00740F49">
            <w:pPr>
              <w:spacing w:before="0" w:after="0" w:line="240" w:lineRule="auto"/>
              <w:jc w:val="center"/>
              <w:rPr>
                <w:rFonts w:ascii="Gill Sans MT" w:hAnsi="Gill Sans MT"/>
                <w:b w:val="0"/>
                <w:bCs w:val="0"/>
              </w:rPr>
            </w:pPr>
            <w:r>
              <w:rPr>
                <w:rFonts w:ascii="Gill Sans MT" w:hAnsi="Gill Sans MT"/>
                <w:b w:val="0"/>
                <w:bCs w:val="0"/>
              </w:rPr>
              <w:t>7</w:t>
            </w:r>
          </w:p>
        </w:tc>
        <w:tc>
          <w:tcPr>
            <w:tcW w:w="2166" w:type="dxa"/>
            <w:vAlign w:val="center"/>
          </w:tcPr>
          <w:p w14:paraId="2DCB9941" w14:textId="4FE09555" w:rsidR="00EA1E29" w:rsidRPr="008211B8" w:rsidRDefault="00EA1E29"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0.6917</w:t>
            </w:r>
          </w:p>
        </w:tc>
        <w:tc>
          <w:tcPr>
            <w:tcW w:w="2166" w:type="dxa"/>
            <w:vAlign w:val="center"/>
          </w:tcPr>
          <w:p w14:paraId="76C32C4D" w14:textId="3F3ABEF3" w:rsidR="00EA1E29" w:rsidRPr="008211B8" w:rsidRDefault="00EA1E29"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1.0881</w:t>
            </w:r>
          </w:p>
        </w:tc>
        <w:tc>
          <w:tcPr>
            <w:tcW w:w="2166" w:type="dxa"/>
            <w:vAlign w:val="center"/>
          </w:tcPr>
          <w:p w14:paraId="38877012" w14:textId="1B116932" w:rsidR="00EA1E29" w:rsidRPr="008211B8" w:rsidRDefault="00EA1E29"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1.1418</w:t>
            </w:r>
          </w:p>
        </w:tc>
      </w:tr>
      <w:tr w:rsidR="00EA1E29" w:rsidRPr="008211B8" w14:paraId="0A8B4514" w14:textId="77777777" w:rsidTr="00EA1E29">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2FBB1976" w14:textId="77777777" w:rsidR="00EA1E29" w:rsidRPr="008211B8" w:rsidRDefault="00EA1E29" w:rsidP="00740F49">
            <w:pPr>
              <w:spacing w:before="0" w:after="0" w:line="240" w:lineRule="auto"/>
              <w:jc w:val="center"/>
              <w:rPr>
                <w:rFonts w:ascii="Gill Sans MT" w:hAnsi="Gill Sans MT"/>
                <w:b w:val="0"/>
                <w:bCs w:val="0"/>
              </w:rPr>
            </w:pPr>
            <w:r>
              <w:rPr>
                <w:rFonts w:ascii="Gill Sans MT" w:hAnsi="Gill Sans MT"/>
                <w:b w:val="0"/>
                <w:bCs w:val="0"/>
              </w:rPr>
              <w:t>8</w:t>
            </w:r>
          </w:p>
        </w:tc>
        <w:tc>
          <w:tcPr>
            <w:tcW w:w="2166" w:type="dxa"/>
            <w:vAlign w:val="center"/>
          </w:tcPr>
          <w:p w14:paraId="37CC96AA" w14:textId="69D7941A" w:rsidR="00EA1E29" w:rsidRPr="008211B8" w:rsidRDefault="00EA1E29"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0.6329</w:t>
            </w:r>
          </w:p>
        </w:tc>
        <w:tc>
          <w:tcPr>
            <w:tcW w:w="2166" w:type="dxa"/>
            <w:vAlign w:val="center"/>
          </w:tcPr>
          <w:p w14:paraId="3EBCC695" w14:textId="39866692" w:rsidR="00EA1E29" w:rsidRPr="008211B8" w:rsidRDefault="00EA1E29"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1.0286</w:t>
            </w:r>
          </w:p>
        </w:tc>
        <w:tc>
          <w:tcPr>
            <w:tcW w:w="2166" w:type="dxa"/>
            <w:vAlign w:val="center"/>
          </w:tcPr>
          <w:p w14:paraId="6B1B1F43" w14:textId="4138EC5B" w:rsidR="00EA1E29" w:rsidRPr="008211B8" w:rsidRDefault="00EA1E29"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1.0786</w:t>
            </w:r>
          </w:p>
        </w:tc>
      </w:tr>
      <w:tr w:rsidR="00EA1E29" w:rsidRPr="008211B8" w14:paraId="04DCF901" w14:textId="77777777" w:rsidTr="00EA1E2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1BE5CDEF" w14:textId="77777777" w:rsidR="00EA1E29" w:rsidRDefault="00EA1E29" w:rsidP="00740F49">
            <w:pPr>
              <w:spacing w:before="0" w:after="0" w:line="240" w:lineRule="auto"/>
              <w:jc w:val="center"/>
              <w:rPr>
                <w:rFonts w:ascii="Gill Sans MT" w:hAnsi="Gill Sans MT"/>
                <w:b w:val="0"/>
                <w:bCs w:val="0"/>
              </w:rPr>
            </w:pPr>
            <w:r>
              <w:rPr>
                <w:rFonts w:ascii="Gill Sans MT" w:hAnsi="Gill Sans MT"/>
                <w:b w:val="0"/>
                <w:bCs w:val="0"/>
              </w:rPr>
              <w:t>9-24</w:t>
            </w:r>
          </w:p>
        </w:tc>
        <w:tc>
          <w:tcPr>
            <w:tcW w:w="2166" w:type="dxa"/>
            <w:vAlign w:val="center"/>
          </w:tcPr>
          <w:p w14:paraId="5A1A101B" w14:textId="08E74AF7" w:rsidR="00EA1E29" w:rsidRPr="008211B8" w:rsidRDefault="00EA1E29"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&lt; 0.5592</w:t>
            </w:r>
          </w:p>
        </w:tc>
        <w:tc>
          <w:tcPr>
            <w:tcW w:w="2166" w:type="dxa"/>
            <w:vAlign w:val="center"/>
          </w:tcPr>
          <w:p w14:paraId="34E8C42F" w14:textId="476106D4" w:rsidR="00EA1E29" w:rsidRPr="008211B8" w:rsidRDefault="00EA1E29"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&lt; 0.9703</w:t>
            </w:r>
          </w:p>
        </w:tc>
        <w:tc>
          <w:tcPr>
            <w:tcW w:w="2166" w:type="dxa"/>
            <w:vAlign w:val="center"/>
          </w:tcPr>
          <w:p w14:paraId="60BB19E3" w14:textId="57BBE835" w:rsidR="00EA1E29" w:rsidRPr="008211B8" w:rsidRDefault="00EA1E29"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&lt; 1.10187</w:t>
            </w:r>
          </w:p>
        </w:tc>
      </w:tr>
    </w:tbl>
    <w:p w14:paraId="2DF6D087" w14:textId="7938F5AB" w:rsidR="00A2211C" w:rsidRDefault="00EA1E29" w:rsidP="001571BF">
      <w:pPr>
        <w:pStyle w:val="Tables"/>
      </w:pPr>
      <w:bookmarkStart w:id="220" w:name="_Toc57033197"/>
      <w:r>
        <w:t>Table 1</w:t>
      </w:r>
      <w:r w:rsidR="002652B3">
        <w:t>8</w:t>
      </w:r>
      <w:r>
        <w:t>:</w:t>
      </w:r>
      <w:r w:rsidR="003214C8">
        <w:tab/>
      </w:r>
      <w:r>
        <w:t>Parallel Analysis: Principal components and raw data permutations for the ABC17 Scale</w:t>
      </w:r>
      <w:bookmarkEnd w:id="220"/>
    </w:p>
    <w:p w14:paraId="0E211C91" w14:textId="0E09AF99" w:rsidR="00A2211C" w:rsidRDefault="00632E07" w:rsidP="00632E07">
      <w:r>
        <w:rPr>
          <w:noProof/>
        </w:rPr>
        <w:lastRenderedPageBreak/>
        <mc:AlternateContent>
          <mc:Choice Requires="wpg">
            <w:drawing>
              <wp:anchor distT="0" distB="0" distL="114300" distR="114300" simplePos="0" relativeHeight="251683840" behindDoc="0" locked="0" layoutInCell="1" allowOverlap="1" wp14:anchorId="30C063AB" wp14:editId="4DA2079C">
                <wp:simplePos x="0" y="0"/>
                <wp:positionH relativeFrom="column">
                  <wp:posOffset>-12072</wp:posOffset>
                </wp:positionH>
                <wp:positionV relativeFrom="paragraph">
                  <wp:posOffset>50</wp:posOffset>
                </wp:positionV>
                <wp:extent cx="5518264" cy="4145915"/>
                <wp:effectExtent l="0" t="0" r="6350" b="0"/>
                <wp:wrapTopAndBottom/>
                <wp:docPr id="10" name="Group 10"/>
                <wp:cNvGraphicFramePr/>
                <a:graphic xmlns:a="http://schemas.openxmlformats.org/drawingml/2006/main">
                  <a:graphicData uri="http://schemas.microsoft.com/office/word/2010/wordprocessingGroup">
                    <wpg:wgp>
                      <wpg:cNvGrpSpPr/>
                      <wpg:grpSpPr>
                        <a:xfrm>
                          <a:off x="0" y="0"/>
                          <a:ext cx="5518264" cy="4145915"/>
                          <a:chOff x="0" y="0"/>
                          <a:chExt cx="5518264" cy="4145915"/>
                        </a:xfrm>
                      </wpg:grpSpPr>
                      <pic:pic xmlns:pic="http://schemas.openxmlformats.org/drawingml/2006/picture">
                        <pic:nvPicPr>
                          <pic:cNvPr id="15" name="Picture 15" descr="A screenshot of a cell phone&#10;&#10;Description automatically generated"/>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5507990" cy="3655060"/>
                          </a:xfrm>
                          <a:prstGeom prst="rect">
                            <a:avLst/>
                          </a:prstGeom>
                        </pic:spPr>
                      </pic:pic>
                      <wps:wsp>
                        <wps:cNvPr id="16" name="Text Box 16"/>
                        <wps:cNvSpPr txBox="1"/>
                        <wps:spPr>
                          <a:xfrm>
                            <a:off x="10274" y="3708400"/>
                            <a:ext cx="5507990" cy="437515"/>
                          </a:xfrm>
                          <a:prstGeom prst="rect">
                            <a:avLst/>
                          </a:prstGeom>
                          <a:solidFill>
                            <a:prstClr val="white"/>
                          </a:solidFill>
                          <a:ln>
                            <a:noFill/>
                          </a:ln>
                        </wps:spPr>
                        <wps:txbx>
                          <w:txbxContent>
                            <w:p w14:paraId="7C7ED009" w14:textId="71CA9D7B" w:rsidR="00533FBF" w:rsidRPr="005203C2" w:rsidRDefault="00533FBF" w:rsidP="00A2211C">
                              <w:pPr>
                                <w:pStyle w:val="Subtitle"/>
                                <w:rPr>
                                  <w:rFonts w:ascii="Muli" w:hAnsi="Muli"/>
                                  <w:noProof/>
                                  <w:sz w:val="20"/>
                                </w:rPr>
                              </w:pPr>
                              <w:bookmarkStart w:id="221" w:name="_Toc56495236"/>
                              <w:r>
                                <w:t xml:space="preserve">Figure </w:t>
                              </w:r>
                              <w:r w:rsidR="00B568C9">
                                <w:fldChar w:fldCharType="begin"/>
                              </w:r>
                              <w:r w:rsidR="00B568C9">
                                <w:instrText xml:space="preserve"> SEQ Figure \* ARABIC </w:instrText>
                              </w:r>
                              <w:r w:rsidR="00B568C9">
                                <w:fldChar w:fldCharType="separate"/>
                              </w:r>
                              <w:r>
                                <w:rPr>
                                  <w:noProof/>
                                </w:rPr>
                                <w:t>17</w:t>
                              </w:r>
                              <w:r w:rsidR="00B568C9">
                                <w:rPr>
                                  <w:noProof/>
                                </w:rPr>
                                <w:fldChar w:fldCharType="end"/>
                              </w:r>
                              <w:r>
                                <w:t>:</w:t>
                              </w:r>
                              <w:r>
                                <w:tab/>
                                <w:t>Scree plot of raw data and Eigenvalue Monte Carlo Simulations for the ABC24 Scale</w:t>
                              </w:r>
                              <w:bookmarkEnd w:id="2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0C063AB" id="Group 10" o:spid="_x0000_s1042" style="position:absolute;margin-left:-.95pt;margin-top:0;width:434.5pt;height:326.45pt;z-index:251683840" coordsize="55182,4145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">
                <v:shape id="Picture 15" o:spid="_x0000_s1043" type="#_x0000_t75" alt="A screenshot of a cell phone&#10;&#10;Description automatically generated" style="position:absolute;width:55079;height:365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">
                  <v:imagedata r:id="rId49" o:title="A screenshot of a cell phone&#10;&#10;Description automatically generated"/>
                </v:shape>
                <v:shape id="Text Box 16" o:spid="_x0000_s1044" type="#_x0000_t202" style="position:absolute;left:102;top:37084;width:55080;height:4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" stroked="f">
                  <v:textbox style="mso-fit-shape-to-text:t" inset="0,0,0,0">
                    <w:txbxContent>
                      <w:p w14:paraId="7C7ED009" w14:textId="71CA9D7B" w:rsidR="00533FBF" w:rsidRPr="005203C2" w:rsidRDefault="00533FBF" w:rsidP="00A2211C">
                        <w:pPr>
                          <w:pStyle w:val="Subtitle"/>
                          <w:rPr>
                            <w:rFonts w:ascii="Muli" w:hAnsi="Muli"/>
                            <w:noProof/>
                            <w:sz w:val="20"/>
                          </w:rPr>
                        </w:pPr>
                        <w:bookmarkStart w:id="252" w:name="_Toc56495236"/>
                        <w:r>
                          <w:t xml:space="preserve">Figure </w:t>
                        </w:r>
                        <w:fldSimple w:instr=" SEQ Figure \* ARABIC ">
                          <w:r>
                            <w:rPr>
                              <w:noProof/>
                            </w:rPr>
                            <w:t>17</w:t>
                          </w:r>
                        </w:fldSimple>
                        <w:r>
                          <w:t>:</w:t>
                        </w:r>
                        <w:r>
                          <w:tab/>
                          <w:t>Scree plot of raw data and Eigenvalue Monte Carlo Simulations for the ABC24 Scale</w:t>
                        </w:r>
                        <w:bookmarkEnd w:id="252"/>
                      </w:p>
                    </w:txbxContent>
                  </v:textbox>
                </v:shape>
                <w10:wrap type="topAndBottom"/>
              </v:group>
            </w:pict>
          </mc:Fallback>
        </mc:AlternateContent>
      </w:r>
    </w:p>
    <w:p w14:paraId="18F64DA7" w14:textId="59ED6FAB" w:rsidR="00A2211C" w:rsidRDefault="00A2211C" w:rsidP="00A2211C">
      <w:pPr>
        <w:pStyle w:val="Heading4"/>
      </w:pPr>
      <w:r>
        <w:t>II</w:t>
      </w:r>
      <w:r w:rsidR="00CA48C2">
        <w:t xml:space="preserve">  </w:t>
      </w:r>
      <w:r>
        <w:t>Eigenvalue Monte Carlo Simulation for the Dx Profiler Dx20 and Dx16 Scales:</w:t>
      </w:r>
    </w:p>
    <w:p w14:paraId="3261B5D2" w14:textId="75033D8E" w:rsidR="00A2211C" w:rsidRPr="00A2211C" w:rsidRDefault="00A2211C" w:rsidP="00A2211C">
      <w:r w:rsidRPr="00A2211C">
        <w:rPr>
          <w:rFonts w:eastAsia="Times New Roman"/>
          <w:lang w:eastAsia="en-GB"/>
        </w:rPr>
        <w:t>For the Dx20 version of the Profiler a similar, parallel analysis simulation of again,</w:t>
      </w:r>
      <w:r w:rsidR="00B86B4F">
        <w:rPr>
          <w:rFonts w:eastAsia="Times New Roman"/>
          <w:lang w:eastAsia="en-GB"/>
        </w:rPr>
        <w:t xml:space="preserve"> </w:t>
      </w:r>
      <w:r w:rsidRPr="00A2211C">
        <w:rPr>
          <w:rFonts w:eastAsia="Times New Roman"/>
          <w:lang w:eastAsia="en-GB"/>
        </w:rPr>
        <w:t xml:space="preserve">1000 random permutations of the raw data clearly identified two significant eigenvalues with a third falling on the 95th percentile critical boundary (within three significant figures) (Table </w:t>
      </w:r>
      <w:r w:rsidR="002652B3">
        <w:rPr>
          <w:rFonts w:eastAsia="Times New Roman"/>
          <w:lang w:eastAsia="en-GB"/>
        </w:rPr>
        <w:t>19</w:t>
      </w:r>
      <w:r w:rsidRPr="00A2211C">
        <w:rPr>
          <w:rFonts w:eastAsia="Times New Roman"/>
          <w:lang w:eastAsia="en-GB"/>
        </w:rPr>
        <w:t>, Fig</w:t>
      </w:r>
      <w:r w:rsidR="003214C8">
        <w:rPr>
          <w:rFonts w:eastAsia="Times New Roman"/>
          <w:lang w:eastAsia="en-GB"/>
        </w:rPr>
        <w:t xml:space="preserve">ure </w:t>
      </w:r>
      <w:r w:rsidRPr="00A2211C">
        <w:rPr>
          <w:rFonts w:eastAsia="Times New Roman"/>
          <w:lang w:eastAsia="en-GB"/>
        </w:rPr>
        <w:t>1</w:t>
      </w:r>
      <w:r w:rsidR="000C1E2A">
        <w:rPr>
          <w:rFonts w:eastAsia="Times New Roman"/>
          <w:lang w:eastAsia="en-GB"/>
        </w:rPr>
        <w:t>8</w:t>
      </w:r>
      <w:r w:rsidRPr="00A2211C">
        <w:rPr>
          <w:rFonts w:eastAsia="Times New Roman"/>
          <w:lang w:eastAsia="en-GB"/>
        </w:rPr>
        <w:t>). The same simulation applied to the scale variables of the 16-item Dx Profiler conversely</w:t>
      </w:r>
      <w:r w:rsidR="00B86B4F">
        <w:rPr>
          <w:rFonts w:eastAsia="Times New Roman"/>
          <w:lang w:eastAsia="en-GB"/>
        </w:rPr>
        <w:t xml:space="preserve"> </w:t>
      </w:r>
      <w:r w:rsidRPr="00A2211C">
        <w:rPr>
          <w:rFonts w:eastAsia="Times New Roman"/>
          <w:lang w:eastAsia="en-GB"/>
        </w:rPr>
        <w:t>indicated that no sub-structure scale could</w:t>
      </w:r>
      <w:r w:rsidR="00B86B4F">
        <w:rPr>
          <w:rFonts w:eastAsia="Times New Roman"/>
          <w:lang w:eastAsia="en-GB"/>
        </w:rPr>
        <w:t xml:space="preserve"> </w:t>
      </w:r>
      <w:r w:rsidRPr="00A2211C">
        <w:rPr>
          <w:rFonts w:eastAsia="Times New Roman"/>
          <w:lang w:eastAsia="en-GB"/>
        </w:rPr>
        <w:t xml:space="preserve">be reasonably determined (Table </w:t>
      </w:r>
      <w:r w:rsidR="000E71C3">
        <w:rPr>
          <w:rFonts w:eastAsia="Times New Roman"/>
          <w:lang w:eastAsia="en-GB"/>
        </w:rPr>
        <w:t>2</w:t>
      </w:r>
      <w:r w:rsidR="002652B3">
        <w:rPr>
          <w:rFonts w:eastAsia="Times New Roman"/>
          <w:lang w:eastAsia="en-GB"/>
        </w:rPr>
        <w:t>0</w:t>
      </w:r>
      <w:r w:rsidRPr="00A2211C">
        <w:rPr>
          <w:rFonts w:eastAsia="Times New Roman"/>
          <w:lang w:eastAsia="en-GB"/>
        </w:rPr>
        <w:t>) and that</w:t>
      </w:r>
      <w:r w:rsidR="00B86B4F">
        <w:rPr>
          <w:rFonts w:eastAsia="Times New Roman"/>
          <w:lang w:eastAsia="en-GB"/>
        </w:rPr>
        <w:t xml:space="preserve"> </w:t>
      </w:r>
      <w:r w:rsidRPr="00A2211C">
        <w:rPr>
          <w:rFonts w:eastAsia="Times New Roman"/>
          <w:lang w:eastAsia="en-GB"/>
        </w:rPr>
        <w:t>the Dx16 Profiler was best considered as a single-factor gauge of dyslexia-ness for the datasets in this current study.</w:t>
      </w:r>
    </w:p>
    <w:tbl>
      <w:tblPr>
        <w:tblStyle w:val="GridTable5Dark-Accent1"/>
        <w:tblW w:w="0" w:type="auto"/>
        <w:tblLook w:val="04A0" w:firstRow="1" w:lastRow="0" w:firstColumn="1" w:lastColumn="0" w:noHBand="0" w:noVBand="1"/>
      </w:tblPr>
      <w:tblGrid>
        <w:gridCol w:w="2166"/>
        <w:gridCol w:w="2166"/>
        <w:gridCol w:w="2166"/>
        <w:gridCol w:w="2166"/>
      </w:tblGrid>
      <w:tr w:rsidR="00A2211C" w:rsidRPr="008211B8" w14:paraId="52E39596" w14:textId="77777777" w:rsidTr="00740F49">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166" w:type="dxa"/>
            <w:vAlign w:val="center"/>
          </w:tcPr>
          <w:p w14:paraId="2AC1526B" w14:textId="7A1C9D71" w:rsidR="00A2211C" w:rsidRPr="008211B8" w:rsidRDefault="00A2211C" w:rsidP="00740F49">
            <w:pPr>
              <w:spacing w:before="0" w:after="0" w:line="240" w:lineRule="auto"/>
              <w:jc w:val="center"/>
              <w:rPr>
                <w:rFonts w:ascii="Gill Sans MT" w:hAnsi="Gill Sans MT"/>
                <w:b w:val="0"/>
                <w:bCs w:val="0"/>
              </w:rPr>
            </w:pPr>
            <w:r>
              <w:rPr>
                <w:rFonts w:ascii="Gill Sans MT" w:hAnsi="Gill Sans MT"/>
                <w:b w:val="0"/>
                <w:bCs w:val="0"/>
              </w:rPr>
              <w:t>Dx20 Component</w:t>
            </w:r>
          </w:p>
        </w:tc>
        <w:tc>
          <w:tcPr>
            <w:tcW w:w="2166" w:type="dxa"/>
            <w:vAlign w:val="center"/>
          </w:tcPr>
          <w:p w14:paraId="55838D17" w14:textId="77777777" w:rsidR="00A2211C" w:rsidRPr="008211B8" w:rsidRDefault="00A2211C" w:rsidP="00740F4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Eigenvalue (raw data)</w:t>
            </w:r>
          </w:p>
        </w:tc>
        <w:tc>
          <w:tcPr>
            <w:tcW w:w="2166" w:type="dxa"/>
            <w:vAlign w:val="center"/>
          </w:tcPr>
          <w:p w14:paraId="32C88A5E" w14:textId="77777777" w:rsidR="00A2211C" w:rsidRPr="008211B8" w:rsidRDefault="00A2211C" w:rsidP="00740F4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Eigenvalue (mean value, simulations)</w:t>
            </w:r>
          </w:p>
        </w:tc>
        <w:tc>
          <w:tcPr>
            <w:tcW w:w="2166" w:type="dxa"/>
            <w:vAlign w:val="center"/>
          </w:tcPr>
          <w:p w14:paraId="5270F7E9" w14:textId="77777777" w:rsidR="00A2211C" w:rsidRPr="008211B8" w:rsidRDefault="00A2211C" w:rsidP="00740F4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95th %ile Eigenvalue (simulations)</w:t>
            </w:r>
          </w:p>
        </w:tc>
      </w:tr>
      <w:tr w:rsidR="00A2211C" w:rsidRPr="008211B8" w14:paraId="3BBA0413" w14:textId="77777777" w:rsidTr="00740F4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7FEE8390" w14:textId="77777777" w:rsidR="00A2211C" w:rsidRPr="008211B8" w:rsidRDefault="00A2211C" w:rsidP="00740F49">
            <w:pPr>
              <w:spacing w:before="0" w:after="0" w:line="240" w:lineRule="auto"/>
              <w:jc w:val="center"/>
              <w:rPr>
                <w:rFonts w:ascii="Gill Sans MT" w:hAnsi="Gill Sans MT"/>
                <w:b w:val="0"/>
                <w:bCs w:val="0"/>
              </w:rPr>
            </w:pPr>
            <w:r>
              <w:rPr>
                <w:rFonts w:ascii="Gill Sans MT" w:hAnsi="Gill Sans MT"/>
                <w:b w:val="0"/>
                <w:bCs w:val="0"/>
              </w:rPr>
              <w:t>1</w:t>
            </w:r>
          </w:p>
        </w:tc>
        <w:tc>
          <w:tcPr>
            <w:tcW w:w="2166" w:type="dxa"/>
            <w:vAlign w:val="center"/>
          </w:tcPr>
          <w:p w14:paraId="7C3A36FA" w14:textId="4E95892C" w:rsidR="00A2211C" w:rsidRPr="008211B8" w:rsidRDefault="00A2211C"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6.3364</w:t>
            </w:r>
          </w:p>
        </w:tc>
        <w:tc>
          <w:tcPr>
            <w:tcW w:w="2166" w:type="dxa"/>
            <w:vAlign w:val="center"/>
          </w:tcPr>
          <w:p w14:paraId="605C04D6" w14:textId="4D56392B" w:rsidR="00A2211C" w:rsidRPr="008211B8" w:rsidRDefault="00A2211C"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1.6774</w:t>
            </w:r>
          </w:p>
        </w:tc>
        <w:tc>
          <w:tcPr>
            <w:tcW w:w="2166" w:type="dxa"/>
            <w:vAlign w:val="center"/>
          </w:tcPr>
          <w:p w14:paraId="453274DC" w14:textId="0E8EE172" w:rsidR="00A2211C" w:rsidRPr="008211B8" w:rsidRDefault="00A2211C"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1.8068</w:t>
            </w:r>
          </w:p>
        </w:tc>
      </w:tr>
      <w:tr w:rsidR="00A2211C" w:rsidRPr="008211B8" w14:paraId="4AD8799C" w14:textId="77777777" w:rsidTr="00740F49">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6A3B12CF" w14:textId="77777777" w:rsidR="00A2211C" w:rsidRPr="008211B8" w:rsidRDefault="00A2211C" w:rsidP="00740F49">
            <w:pPr>
              <w:spacing w:before="0" w:after="0" w:line="240" w:lineRule="auto"/>
              <w:jc w:val="center"/>
              <w:rPr>
                <w:rFonts w:ascii="Gill Sans MT" w:hAnsi="Gill Sans MT"/>
                <w:b w:val="0"/>
                <w:bCs w:val="0"/>
              </w:rPr>
            </w:pPr>
            <w:r>
              <w:rPr>
                <w:rFonts w:ascii="Gill Sans MT" w:hAnsi="Gill Sans MT"/>
                <w:b w:val="0"/>
                <w:bCs w:val="0"/>
              </w:rPr>
              <w:t>2</w:t>
            </w:r>
          </w:p>
        </w:tc>
        <w:tc>
          <w:tcPr>
            <w:tcW w:w="2166" w:type="dxa"/>
            <w:vAlign w:val="center"/>
          </w:tcPr>
          <w:p w14:paraId="774D7B18" w14:textId="18ED8A34" w:rsidR="00A2211C" w:rsidRPr="008211B8" w:rsidRDefault="00A2211C"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1.9701</w:t>
            </w:r>
          </w:p>
        </w:tc>
        <w:tc>
          <w:tcPr>
            <w:tcW w:w="2166" w:type="dxa"/>
            <w:vAlign w:val="center"/>
          </w:tcPr>
          <w:p w14:paraId="72783722" w14:textId="195657CE" w:rsidR="00A2211C" w:rsidRPr="008211B8" w:rsidRDefault="00A2211C"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1.5470</w:t>
            </w:r>
          </w:p>
        </w:tc>
        <w:tc>
          <w:tcPr>
            <w:tcW w:w="2166" w:type="dxa"/>
            <w:vAlign w:val="center"/>
          </w:tcPr>
          <w:p w14:paraId="08E81774" w14:textId="54DD1180" w:rsidR="00A2211C" w:rsidRPr="008211B8" w:rsidRDefault="00A2211C"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1.6289</w:t>
            </w:r>
          </w:p>
        </w:tc>
      </w:tr>
      <w:tr w:rsidR="00A2211C" w:rsidRPr="008211B8" w14:paraId="220A05F2" w14:textId="77777777" w:rsidTr="00740F4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6DBE1F8C" w14:textId="77777777" w:rsidR="00A2211C" w:rsidRPr="008211B8" w:rsidRDefault="00A2211C" w:rsidP="00740F49">
            <w:pPr>
              <w:spacing w:before="0" w:after="0" w:line="240" w:lineRule="auto"/>
              <w:jc w:val="center"/>
              <w:rPr>
                <w:rFonts w:ascii="Gill Sans MT" w:hAnsi="Gill Sans MT"/>
                <w:b w:val="0"/>
                <w:bCs w:val="0"/>
              </w:rPr>
            </w:pPr>
            <w:r>
              <w:rPr>
                <w:rFonts w:ascii="Gill Sans MT" w:hAnsi="Gill Sans MT"/>
                <w:b w:val="0"/>
                <w:bCs w:val="0"/>
              </w:rPr>
              <w:t>3</w:t>
            </w:r>
          </w:p>
        </w:tc>
        <w:tc>
          <w:tcPr>
            <w:tcW w:w="2166" w:type="dxa"/>
            <w:vAlign w:val="center"/>
          </w:tcPr>
          <w:p w14:paraId="31CD41CF" w14:textId="5D5AF13E" w:rsidR="00A2211C" w:rsidRPr="008211B8" w:rsidRDefault="00A2211C"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1.5215</w:t>
            </w:r>
          </w:p>
        </w:tc>
        <w:tc>
          <w:tcPr>
            <w:tcW w:w="2166" w:type="dxa"/>
            <w:vAlign w:val="center"/>
          </w:tcPr>
          <w:p w14:paraId="2A627718" w14:textId="15D9BBC6" w:rsidR="00A2211C" w:rsidRPr="008211B8" w:rsidRDefault="00A2211C"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1.4505</w:t>
            </w:r>
          </w:p>
        </w:tc>
        <w:tc>
          <w:tcPr>
            <w:tcW w:w="2166" w:type="dxa"/>
            <w:vAlign w:val="center"/>
          </w:tcPr>
          <w:p w14:paraId="1E7FA5D8" w14:textId="4C274D4A" w:rsidR="00A2211C" w:rsidRPr="008211B8" w:rsidRDefault="00A2211C"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1.5238</w:t>
            </w:r>
          </w:p>
        </w:tc>
      </w:tr>
      <w:tr w:rsidR="00A2211C" w:rsidRPr="008211B8" w14:paraId="6B874531" w14:textId="77777777" w:rsidTr="00740F49">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7592CA69" w14:textId="77777777" w:rsidR="00A2211C" w:rsidRPr="008211B8" w:rsidRDefault="00A2211C" w:rsidP="00740F49">
            <w:pPr>
              <w:spacing w:before="0" w:after="0" w:line="240" w:lineRule="auto"/>
              <w:jc w:val="center"/>
              <w:rPr>
                <w:rFonts w:ascii="Gill Sans MT" w:hAnsi="Gill Sans MT"/>
                <w:b w:val="0"/>
                <w:bCs w:val="0"/>
              </w:rPr>
            </w:pPr>
            <w:r>
              <w:rPr>
                <w:rFonts w:ascii="Gill Sans MT" w:hAnsi="Gill Sans MT"/>
                <w:b w:val="0"/>
                <w:bCs w:val="0"/>
              </w:rPr>
              <w:t>4</w:t>
            </w:r>
          </w:p>
        </w:tc>
        <w:tc>
          <w:tcPr>
            <w:tcW w:w="2166" w:type="dxa"/>
            <w:vAlign w:val="center"/>
          </w:tcPr>
          <w:p w14:paraId="1B6C1283" w14:textId="057A82F7" w:rsidR="00A2211C" w:rsidRPr="008211B8" w:rsidRDefault="00A2211C"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1.2009</w:t>
            </w:r>
          </w:p>
        </w:tc>
        <w:tc>
          <w:tcPr>
            <w:tcW w:w="2166" w:type="dxa"/>
            <w:vAlign w:val="center"/>
          </w:tcPr>
          <w:p w14:paraId="1C0EE284" w14:textId="359E7735" w:rsidR="00A2211C" w:rsidRPr="008211B8" w:rsidRDefault="00A2211C"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1.3650</w:t>
            </w:r>
          </w:p>
        </w:tc>
        <w:tc>
          <w:tcPr>
            <w:tcW w:w="2166" w:type="dxa"/>
            <w:vAlign w:val="center"/>
          </w:tcPr>
          <w:p w14:paraId="02149AE7" w14:textId="666927AB" w:rsidR="00A2211C" w:rsidRPr="008211B8" w:rsidRDefault="00A2211C"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1.4304</w:t>
            </w:r>
          </w:p>
        </w:tc>
      </w:tr>
      <w:tr w:rsidR="00A2211C" w:rsidRPr="008211B8" w14:paraId="742049B6" w14:textId="77777777" w:rsidTr="00740F4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3F764843" w14:textId="77777777" w:rsidR="00A2211C" w:rsidRPr="008211B8" w:rsidRDefault="00A2211C" w:rsidP="00740F49">
            <w:pPr>
              <w:spacing w:before="0" w:after="0" w:line="240" w:lineRule="auto"/>
              <w:jc w:val="center"/>
              <w:rPr>
                <w:rFonts w:ascii="Gill Sans MT" w:hAnsi="Gill Sans MT"/>
                <w:b w:val="0"/>
                <w:bCs w:val="0"/>
              </w:rPr>
            </w:pPr>
            <w:r>
              <w:rPr>
                <w:rFonts w:ascii="Gill Sans MT" w:hAnsi="Gill Sans MT"/>
                <w:b w:val="0"/>
                <w:bCs w:val="0"/>
              </w:rPr>
              <w:t>5</w:t>
            </w:r>
          </w:p>
        </w:tc>
        <w:tc>
          <w:tcPr>
            <w:tcW w:w="2166" w:type="dxa"/>
            <w:vAlign w:val="center"/>
          </w:tcPr>
          <w:p w14:paraId="37BF0CA1" w14:textId="7E4A2F47" w:rsidR="00A2211C" w:rsidRPr="008211B8" w:rsidRDefault="00A2211C"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1.0600</w:t>
            </w:r>
          </w:p>
        </w:tc>
        <w:tc>
          <w:tcPr>
            <w:tcW w:w="2166" w:type="dxa"/>
            <w:vAlign w:val="center"/>
          </w:tcPr>
          <w:p w14:paraId="3754519C" w14:textId="1ED711AB" w:rsidR="00A2211C" w:rsidRPr="008211B8" w:rsidRDefault="00A2211C"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1.2909</w:t>
            </w:r>
          </w:p>
        </w:tc>
        <w:tc>
          <w:tcPr>
            <w:tcW w:w="2166" w:type="dxa"/>
            <w:vAlign w:val="center"/>
          </w:tcPr>
          <w:p w14:paraId="38CB8E56" w14:textId="49A57EAE" w:rsidR="00A2211C" w:rsidRPr="008211B8" w:rsidRDefault="00A2211C"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1.3485</w:t>
            </w:r>
          </w:p>
        </w:tc>
      </w:tr>
      <w:tr w:rsidR="00A2211C" w:rsidRPr="008211B8" w14:paraId="12EFF059" w14:textId="77777777" w:rsidTr="00740F49">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15B8CE78" w14:textId="77777777" w:rsidR="00A2211C" w:rsidRPr="008211B8" w:rsidRDefault="00A2211C" w:rsidP="00740F49">
            <w:pPr>
              <w:spacing w:before="0" w:after="0" w:line="240" w:lineRule="auto"/>
              <w:jc w:val="center"/>
              <w:rPr>
                <w:rFonts w:ascii="Gill Sans MT" w:hAnsi="Gill Sans MT"/>
                <w:b w:val="0"/>
                <w:bCs w:val="0"/>
              </w:rPr>
            </w:pPr>
            <w:r>
              <w:rPr>
                <w:rFonts w:ascii="Gill Sans MT" w:hAnsi="Gill Sans MT"/>
                <w:b w:val="0"/>
                <w:bCs w:val="0"/>
              </w:rPr>
              <w:t>6</w:t>
            </w:r>
          </w:p>
        </w:tc>
        <w:tc>
          <w:tcPr>
            <w:tcW w:w="2166" w:type="dxa"/>
            <w:vAlign w:val="center"/>
          </w:tcPr>
          <w:p w14:paraId="6DD5951A" w14:textId="72D9462D" w:rsidR="00A2211C" w:rsidRPr="008211B8" w:rsidRDefault="00A2211C"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0.9878</w:t>
            </w:r>
          </w:p>
        </w:tc>
        <w:tc>
          <w:tcPr>
            <w:tcW w:w="2166" w:type="dxa"/>
            <w:vAlign w:val="center"/>
          </w:tcPr>
          <w:p w14:paraId="35C5F989" w14:textId="6C564675" w:rsidR="00A2211C" w:rsidRPr="008211B8" w:rsidRDefault="00A2211C"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1.2237</w:t>
            </w:r>
          </w:p>
        </w:tc>
        <w:tc>
          <w:tcPr>
            <w:tcW w:w="2166" w:type="dxa"/>
            <w:vAlign w:val="center"/>
          </w:tcPr>
          <w:p w14:paraId="0702D69D" w14:textId="04ED11B2" w:rsidR="00A2211C" w:rsidRPr="008211B8" w:rsidRDefault="00A2211C"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1.2779</w:t>
            </w:r>
          </w:p>
        </w:tc>
      </w:tr>
      <w:tr w:rsidR="00A2211C" w:rsidRPr="008211B8" w14:paraId="7884BD7A" w14:textId="77777777" w:rsidTr="00740F4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19E4395C" w14:textId="77777777" w:rsidR="00A2211C" w:rsidRPr="008211B8" w:rsidRDefault="00A2211C" w:rsidP="00740F49">
            <w:pPr>
              <w:spacing w:before="0" w:after="0" w:line="240" w:lineRule="auto"/>
              <w:jc w:val="center"/>
              <w:rPr>
                <w:rFonts w:ascii="Gill Sans MT" w:hAnsi="Gill Sans MT"/>
                <w:b w:val="0"/>
                <w:bCs w:val="0"/>
              </w:rPr>
            </w:pPr>
            <w:r>
              <w:rPr>
                <w:rFonts w:ascii="Gill Sans MT" w:hAnsi="Gill Sans MT"/>
                <w:b w:val="0"/>
                <w:bCs w:val="0"/>
              </w:rPr>
              <w:t>7</w:t>
            </w:r>
          </w:p>
        </w:tc>
        <w:tc>
          <w:tcPr>
            <w:tcW w:w="2166" w:type="dxa"/>
            <w:vAlign w:val="center"/>
          </w:tcPr>
          <w:p w14:paraId="63794CA5" w14:textId="7CEE08EF" w:rsidR="00A2211C" w:rsidRPr="008211B8" w:rsidRDefault="00A2211C"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0.8007</w:t>
            </w:r>
          </w:p>
        </w:tc>
        <w:tc>
          <w:tcPr>
            <w:tcW w:w="2166" w:type="dxa"/>
            <w:vAlign w:val="center"/>
          </w:tcPr>
          <w:p w14:paraId="3F7E480F" w14:textId="22093C17" w:rsidR="00A2211C" w:rsidRPr="008211B8" w:rsidRDefault="00A2211C"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1.1614</w:t>
            </w:r>
          </w:p>
        </w:tc>
        <w:tc>
          <w:tcPr>
            <w:tcW w:w="2166" w:type="dxa"/>
            <w:vAlign w:val="center"/>
          </w:tcPr>
          <w:p w14:paraId="6A9F336D" w14:textId="32050B9A" w:rsidR="00A2211C" w:rsidRPr="008211B8" w:rsidRDefault="00A2211C"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1.2102</w:t>
            </w:r>
          </w:p>
        </w:tc>
      </w:tr>
      <w:tr w:rsidR="00A2211C" w:rsidRPr="008211B8" w14:paraId="6BDFABE5" w14:textId="77777777" w:rsidTr="00740F49">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1765EC35" w14:textId="0EE81BC0" w:rsidR="00A2211C" w:rsidRPr="008211B8" w:rsidRDefault="00A2211C" w:rsidP="00740F49">
            <w:pPr>
              <w:spacing w:before="0" w:after="0" w:line="240" w:lineRule="auto"/>
              <w:jc w:val="center"/>
              <w:rPr>
                <w:rFonts w:ascii="Gill Sans MT" w:hAnsi="Gill Sans MT"/>
                <w:b w:val="0"/>
                <w:bCs w:val="0"/>
              </w:rPr>
            </w:pPr>
            <w:r>
              <w:rPr>
                <w:rFonts w:ascii="Gill Sans MT" w:hAnsi="Gill Sans MT"/>
                <w:b w:val="0"/>
                <w:bCs w:val="0"/>
              </w:rPr>
              <w:t>8-20</w:t>
            </w:r>
          </w:p>
        </w:tc>
        <w:tc>
          <w:tcPr>
            <w:tcW w:w="2166" w:type="dxa"/>
            <w:vAlign w:val="center"/>
          </w:tcPr>
          <w:p w14:paraId="3C235C89" w14:textId="43DE13F6" w:rsidR="00A2211C" w:rsidRPr="008211B8" w:rsidRDefault="00A2211C"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&lt; 0.7598</w:t>
            </w:r>
          </w:p>
        </w:tc>
        <w:tc>
          <w:tcPr>
            <w:tcW w:w="2166" w:type="dxa"/>
            <w:vAlign w:val="center"/>
          </w:tcPr>
          <w:p w14:paraId="33A1BED9" w14:textId="56BAB686" w:rsidR="00A2211C" w:rsidRPr="008211B8" w:rsidRDefault="00A2211C"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&lt; 1.1024</w:t>
            </w:r>
          </w:p>
        </w:tc>
        <w:tc>
          <w:tcPr>
            <w:tcW w:w="2166" w:type="dxa"/>
            <w:vAlign w:val="center"/>
          </w:tcPr>
          <w:p w14:paraId="5F2364D2" w14:textId="2366814B" w:rsidR="00A2211C" w:rsidRPr="008211B8" w:rsidRDefault="00A2211C"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&lt; 1.1481</w:t>
            </w:r>
          </w:p>
        </w:tc>
      </w:tr>
    </w:tbl>
    <w:p w14:paraId="3DA295DE" w14:textId="39031DD1" w:rsidR="00A2211C" w:rsidRDefault="00A2211C" w:rsidP="001571BF">
      <w:pPr>
        <w:pStyle w:val="Tables"/>
      </w:pPr>
      <w:bookmarkStart w:id="222" w:name="_Toc57033198"/>
      <w:r>
        <w:t xml:space="preserve">Table </w:t>
      </w:r>
      <w:r w:rsidR="002652B3">
        <w:t>19</w:t>
      </w:r>
      <w:r>
        <w:t>:</w:t>
      </w:r>
      <w:r w:rsidR="003214C8">
        <w:tab/>
      </w:r>
      <w:r>
        <w:t>Parallel Analysis: Principal components and raw data permutations for the Dx20 Profiler.</w:t>
      </w:r>
      <w:bookmarkEnd w:id="222"/>
    </w:p>
    <w:tbl>
      <w:tblPr>
        <w:tblStyle w:val="GridTable5Dark-Accent1"/>
        <w:tblW w:w="0" w:type="auto"/>
        <w:tblLook w:val="04A0" w:firstRow="1" w:lastRow="0" w:firstColumn="1" w:lastColumn="0" w:noHBand="0" w:noVBand="1"/>
      </w:tblPr>
      <w:tblGrid>
        <w:gridCol w:w="2166"/>
        <w:gridCol w:w="2166"/>
        <w:gridCol w:w="2166"/>
        <w:gridCol w:w="2166"/>
      </w:tblGrid>
      <w:tr w:rsidR="00A2211C" w:rsidRPr="008211B8" w14:paraId="7E590C63" w14:textId="77777777" w:rsidTr="00740F49">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166" w:type="dxa"/>
            <w:vAlign w:val="center"/>
          </w:tcPr>
          <w:p w14:paraId="6C6D9754" w14:textId="12E3F915" w:rsidR="00A2211C" w:rsidRPr="008211B8" w:rsidRDefault="00A2211C" w:rsidP="00740F49">
            <w:pPr>
              <w:spacing w:before="0" w:after="0" w:line="240" w:lineRule="auto"/>
              <w:jc w:val="center"/>
              <w:rPr>
                <w:rFonts w:ascii="Gill Sans MT" w:hAnsi="Gill Sans MT"/>
                <w:b w:val="0"/>
                <w:bCs w:val="0"/>
              </w:rPr>
            </w:pPr>
            <w:r>
              <w:rPr>
                <w:rFonts w:ascii="Gill Sans MT" w:hAnsi="Gill Sans MT"/>
                <w:b w:val="0"/>
                <w:bCs w:val="0"/>
              </w:rPr>
              <w:lastRenderedPageBreak/>
              <w:t xml:space="preserve">Dx16 </w:t>
            </w:r>
            <w:r w:rsidRPr="008211B8">
              <w:rPr>
                <w:rFonts w:ascii="Gill Sans MT" w:hAnsi="Gill Sans MT"/>
                <w:b w:val="0"/>
                <w:bCs w:val="0"/>
              </w:rPr>
              <w:t>Component</w:t>
            </w:r>
          </w:p>
        </w:tc>
        <w:tc>
          <w:tcPr>
            <w:tcW w:w="2166" w:type="dxa"/>
            <w:vAlign w:val="center"/>
          </w:tcPr>
          <w:p w14:paraId="43536B20" w14:textId="77777777" w:rsidR="00A2211C" w:rsidRPr="008211B8" w:rsidRDefault="00A2211C" w:rsidP="00740F4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Eigenvalue (raw data)</w:t>
            </w:r>
          </w:p>
        </w:tc>
        <w:tc>
          <w:tcPr>
            <w:tcW w:w="2166" w:type="dxa"/>
            <w:vAlign w:val="center"/>
          </w:tcPr>
          <w:p w14:paraId="72417CF8" w14:textId="77777777" w:rsidR="00A2211C" w:rsidRPr="008211B8" w:rsidRDefault="00A2211C" w:rsidP="00740F4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Eigenvalue (mean value, simulations)</w:t>
            </w:r>
          </w:p>
        </w:tc>
        <w:tc>
          <w:tcPr>
            <w:tcW w:w="2166" w:type="dxa"/>
            <w:vAlign w:val="center"/>
          </w:tcPr>
          <w:p w14:paraId="556427D5" w14:textId="77777777" w:rsidR="00A2211C" w:rsidRPr="008211B8" w:rsidRDefault="00A2211C" w:rsidP="00740F4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95th %ile Eigenvalue (simulations)</w:t>
            </w:r>
          </w:p>
        </w:tc>
      </w:tr>
      <w:tr w:rsidR="00A2211C" w:rsidRPr="008211B8" w14:paraId="00FC1DD2" w14:textId="77777777" w:rsidTr="00740F4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393D3564" w14:textId="77777777" w:rsidR="00A2211C" w:rsidRPr="008211B8" w:rsidRDefault="00A2211C" w:rsidP="00740F49">
            <w:pPr>
              <w:spacing w:before="0" w:after="0" w:line="240" w:lineRule="auto"/>
              <w:jc w:val="center"/>
              <w:rPr>
                <w:rFonts w:ascii="Gill Sans MT" w:hAnsi="Gill Sans MT"/>
                <w:b w:val="0"/>
                <w:bCs w:val="0"/>
              </w:rPr>
            </w:pPr>
            <w:r>
              <w:rPr>
                <w:rFonts w:ascii="Gill Sans MT" w:hAnsi="Gill Sans MT"/>
                <w:b w:val="0"/>
                <w:bCs w:val="0"/>
              </w:rPr>
              <w:t>1</w:t>
            </w:r>
          </w:p>
        </w:tc>
        <w:tc>
          <w:tcPr>
            <w:tcW w:w="2166" w:type="dxa"/>
            <w:vAlign w:val="center"/>
          </w:tcPr>
          <w:p w14:paraId="7C3607E1" w14:textId="2854C63C" w:rsidR="00A2211C" w:rsidRPr="008211B8" w:rsidRDefault="00A2211C"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6.2341</w:t>
            </w:r>
          </w:p>
        </w:tc>
        <w:tc>
          <w:tcPr>
            <w:tcW w:w="2166" w:type="dxa"/>
            <w:vAlign w:val="center"/>
          </w:tcPr>
          <w:p w14:paraId="3FD938AD" w14:textId="5B5007DB" w:rsidR="00A2211C" w:rsidRPr="008211B8" w:rsidRDefault="00A2211C"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1.5782</w:t>
            </w:r>
          </w:p>
        </w:tc>
        <w:tc>
          <w:tcPr>
            <w:tcW w:w="2166" w:type="dxa"/>
            <w:vAlign w:val="center"/>
          </w:tcPr>
          <w:p w14:paraId="0B601B18" w14:textId="65A8CA61" w:rsidR="00A2211C" w:rsidRPr="008211B8" w:rsidRDefault="00A2211C"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1.7075</w:t>
            </w:r>
          </w:p>
        </w:tc>
      </w:tr>
      <w:tr w:rsidR="00A2211C" w:rsidRPr="008211B8" w14:paraId="66C6494A" w14:textId="77777777" w:rsidTr="00740F49">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6310BA4F" w14:textId="77777777" w:rsidR="00A2211C" w:rsidRPr="008211B8" w:rsidRDefault="00A2211C" w:rsidP="00740F49">
            <w:pPr>
              <w:spacing w:before="0" w:after="0" w:line="240" w:lineRule="auto"/>
              <w:jc w:val="center"/>
              <w:rPr>
                <w:rFonts w:ascii="Gill Sans MT" w:hAnsi="Gill Sans MT"/>
                <w:b w:val="0"/>
                <w:bCs w:val="0"/>
              </w:rPr>
            </w:pPr>
            <w:r>
              <w:rPr>
                <w:rFonts w:ascii="Gill Sans MT" w:hAnsi="Gill Sans MT"/>
                <w:b w:val="0"/>
                <w:bCs w:val="0"/>
              </w:rPr>
              <w:t>2</w:t>
            </w:r>
          </w:p>
        </w:tc>
        <w:tc>
          <w:tcPr>
            <w:tcW w:w="2166" w:type="dxa"/>
            <w:vAlign w:val="center"/>
          </w:tcPr>
          <w:p w14:paraId="13C84B4F" w14:textId="75EB404B" w:rsidR="00A2211C" w:rsidRPr="008211B8" w:rsidRDefault="00A2211C"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1.2992</w:t>
            </w:r>
          </w:p>
        </w:tc>
        <w:tc>
          <w:tcPr>
            <w:tcW w:w="2166" w:type="dxa"/>
            <w:vAlign w:val="center"/>
          </w:tcPr>
          <w:p w14:paraId="05FDD624" w14:textId="4F81FEE3" w:rsidR="00A2211C" w:rsidRPr="008211B8" w:rsidRDefault="00A2211C"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1.4408</w:t>
            </w:r>
          </w:p>
        </w:tc>
        <w:tc>
          <w:tcPr>
            <w:tcW w:w="2166" w:type="dxa"/>
            <w:vAlign w:val="center"/>
          </w:tcPr>
          <w:p w14:paraId="760CDEA5" w14:textId="36D6E49C" w:rsidR="00A2211C" w:rsidRPr="008211B8" w:rsidRDefault="00A2211C"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1.5304</w:t>
            </w:r>
          </w:p>
        </w:tc>
      </w:tr>
      <w:tr w:rsidR="00A2211C" w:rsidRPr="008211B8" w14:paraId="3B301B88" w14:textId="77777777" w:rsidTr="00740F4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5FF684B5" w14:textId="77777777" w:rsidR="00A2211C" w:rsidRPr="008211B8" w:rsidRDefault="00A2211C" w:rsidP="00740F49">
            <w:pPr>
              <w:spacing w:before="0" w:after="0" w:line="240" w:lineRule="auto"/>
              <w:jc w:val="center"/>
              <w:rPr>
                <w:rFonts w:ascii="Gill Sans MT" w:hAnsi="Gill Sans MT"/>
                <w:b w:val="0"/>
                <w:bCs w:val="0"/>
              </w:rPr>
            </w:pPr>
            <w:r>
              <w:rPr>
                <w:rFonts w:ascii="Gill Sans MT" w:hAnsi="Gill Sans MT"/>
                <w:b w:val="0"/>
                <w:bCs w:val="0"/>
              </w:rPr>
              <w:t>3</w:t>
            </w:r>
          </w:p>
        </w:tc>
        <w:tc>
          <w:tcPr>
            <w:tcW w:w="2166" w:type="dxa"/>
            <w:vAlign w:val="center"/>
          </w:tcPr>
          <w:p w14:paraId="0F4DF204" w14:textId="16DAF58F" w:rsidR="00A2211C" w:rsidRPr="008211B8" w:rsidRDefault="00A2211C"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1.1998</w:t>
            </w:r>
          </w:p>
        </w:tc>
        <w:tc>
          <w:tcPr>
            <w:tcW w:w="2166" w:type="dxa"/>
            <w:vAlign w:val="center"/>
          </w:tcPr>
          <w:p w14:paraId="3C4A4A43" w14:textId="7D95E61D" w:rsidR="00A2211C" w:rsidRPr="008211B8" w:rsidRDefault="00A93CD9"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1.3503</w:t>
            </w:r>
          </w:p>
        </w:tc>
        <w:tc>
          <w:tcPr>
            <w:tcW w:w="2166" w:type="dxa"/>
            <w:vAlign w:val="center"/>
          </w:tcPr>
          <w:p w14:paraId="090FB8C5" w14:textId="5F529463" w:rsidR="00A2211C" w:rsidRPr="008211B8" w:rsidRDefault="00A93CD9"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1.4223</w:t>
            </w:r>
          </w:p>
        </w:tc>
      </w:tr>
      <w:tr w:rsidR="00A2211C" w:rsidRPr="008211B8" w14:paraId="6DC66716" w14:textId="77777777" w:rsidTr="00740F49">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3F9D1290" w14:textId="77777777" w:rsidR="00A2211C" w:rsidRPr="008211B8" w:rsidRDefault="00A2211C" w:rsidP="00740F49">
            <w:pPr>
              <w:spacing w:before="0" w:after="0" w:line="240" w:lineRule="auto"/>
              <w:jc w:val="center"/>
              <w:rPr>
                <w:rFonts w:ascii="Gill Sans MT" w:hAnsi="Gill Sans MT"/>
                <w:b w:val="0"/>
                <w:bCs w:val="0"/>
              </w:rPr>
            </w:pPr>
            <w:r>
              <w:rPr>
                <w:rFonts w:ascii="Gill Sans MT" w:hAnsi="Gill Sans MT"/>
                <w:b w:val="0"/>
                <w:bCs w:val="0"/>
              </w:rPr>
              <w:t>4</w:t>
            </w:r>
          </w:p>
        </w:tc>
        <w:tc>
          <w:tcPr>
            <w:tcW w:w="2166" w:type="dxa"/>
            <w:vAlign w:val="center"/>
          </w:tcPr>
          <w:p w14:paraId="07DDF635" w14:textId="6C65B3BE" w:rsidR="00A2211C" w:rsidRPr="008211B8" w:rsidRDefault="00A93CD9"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0.9675</w:t>
            </w:r>
          </w:p>
        </w:tc>
        <w:tc>
          <w:tcPr>
            <w:tcW w:w="2166" w:type="dxa"/>
            <w:vAlign w:val="center"/>
          </w:tcPr>
          <w:p w14:paraId="693B0533" w14:textId="2F7E262A" w:rsidR="00A2211C" w:rsidRPr="008211B8" w:rsidRDefault="00A93CD9"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1.2667</w:t>
            </w:r>
          </w:p>
        </w:tc>
        <w:tc>
          <w:tcPr>
            <w:tcW w:w="2166" w:type="dxa"/>
            <w:vAlign w:val="center"/>
          </w:tcPr>
          <w:p w14:paraId="18436D57" w14:textId="541F0313" w:rsidR="00A2211C" w:rsidRPr="008211B8" w:rsidRDefault="00A93CD9"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1.3283</w:t>
            </w:r>
          </w:p>
        </w:tc>
      </w:tr>
      <w:tr w:rsidR="00A2211C" w:rsidRPr="008211B8" w14:paraId="20B7204E" w14:textId="77777777" w:rsidTr="00740F4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6F6DB7F1" w14:textId="77777777" w:rsidR="00A2211C" w:rsidRPr="008211B8" w:rsidRDefault="00A2211C" w:rsidP="00740F49">
            <w:pPr>
              <w:spacing w:before="0" w:after="0" w:line="240" w:lineRule="auto"/>
              <w:jc w:val="center"/>
              <w:rPr>
                <w:rFonts w:ascii="Gill Sans MT" w:hAnsi="Gill Sans MT"/>
                <w:b w:val="0"/>
                <w:bCs w:val="0"/>
              </w:rPr>
            </w:pPr>
            <w:r>
              <w:rPr>
                <w:rFonts w:ascii="Gill Sans MT" w:hAnsi="Gill Sans MT"/>
                <w:b w:val="0"/>
                <w:bCs w:val="0"/>
              </w:rPr>
              <w:t>5</w:t>
            </w:r>
          </w:p>
        </w:tc>
        <w:tc>
          <w:tcPr>
            <w:tcW w:w="2166" w:type="dxa"/>
            <w:vAlign w:val="center"/>
          </w:tcPr>
          <w:p w14:paraId="5F36899E" w14:textId="6D8436D6" w:rsidR="00A2211C" w:rsidRPr="008211B8" w:rsidRDefault="00A93CD9"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0.8751</w:t>
            </w:r>
          </w:p>
        </w:tc>
        <w:tc>
          <w:tcPr>
            <w:tcW w:w="2166" w:type="dxa"/>
            <w:vAlign w:val="center"/>
          </w:tcPr>
          <w:p w14:paraId="4A4A4FFC" w14:textId="2307F16B" w:rsidR="00A2211C" w:rsidRPr="008211B8" w:rsidRDefault="00A93CD9"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1.1937</w:t>
            </w:r>
          </w:p>
        </w:tc>
        <w:tc>
          <w:tcPr>
            <w:tcW w:w="2166" w:type="dxa"/>
            <w:vAlign w:val="center"/>
          </w:tcPr>
          <w:p w14:paraId="1FEB4B5E" w14:textId="27B22B97" w:rsidR="00A2211C" w:rsidRPr="008211B8" w:rsidRDefault="00A93CD9"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1.2469</w:t>
            </w:r>
          </w:p>
        </w:tc>
      </w:tr>
      <w:tr w:rsidR="00A2211C" w:rsidRPr="008211B8" w14:paraId="6C1F0790" w14:textId="77777777" w:rsidTr="00740F49">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2C5F0AEE" w14:textId="77777777" w:rsidR="00A2211C" w:rsidRPr="008211B8" w:rsidRDefault="00A2211C" w:rsidP="00740F49">
            <w:pPr>
              <w:spacing w:before="0" w:after="0" w:line="240" w:lineRule="auto"/>
              <w:jc w:val="center"/>
              <w:rPr>
                <w:rFonts w:ascii="Gill Sans MT" w:hAnsi="Gill Sans MT"/>
                <w:b w:val="0"/>
                <w:bCs w:val="0"/>
              </w:rPr>
            </w:pPr>
            <w:r>
              <w:rPr>
                <w:rFonts w:ascii="Gill Sans MT" w:hAnsi="Gill Sans MT"/>
                <w:b w:val="0"/>
                <w:bCs w:val="0"/>
              </w:rPr>
              <w:t>6</w:t>
            </w:r>
          </w:p>
        </w:tc>
        <w:tc>
          <w:tcPr>
            <w:tcW w:w="2166" w:type="dxa"/>
            <w:vAlign w:val="center"/>
          </w:tcPr>
          <w:p w14:paraId="553327F3" w14:textId="29F4D5B8" w:rsidR="00A2211C" w:rsidRPr="008211B8" w:rsidRDefault="00A93CD9"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0.8202</w:t>
            </w:r>
          </w:p>
        </w:tc>
        <w:tc>
          <w:tcPr>
            <w:tcW w:w="2166" w:type="dxa"/>
            <w:vAlign w:val="center"/>
          </w:tcPr>
          <w:p w14:paraId="269066CD" w14:textId="34A05059" w:rsidR="00A2211C" w:rsidRPr="008211B8" w:rsidRDefault="00A93CD9"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1.1259</w:t>
            </w:r>
          </w:p>
        </w:tc>
        <w:tc>
          <w:tcPr>
            <w:tcW w:w="2166" w:type="dxa"/>
            <w:vAlign w:val="center"/>
          </w:tcPr>
          <w:p w14:paraId="0CC491EE" w14:textId="01514FFE" w:rsidR="00A2211C" w:rsidRPr="008211B8" w:rsidRDefault="00A93CD9"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1.1793</w:t>
            </w:r>
          </w:p>
        </w:tc>
      </w:tr>
      <w:tr w:rsidR="00A2211C" w:rsidRPr="008211B8" w14:paraId="58DA4C7F" w14:textId="77777777" w:rsidTr="00740F4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7D7210AD" w14:textId="77777777" w:rsidR="00A2211C" w:rsidRPr="008211B8" w:rsidRDefault="00A2211C" w:rsidP="00740F49">
            <w:pPr>
              <w:spacing w:before="0" w:after="0" w:line="240" w:lineRule="auto"/>
              <w:jc w:val="center"/>
              <w:rPr>
                <w:rFonts w:ascii="Gill Sans MT" w:hAnsi="Gill Sans MT"/>
                <w:b w:val="0"/>
                <w:bCs w:val="0"/>
              </w:rPr>
            </w:pPr>
            <w:r>
              <w:rPr>
                <w:rFonts w:ascii="Gill Sans MT" w:hAnsi="Gill Sans MT"/>
                <w:b w:val="0"/>
                <w:bCs w:val="0"/>
              </w:rPr>
              <w:t>7</w:t>
            </w:r>
          </w:p>
        </w:tc>
        <w:tc>
          <w:tcPr>
            <w:tcW w:w="2166" w:type="dxa"/>
            <w:vAlign w:val="center"/>
          </w:tcPr>
          <w:p w14:paraId="1BF6B64F" w14:textId="7D2A247D" w:rsidR="00A2211C" w:rsidRPr="008211B8" w:rsidRDefault="00A93CD9"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0.7607</w:t>
            </w:r>
          </w:p>
        </w:tc>
        <w:tc>
          <w:tcPr>
            <w:tcW w:w="2166" w:type="dxa"/>
            <w:vAlign w:val="center"/>
          </w:tcPr>
          <w:p w14:paraId="62BCB91B" w14:textId="37277BED" w:rsidR="00A2211C" w:rsidRPr="008211B8" w:rsidRDefault="00A93CD9"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1.0632</w:t>
            </w:r>
          </w:p>
        </w:tc>
        <w:tc>
          <w:tcPr>
            <w:tcW w:w="2166" w:type="dxa"/>
            <w:vAlign w:val="center"/>
          </w:tcPr>
          <w:p w14:paraId="7D163ACA" w14:textId="167387A4" w:rsidR="00A2211C" w:rsidRPr="008211B8" w:rsidRDefault="00A93CD9"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1.1125</w:t>
            </w:r>
          </w:p>
        </w:tc>
      </w:tr>
      <w:tr w:rsidR="00A2211C" w:rsidRPr="008211B8" w14:paraId="41475C16" w14:textId="77777777" w:rsidTr="00740F49">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49B57A61" w14:textId="523E694E" w:rsidR="00A2211C" w:rsidRPr="008211B8" w:rsidRDefault="00A2211C" w:rsidP="00740F49">
            <w:pPr>
              <w:spacing w:before="0" w:after="0" w:line="240" w:lineRule="auto"/>
              <w:jc w:val="center"/>
              <w:rPr>
                <w:rFonts w:ascii="Gill Sans MT" w:hAnsi="Gill Sans MT"/>
                <w:b w:val="0"/>
                <w:bCs w:val="0"/>
              </w:rPr>
            </w:pPr>
            <w:r>
              <w:rPr>
                <w:rFonts w:ascii="Gill Sans MT" w:hAnsi="Gill Sans MT"/>
                <w:b w:val="0"/>
                <w:bCs w:val="0"/>
              </w:rPr>
              <w:t>8-16</w:t>
            </w:r>
          </w:p>
        </w:tc>
        <w:tc>
          <w:tcPr>
            <w:tcW w:w="2166" w:type="dxa"/>
            <w:vAlign w:val="center"/>
          </w:tcPr>
          <w:p w14:paraId="5224B7B3" w14:textId="1E80D730" w:rsidR="00A2211C" w:rsidRPr="008211B8" w:rsidRDefault="00A93CD9"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&lt; 0.6525</w:t>
            </w:r>
          </w:p>
        </w:tc>
        <w:tc>
          <w:tcPr>
            <w:tcW w:w="2166" w:type="dxa"/>
            <w:vAlign w:val="center"/>
          </w:tcPr>
          <w:p w14:paraId="65A82D69" w14:textId="03186688" w:rsidR="00A2211C" w:rsidRPr="008211B8" w:rsidRDefault="00A93CD9"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&lt; 1.0017</w:t>
            </w:r>
          </w:p>
        </w:tc>
        <w:tc>
          <w:tcPr>
            <w:tcW w:w="2166" w:type="dxa"/>
            <w:vAlign w:val="center"/>
          </w:tcPr>
          <w:p w14:paraId="7FE2F7BF" w14:textId="7C7B4923" w:rsidR="00A2211C" w:rsidRPr="008211B8" w:rsidRDefault="00A93CD9"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&lt; 1.0485</w:t>
            </w:r>
          </w:p>
        </w:tc>
      </w:tr>
    </w:tbl>
    <w:p w14:paraId="06BEF832" w14:textId="39590D0F" w:rsidR="007475E7" w:rsidRDefault="00A93CD9" w:rsidP="001571BF">
      <w:pPr>
        <w:pStyle w:val="Tables"/>
      </w:pPr>
      <w:bookmarkStart w:id="223" w:name="_Toc57033199"/>
      <w:r>
        <w:t xml:space="preserve">Table </w:t>
      </w:r>
      <w:r w:rsidR="009A27D7">
        <w:t>2</w:t>
      </w:r>
      <w:r w:rsidR="002652B3">
        <w:t>0</w:t>
      </w:r>
      <w:r>
        <w:t>:</w:t>
      </w:r>
      <w:r w:rsidR="003214C8">
        <w:tab/>
      </w:r>
      <w:r>
        <w:t>Parallel Analysis: Principal components and raw data permutations for the Dx16 Profiler.</w:t>
      </w:r>
      <w:bookmarkEnd w:id="223"/>
    </w:p>
    <w:p w14:paraId="316D917C" w14:textId="3CD58F63" w:rsidR="007475E7" w:rsidRDefault="007475E7" w:rsidP="007475E7">
      <w:r>
        <w:rPr>
          <w:noProof/>
        </w:rPr>
        <mc:AlternateContent>
          <mc:Choice Requires="wps">
            <w:drawing>
              <wp:anchor distT="0" distB="0" distL="114300" distR="114300" simplePos="0" relativeHeight="251699200" behindDoc="0" locked="0" layoutInCell="1" allowOverlap="1" wp14:anchorId="67EA922B" wp14:editId="5C0AD817">
                <wp:simplePos x="0" y="0"/>
                <wp:positionH relativeFrom="column">
                  <wp:posOffset>0</wp:posOffset>
                </wp:positionH>
                <wp:positionV relativeFrom="paragraph">
                  <wp:posOffset>4159885</wp:posOffset>
                </wp:positionV>
                <wp:extent cx="5507990" cy="635"/>
                <wp:effectExtent l="0" t="0" r="3810" b="12065"/>
                <wp:wrapTopAndBottom/>
                <wp:docPr id="36" name="Text Box 36"/>
                <wp:cNvGraphicFramePr/>
                <a:graphic xmlns:a="http://schemas.openxmlformats.org/drawingml/2006/main">
                  <a:graphicData uri="http://schemas.microsoft.com/office/word/2010/wordprocessingShape">
                    <wps:wsp>
                      <wps:cNvSpPr txBox="1"/>
                      <wps:spPr>
                        <a:xfrm>
                          <a:off x="0" y="0"/>
                          <a:ext cx="5507990" cy="635"/>
                        </a:xfrm>
                        <a:prstGeom prst="rect">
                          <a:avLst/>
                        </a:prstGeom>
                        <a:solidFill>
                          <a:prstClr val="white"/>
                        </a:solidFill>
                        <a:ln>
                          <a:noFill/>
                        </a:ln>
                      </wps:spPr>
                      <wps:txbx>
                        <w:txbxContent>
                          <w:p w14:paraId="08584180" w14:textId="3AF62DBA" w:rsidR="00533FBF" w:rsidRPr="00276B18" w:rsidRDefault="00533FBF" w:rsidP="007475E7">
                            <w:pPr>
                              <w:pStyle w:val="Subtitle"/>
                              <w:rPr>
                                <w:rFonts w:ascii="Muli" w:hAnsi="Muli"/>
                                <w:noProof/>
                                <w:sz w:val="20"/>
                              </w:rPr>
                            </w:pPr>
                            <w:bookmarkStart w:id="224" w:name="_Toc56495237"/>
                            <w:r>
                              <w:t xml:space="preserve">Figure </w:t>
                            </w:r>
                            <w:r w:rsidR="00B568C9">
                              <w:fldChar w:fldCharType="begin"/>
                            </w:r>
                            <w:r w:rsidR="00B568C9">
                              <w:instrText xml:space="preserve"> SEQ Figure \* ARABIC </w:instrText>
                            </w:r>
                            <w:r w:rsidR="00B568C9">
                              <w:fldChar w:fldCharType="separate"/>
                            </w:r>
                            <w:r>
                              <w:rPr>
                                <w:noProof/>
                              </w:rPr>
                              <w:t>18</w:t>
                            </w:r>
                            <w:r w:rsidR="00B568C9">
                              <w:rPr>
                                <w:noProof/>
                              </w:rPr>
                              <w:fldChar w:fldCharType="end"/>
                            </w:r>
                            <w:r>
                              <w:t>:</w:t>
                            </w:r>
                            <w:r>
                              <w:tab/>
                              <w:t>Scree plot of raw data and Eigenvalue Monte Carlo Simulations for the Dx20 Profiler Scale.</w:t>
                            </w:r>
                            <w:bookmarkEnd w:id="2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EA922B" id="Text Box 36" o:spid="_x0000_s1045" type="#_x0000_t202" style="position:absolute;margin-left:0;margin-top:327.55pt;width:433.7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" stroked="f">
                <v:textbox style="mso-fit-shape-to-text:t" inset="0,0,0,0">
                  <w:txbxContent>
                    <w:p w14:paraId="08584180" w14:textId="3AF62DBA" w:rsidR="00533FBF" w:rsidRPr="00276B18" w:rsidRDefault="00533FBF" w:rsidP="007475E7">
                      <w:pPr>
                        <w:pStyle w:val="Subtitle"/>
                        <w:rPr>
                          <w:rFonts w:ascii="Muli" w:hAnsi="Muli"/>
                          <w:noProof/>
                          <w:sz w:val="20"/>
                        </w:rPr>
                      </w:pPr>
                      <w:bookmarkStart w:id="256" w:name="_Toc56495237"/>
                      <w:r>
                        <w:t xml:space="preserve">Figure </w:t>
                      </w:r>
                      <w:fldSimple w:instr=" SEQ Figure \* ARABIC ">
                        <w:r>
                          <w:rPr>
                            <w:noProof/>
                          </w:rPr>
                          <w:t>18</w:t>
                        </w:r>
                      </w:fldSimple>
                      <w:r>
                        <w:t>:</w:t>
                      </w:r>
                      <w:r>
                        <w:tab/>
                        <w:t>Scree plot of raw data and Eigenvalue Monte Carlo Simulations for the Dx20 Profiler Scale.</w:t>
                      </w:r>
                      <w:bookmarkEnd w:id="256"/>
                    </w:p>
                  </w:txbxContent>
                </v:textbox>
                <w10:wrap type="topAndBottom"/>
              </v:shape>
            </w:pict>
          </mc:Fallback>
        </mc:AlternateContent>
      </w:r>
      <w:r>
        <w:rPr>
          <w:noProof/>
        </w:rPr>
        <w:drawing>
          <wp:anchor distT="0" distB="0" distL="114300" distR="114300" simplePos="0" relativeHeight="251684864" behindDoc="0" locked="0" layoutInCell="1" allowOverlap="1" wp14:anchorId="38B2942F" wp14:editId="2710E431">
            <wp:simplePos x="0" y="0"/>
            <wp:positionH relativeFrom="column">
              <wp:posOffset>0</wp:posOffset>
            </wp:positionH>
            <wp:positionV relativeFrom="paragraph">
              <wp:posOffset>440138</wp:posOffset>
            </wp:positionV>
            <wp:extent cx="5507990" cy="3662680"/>
            <wp:effectExtent l="0" t="0" r="3810" b="0"/>
            <wp:wrapTopAndBottom/>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ell phon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5507990" cy="3662680"/>
                    </a:xfrm>
                    <a:prstGeom prst="rect">
                      <a:avLst/>
                    </a:prstGeom>
                  </pic:spPr>
                </pic:pic>
              </a:graphicData>
            </a:graphic>
            <wp14:sizeRelH relativeFrom="page">
              <wp14:pctWidth>0</wp14:pctWidth>
            </wp14:sizeRelH>
            <wp14:sizeRelV relativeFrom="page">
              <wp14:pctHeight>0</wp14:pctHeight>
            </wp14:sizeRelV>
          </wp:anchor>
        </w:drawing>
      </w:r>
    </w:p>
    <w:p w14:paraId="7D60EE19" w14:textId="65C7BBA4" w:rsidR="007475E7" w:rsidRDefault="007475E7" w:rsidP="007475E7"/>
    <w:p w14:paraId="39E4ECF0" w14:textId="00D9C951" w:rsidR="001D265F" w:rsidRPr="00A2211C" w:rsidRDefault="001D265F" w:rsidP="008211B8"/>
    <w:p w14:paraId="380A4915" w14:textId="77777777" w:rsidR="00B23C90" w:rsidRDefault="00B23C90">
      <w:pPr>
        <w:spacing w:before="0" w:after="160" w:line="259" w:lineRule="auto"/>
        <w:rPr>
          <w:b/>
          <w:smallCaps/>
          <w:color w:val="4472C4" w:themeColor="accent1"/>
          <w:spacing w:val="5"/>
          <w:sz w:val="24"/>
          <w:szCs w:val="24"/>
        </w:rPr>
      </w:pPr>
      <w:r>
        <w:br w:type="page"/>
      </w:r>
    </w:p>
    <w:p w14:paraId="7025FC82" w14:textId="4D81C470" w:rsidR="00A93CD9" w:rsidRPr="00537A60" w:rsidRDefault="00A93CD9" w:rsidP="00A93CD9">
      <w:pPr>
        <w:pStyle w:val="Heading3"/>
      </w:pPr>
      <w:bookmarkStart w:id="225" w:name="_Toc57035932"/>
      <w:r>
        <w:lastRenderedPageBreak/>
        <w:t>II</w:t>
      </w:r>
      <w:r w:rsidR="00CA48C2">
        <w:t>I</w:t>
      </w:r>
      <w:r w:rsidR="004D5123">
        <w:tab/>
      </w:r>
      <w:r>
        <w:t>PCA on Academic Behavioural Confidence</w:t>
      </w:r>
      <w:bookmarkEnd w:id="225"/>
    </w:p>
    <w:p w14:paraId="62C17BEF" w14:textId="40AF8D97" w:rsidR="009F5F43" w:rsidRPr="004601AE" w:rsidRDefault="009F5F43" w:rsidP="009F5F43">
      <w:pPr>
        <w:rPr>
          <w:rFonts w:eastAsia="Times New Roman"/>
          <w:lang w:eastAsia="en-GB"/>
        </w:rPr>
      </w:pPr>
      <w:r w:rsidRPr="004601AE">
        <w:rPr>
          <w:rFonts w:eastAsia="Times New Roman"/>
          <w:lang w:eastAsia="en-GB"/>
        </w:rPr>
        <w:t xml:space="preserve">As a </w:t>
      </w:r>
      <w:r w:rsidR="00984DDA">
        <w:rPr>
          <w:rFonts w:eastAsia="Times New Roman"/>
          <w:lang w:eastAsia="en-GB"/>
        </w:rPr>
        <w:t>consequence</w:t>
      </w:r>
      <w:r w:rsidRPr="004601AE">
        <w:rPr>
          <w:rFonts w:eastAsia="Times New Roman"/>
          <w:lang w:eastAsia="en-GB"/>
        </w:rPr>
        <w:t xml:space="preserve"> of the Eigenvalue Monte Carlo Simulations suggesting a three-factor structure to be the most likely to provide meaningful outcomes,</w:t>
      </w:r>
      <w:r>
        <w:rPr>
          <w:rFonts w:eastAsia="Times New Roman"/>
          <w:lang w:eastAsia="en-GB"/>
        </w:rPr>
        <w:t xml:space="preserve"> </w:t>
      </w:r>
      <w:r w:rsidRPr="004601AE">
        <w:rPr>
          <w:rFonts w:eastAsia="Times New Roman"/>
          <w:lang w:eastAsia="en-GB"/>
        </w:rPr>
        <w:t xml:space="preserve">dimension reduction through PCA was applied to the four ABC Scales that emerged as useful in this current </w:t>
      </w:r>
      <w:r>
        <w:rPr>
          <w:rFonts w:eastAsia="Times New Roman"/>
          <w:lang w:eastAsia="en-GB"/>
        </w:rPr>
        <w:t>study. V</w:t>
      </w:r>
      <w:r w:rsidRPr="004601AE">
        <w:rPr>
          <w:rFonts w:eastAsia="Times New Roman"/>
          <w:lang w:eastAsia="en-GB"/>
        </w:rPr>
        <w:t>arimax rotation was applied, being an orthogonal</w:t>
      </w:r>
      <w:r>
        <w:rPr>
          <w:rFonts w:eastAsia="Times New Roman"/>
          <w:lang w:eastAsia="en-GB"/>
        </w:rPr>
        <w:t xml:space="preserve"> </w:t>
      </w:r>
      <w:r w:rsidRPr="004601AE">
        <w:rPr>
          <w:rFonts w:eastAsia="Times New Roman"/>
          <w:lang w:eastAsia="en-GB"/>
        </w:rPr>
        <w:t>rotation method which assumes that the factors in the analysis are uncorrelated, where rotation of the factors is a mathematical process, usually employed to determine the simplest factor structure that is most likely (Kieffer, 1998). Other rotations were considered,</w:t>
      </w:r>
      <w:r>
        <w:rPr>
          <w:rFonts w:eastAsia="Times New Roman"/>
          <w:lang w:eastAsia="en-GB"/>
        </w:rPr>
        <w:t xml:space="preserve"> </w:t>
      </w:r>
      <w:r w:rsidRPr="004601AE">
        <w:rPr>
          <w:rFonts w:eastAsia="Times New Roman"/>
          <w:lang w:eastAsia="en-GB"/>
        </w:rPr>
        <w:t>but in the interests of expediency, only the two most popular were explored further: that is, to determine whether these data were best analysed using an orthogonal (eg: varimax) rather than an oblique (eg: direct oblimin) rotation. For these data, the factor correlation matrix (not shown) derived through an oblimin rotation showed only one correlation to be (marginally) &gt; 0.32, considered as the critical factor for determining whether an oblique rather than an orthogonal rotation is the most appropriate (Tabachnik &amp; Fiddel, 2007)</w:t>
      </w:r>
      <w:r>
        <w:rPr>
          <w:rFonts w:eastAsia="Times New Roman"/>
          <w:lang w:eastAsia="en-GB"/>
        </w:rPr>
        <w:t>; this</w:t>
      </w:r>
      <w:r w:rsidRPr="004601AE">
        <w:rPr>
          <w:rFonts w:eastAsia="Times New Roman"/>
          <w:lang w:eastAsia="en-GB"/>
        </w:rPr>
        <w:t xml:space="preserve"> suggest</w:t>
      </w:r>
      <w:r>
        <w:rPr>
          <w:rFonts w:eastAsia="Times New Roman"/>
          <w:lang w:eastAsia="en-GB"/>
        </w:rPr>
        <w:t>s</w:t>
      </w:r>
      <w:r w:rsidRPr="004601AE">
        <w:rPr>
          <w:rFonts w:eastAsia="Times New Roman"/>
          <w:lang w:eastAsia="en-GB"/>
        </w:rPr>
        <w:t xml:space="preserve"> that although either rotation would generate meaningful outcomes,</w:t>
      </w:r>
      <w:r>
        <w:rPr>
          <w:rFonts w:eastAsia="Times New Roman"/>
          <w:lang w:eastAsia="en-GB"/>
        </w:rPr>
        <w:t xml:space="preserve"> </w:t>
      </w:r>
      <w:r w:rsidRPr="004601AE">
        <w:rPr>
          <w:rFonts w:eastAsia="Times New Roman"/>
          <w:lang w:eastAsia="en-GB"/>
        </w:rPr>
        <w:t>an orthogonal process is said to produce less sampling error (op cit) and hence was chosen.</w:t>
      </w:r>
    </w:p>
    <w:p w14:paraId="236E9806" w14:textId="31B3396C" w:rsidR="004601AE" w:rsidRDefault="009F5F43" w:rsidP="004601AE">
      <w:pPr>
        <w:rPr>
          <w:rFonts w:eastAsia="Times New Roman"/>
          <w:lang w:eastAsia="en-GB"/>
        </w:rPr>
      </w:pPr>
      <w:r>
        <w:rPr>
          <w:rFonts w:eastAsia="Times New Roman"/>
          <w:lang w:eastAsia="en-GB"/>
        </w:rPr>
        <w:t>W</w:t>
      </w:r>
      <w:r w:rsidR="004601AE" w:rsidRPr="004601AE">
        <w:rPr>
          <w:rFonts w:eastAsia="Times New Roman"/>
          <w:lang w:eastAsia="en-GB"/>
        </w:rPr>
        <w:t xml:space="preserve">ith an extraction that fixed the number of components (factors) at three, the rotated component matrix for the reduction of the ABC24 Scale shows </w:t>
      </w:r>
      <w:r w:rsidR="00172042">
        <w:rPr>
          <w:rFonts w:eastAsia="Times New Roman"/>
          <w:lang w:eastAsia="en-GB"/>
        </w:rPr>
        <w:t xml:space="preserve">reasonably </w:t>
      </w:r>
      <w:r w:rsidR="004601AE" w:rsidRPr="004601AE">
        <w:rPr>
          <w:rFonts w:eastAsia="Times New Roman"/>
          <w:lang w:eastAsia="en-GB"/>
        </w:rPr>
        <w:t xml:space="preserve">distinct factors (Table </w:t>
      </w:r>
      <w:r w:rsidR="00B23C90">
        <w:rPr>
          <w:rFonts w:eastAsia="Times New Roman"/>
          <w:lang w:eastAsia="en-GB"/>
        </w:rPr>
        <w:t>2</w:t>
      </w:r>
      <w:r w:rsidR="002652B3">
        <w:rPr>
          <w:rFonts w:eastAsia="Times New Roman"/>
          <w:lang w:eastAsia="en-GB"/>
        </w:rPr>
        <w:t>1</w:t>
      </w:r>
      <w:r w:rsidR="004601AE" w:rsidRPr="004601AE">
        <w:rPr>
          <w:rFonts w:eastAsia="Times New Roman"/>
          <w:lang w:eastAsia="en-GB"/>
        </w:rPr>
        <w:t>), although some dimensions loaded onto more than one factor (factor loadings &lt; 0.3 were supressed in the output). The reduced ABC17 Scale is also shown, both to indicate which scale items were removed as redundant through the original re-analysis of the scale (Sander &amp; Sanders, 2009), and how factor loadings were distributed across the</w:t>
      </w:r>
      <w:r w:rsidR="00172042">
        <w:rPr>
          <w:rFonts w:eastAsia="Times New Roman"/>
          <w:lang w:eastAsia="en-GB"/>
        </w:rPr>
        <w:t xml:space="preserve"> </w:t>
      </w:r>
      <w:r w:rsidR="004601AE" w:rsidRPr="004601AE">
        <w:rPr>
          <w:rFonts w:eastAsia="Times New Roman"/>
          <w:lang w:eastAsia="en-GB"/>
        </w:rPr>
        <w:t>three sub-scale solution derived in this current study.</w:t>
      </w:r>
      <w:r w:rsidR="00172042">
        <w:rPr>
          <w:rFonts w:eastAsia="Times New Roman"/>
          <w:lang w:eastAsia="en-GB"/>
        </w:rPr>
        <w:t xml:space="preserve"> </w:t>
      </w:r>
      <w:r w:rsidR="004601AE" w:rsidRPr="004601AE">
        <w:rPr>
          <w:rFonts w:eastAsia="Times New Roman"/>
          <w:lang w:eastAsia="en-GB"/>
        </w:rPr>
        <w:t>The two alternative, locally derived scales, ABC21-L and ABC17-L</w:t>
      </w:r>
      <w:r w:rsidR="00172042">
        <w:rPr>
          <w:rFonts w:eastAsia="Times New Roman"/>
          <w:lang w:eastAsia="en-GB"/>
        </w:rPr>
        <w:t xml:space="preserve"> </w:t>
      </w:r>
      <w:r w:rsidR="004601AE" w:rsidRPr="004601AE">
        <w:rPr>
          <w:rFonts w:eastAsia="Times New Roman"/>
          <w:lang w:eastAsia="en-GB"/>
        </w:rPr>
        <w:t>were also complex, ag</w:t>
      </w:r>
      <w:r w:rsidR="00172042">
        <w:rPr>
          <w:rFonts w:eastAsia="Times New Roman"/>
          <w:lang w:eastAsia="en-GB"/>
        </w:rPr>
        <w:t>ai</w:t>
      </w:r>
      <w:r w:rsidR="004601AE" w:rsidRPr="004601AE">
        <w:rPr>
          <w:rFonts w:eastAsia="Times New Roman"/>
          <w:lang w:eastAsia="en-GB"/>
        </w:rPr>
        <w:t>n with some dimensions loading onto more than one factor (Table 2</w:t>
      </w:r>
      <w:r w:rsidR="002652B3">
        <w:rPr>
          <w:rFonts w:eastAsia="Times New Roman"/>
          <w:lang w:eastAsia="en-GB"/>
        </w:rPr>
        <w:t>2</w:t>
      </w:r>
      <w:r w:rsidR="004601AE" w:rsidRPr="004601AE">
        <w:rPr>
          <w:rFonts w:eastAsia="Times New Roman"/>
          <w:lang w:eastAsia="en-GB"/>
        </w:rPr>
        <w:t>). In these cases, dimensions were attributed to the highest-loading factor</w:t>
      </w:r>
      <w:r w:rsidR="00172042">
        <w:rPr>
          <w:rFonts w:eastAsia="Times New Roman"/>
          <w:lang w:eastAsia="en-GB"/>
        </w:rPr>
        <w:t xml:space="preserve"> </w:t>
      </w:r>
      <w:r w:rsidR="004601AE" w:rsidRPr="004601AE">
        <w:rPr>
          <w:rFonts w:eastAsia="Times New Roman"/>
          <w:lang w:eastAsia="en-GB"/>
        </w:rPr>
        <w:t>(Table 2</w:t>
      </w:r>
      <w:r w:rsidR="002652B3">
        <w:rPr>
          <w:rFonts w:eastAsia="Times New Roman"/>
          <w:lang w:eastAsia="en-GB"/>
        </w:rPr>
        <w:t>4</w:t>
      </w:r>
      <w:r w:rsidR="004601AE" w:rsidRPr="004601AE">
        <w:rPr>
          <w:rFonts w:eastAsia="Times New Roman"/>
          <w:lang w:eastAsia="en-GB"/>
        </w:rPr>
        <w:t xml:space="preserve">, </w:t>
      </w:r>
      <w:r w:rsidR="00B23C90">
        <w:rPr>
          <w:rFonts w:eastAsia="Times New Roman"/>
          <w:lang w:eastAsia="en-GB"/>
        </w:rPr>
        <w:t xml:space="preserve">further </w:t>
      </w:r>
      <w:r w:rsidR="004601AE" w:rsidRPr="004601AE">
        <w:rPr>
          <w:rFonts w:eastAsia="Times New Roman"/>
          <w:lang w:eastAsia="en-GB"/>
        </w:rPr>
        <w:t>below). Where factor loadings for a dimension were only marginally different, a reasonable judgement was made about which factor to select</w:t>
      </w:r>
      <w:r w:rsidR="00172042">
        <w:rPr>
          <w:rFonts w:eastAsia="Times New Roman"/>
          <w:lang w:eastAsia="en-GB"/>
        </w:rPr>
        <w:t xml:space="preserve"> </w:t>
      </w:r>
      <w:r w:rsidR="004601AE" w:rsidRPr="004601AE">
        <w:rPr>
          <w:rFonts w:eastAsia="Times New Roman"/>
          <w:lang w:eastAsia="en-GB"/>
        </w:rPr>
        <w:t>(Table 2</w:t>
      </w:r>
      <w:r w:rsidR="002652B3">
        <w:rPr>
          <w:rFonts w:eastAsia="Times New Roman"/>
          <w:lang w:eastAsia="en-GB"/>
        </w:rPr>
        <w:t>2</w:t>
      </w:r>
      <w:r w:rsidR="004601AE" w:rsidRPr="004601AE">
        <w:rPr>
          <w:rFonts w:eastAsia="Times New Roman"/>
          <w:lang w:eastAsia="en-GB"/>
        </w:rPr>
        <w:t>).</w:t>
      </w:r>
    </w:p>
    <w:p w14:paraId="1C9EA381" w14:textId="51EEACD8" w:rsidR="000F438F" w:rsidRPr="000F438F" w:rsidRDefault="000F438F" w:rsidP="000F438F">
      <w:pPr>
        <w:rPr>
          <w:lang w:eastAsia="en-GB"/>
        </w:rPr>
        <w:sectPr w:rsidR="000F438F" w:rsidRPr="000F438F" w:rsidSect="00A2665A">
          <w:type w:val="continuous"/>
          <w:pgSz w:w="11906" w:h="16838"/>
          <w:pgMar w:top="720" w:right="964" w:bottom="720" w:left="2268" w:header="708" w:footer="708" w:gutter="0"/>
          <w:cols w:space="708"/>
          <w:docGrid w:linePitch="360"/>
        </w:sectPr>
      </w:pPr>
    </w:p>
    <w:tbl>
      <w:tblPr>
        <w:tblStyle w:val="GridTable5Dark-Accent1"/>
        <w:tblW w:w="0" w:type="auto"/>
        <w:tblLook w:val="04A0" w:firstRow="1" w:lastRow="0" w:firstColumn="1" w:lastColumn="0" w:noHBand="0" w:noVBand="1"/>
      </w:tblPr>
      <w:tblGrid>
        <w:gridCol w:w="5953"/>
        <w:gridCol w:w="1210"/>
        <w:gridCol w:w="1209"/>
        <w:gridCol w:w="1209"/>
        <w:gridCol w:w="1209"/>
        <w:gridCol w:w="1209"/>
        <w:gridCol w:w="1209"/>
      </w:tblGrid>
      <w:tr w:rsidR="004601AE" w:rsidRPr="008211B8" w14:paraId="747DE36E" w14:textId="77777777" w:rsidTr="004601AE">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4DF68945" w14:textId="77777777" w:rsidR="004601AE" w:rsidRPr="008211B8" w:rsidRDefault="004601AE" w:rsidP="00937644">
            <w:pPr>
              <w:spacing w:before="0" w:after="0" w:line="240" w:lineRule="auto"/>
              <w:jc w:val="center"/>
              <w:rPr>
                <w:rFonts w:ascii="Gill Sans MT" w:hAnsi="Gill Sans MT"/>
                <w:b w:val="0"/>
                <w:bCs w:val="0"/>
              </w:rPr>
            </w:pPr>
            <w:r>
              <w:rPr>
                <w:rFonts w:ascii="Gill Sans MT" w:hAnsi="Gill Sans MT"/>
                <w:b w:val="0"/>
                <w:bCs w:val="0"/>
              </w:rPr>
              <w:lastRenderedPageBreak/>
              <w:t>ABC Scale Item</w:t>
            </w:r>
          </w:p>
        </w:tc>
        <w:tc>
          <w:tcPr>
            <w:tcW w:w="1210" w:type="dxa"/>
            <w:vAlign w:val="center"/>
          </w:tcPr>
          <w:p w14:paraId="05FCF1DD" w14:textId="77777777" w:rsidR="004601AE" w:rsidRPr="008211B8" w:rsidRDefault="004601AE" w:rsidP="0093764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ABC24 Factor 1</w:t>
            </w:r>
          </w:p>
        </w:tc>
        <w:tc>
          <w:tcPr>
            <w:tcW w:w="1209" w:type="dxa"/>
            <w:vAlign w:val="center"/>
          </w:tcPr>
          <w:p w14:paraId="53D75DF0" w14:textId="77777777" w:rsidR="004601AE" w:rsidRPr="008211B8" w:rsidRDefault="004601AE" w:rsidP="0093764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ABC24 Factor 2</w:t>
            </w:r>
          </w:p>
        </w:tc>
        <w:tc>
          <w:tcPr>
            <w:tcW w:w="1209" w:type="dxa"/>
            <w:vAlign w:val="center"/>
          </w:tcPr>
          <w:p w14:paraId="083B91F0" w14:textId="77777777" w:rsidR="004601AE" w:rsidRPr="008211B8" w:rsidRDefault="004601AE" w:rsidP="0093764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ABC24 Factor 3</w:t>
            </w:r>
          </w:p>
        </w:tc>
        <w:tc>
          <w:tcPr>
            <w:tcW w:w="1209" w:type="dxa"/>
            <w:vAlign w:val="center"/>
          </w:tcPr>
          <w:p w14:paraId="705A5E2E" w14:textId="77777777" w:rsidR="004601AE" w:rsidRPr="008211B8" w:rsidRDefault="004601AE" w:rsidP="0093764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ABC17 Factor 1</w:t>
            </w:r>
          </w:p>
        </w:tc>
        <w:tc>
          <w:tcPr>
            <w:tcW w:w="1209" w:type="dxa"/>
            <w:vAlign w:val="center"/>
          </w:tcPr>
          <w:p w14:paraId="55DBFB2D" w14:textId="77777777" w:rsidR="004601AE" w:rsidRPr="008211B8" w:rsidRDefault="004601AE" w:rsidP="0093764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ABC17 Factor 2</w:t>
            </w:r>
          </w:p>
        </w:tc>
        <w:tc>
          <w:tcPr>
            <w:tcW w:w="1209" w:type="dxa"/>
            <w:vAlign w:val="center"/>
          </w:tcPr>
          <w:p w14:paraId="733FDFE9" w14:textId="77777777" w:rsidR="004601AE" w:rsidRPr="008211B8" w:rsidRDefault="004601AE" w:rsidP="0093764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ABC24 Factor 3</w:t>
            </w:r>
          </w:p>
        </w:tc>
      </w:tr>
      <w:tr w:rsidR="004601AE" w:rsidRPr="008211B8" w14:paraId="2A016C28" w14:textId="77777777" w:rsidTr="004601A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1C8AE17C" w14:textId="15457167" w:rsidR="004601AE" w:rsidRPr="008211B8" w:rsidRDefault="004601AE" w:rsidP="004601AE">
            <w:pPr>
              <w:spacing w:before="0" w:after="0" w:line="240" w:lineRule="auto"/>
              <w:rPr>
                <w:rFonts w:ascii="Gill Sans MT" w:hAnsi="Gill Sans MT"/>
                <w:b w:val="0"/>
                <w:bCs w:val="0"/>
              </w:rPr>
            </w:pPr>
            <w:r>
              <w:rPr>
                <w:rFonts w:ascii="Gill Sans MT" w:hAnsi="Gill Sans MT"/>
                <w:b w:val="0"/>
                <w:bCs w:val="0"/>
              </w:rPr>
              <w:t>15: produce coursework at the required standard</w:t>
            </w:r>
          </w:p>
        </w:tc>
        <w:tc>
          <w:tcPr>
            <w:tcW w:w="1210" w:type="dxa"/>
            <w:vAlign w:val="center"/>
          </w:tcPr>
          <w:p w14:paraId="16F90287" w14:textId="4587098E" w:rsidR="004601AE" w:rsidRPr="008211B8" w:rsidRDefault="004601A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0.828</w:t>
            </w:r>
          </w:p>
        </w:tc>
        <w:tc>
          <w:tcPr>
            <w:tcW w:w="1209" w:type="dxa"/>
            <w:vAlign w:val="center"/>
          </w:tcPr>
          <w:p w14:paraId="69E2BC86" w14:textId="77777777" w:rsidR="004601AE" w:rsidRPr="008211B8" w:rsidRDefault="004601A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3A674575" w14:textId="77777777" w:rsidR="004601AE" w:rsidRPr="008211B8" w:rsidRDefault="004601A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26E07F1C" w14:textId="3EF9CF9A" w:rsidR="004601AE" w:rsidRPr="008211B8" w:rsidRDefault="004601A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0.835</w:t>
            </w:r>
          </w:p>
        </w:tc>
        <w:tc>
          <w:tcPr>
            <w:tcW w:w="1209" w:type="dxa"/>
            <w:vAlign w:val="center"/>
          </w:tcPr>
          <w:p w14:paraId="0D791457" w14:textId="77777777" w:rsidR="004601AE" w:rsidRPr="008211B8" w:rsidRDefault="004601A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790E05CC" w14:textId="77777777" w:rsidR="004601AE" w:rsidRPr="008211B8" w:rsidRDefault="004601A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4601AE" w:rsidRPr="008211B8" w14:paraId="416752CE" w14:textId="77777777" w:rsidTr="004601AE">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139EF68D" w14:textId="059D97FD" w:rsidR="004601AE" w:rsidRPr="008211B8" w:rsidRDefault="004601AE" w:rsidP="004601AE">
            <w:pPr>
              <w:spacing w:before="0" w:after="0" w:line="240" w:lineRule="auto"/>
              <w:rPr>
                <w:rFonts w:ascii="Gill Sans MT" w:hAnsi="Gill Sans MT"/>
                <w:b w:val="0"/>
                <w:bCs w:val="0"/>
              </w:rPr>
            </w:pPr>
            <w:r>
              <w:rPr>
                <w:rFonts w:ascii="Gill Sans MT" w:hAnsi="Gill Sans MT"/>
                <w:b w:val="0"/>
                <w:bCs w:val="0"/>
              </w:rPr>
              <w:t>07: attain good grades</w:t>
            </w:r>
          </w:p>
        </w:tc>
        <w:tc>
          <w:tcPr>
            <w:tcW w:w="1210" w:type="dxa"/>
            <w:vAlign w:val="center"/>
          </w:tcPr>
          <w:p w14:paraId="546545A8" w14:textId="37C4DDA6" w:rsidR="004601AE" w:rsidRPr="008211B8" w:rsidRDefault="004601A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0.792</w:t>
            </w:r>
          </w:p>
        </w:tc>
        <w:tc>
          <w:tcPr>
            <w:tcW w:w="1209" w:type="dxa"/>
            <w:vAlign w:val="center"/>
          </w:tcPr>
          <w:p w14:paraId="4C2E0DFB" w14:textId="77777777" w:rsidR="004601AE" w:rsidRPr="008211B8" w:rsidRDefault="004601A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1DDB28C2" w14:textId="77777777" w:rsidR="004601AE" w:rsidRPr="008211B8" w:rsidRDefault="004601A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7BB75465" w14:textId="46348199" w:rsidR="004601AE" w:rsidRPr="008211B8" w:rsidRDefault="004601A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0.813</w:t>
            </w:r>
          </w:p>
        </w:tc>
        <w:tc>
          <w:tcPr>
            <w:tcW w:w="1209" w:type="dxa"/>
            <w:vAlign w:val="center"/>
          </w:tcPr>
          <w:p w14:paraId="432D9031" w14:textId="77777777" w:rsidR="004601AE" w:rsidRPr="008211B8" w:rsidRDefault="004601A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4601780D" w14:textId="77777777" w:rsidR="004601AE" w:rsidRPr="008211B8" w:rsidRDefault="004601A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4601AE" w:rsidRPr="008211B8" w14:paraId="2B92654F" w14:textId="77777777" w:rsidTr="004601A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33E078A3" w14:textId="6D1D226F" w:rsidR="004601AE" w:rsidRPr="008211B8" w:rsidRDefault="00234B2E" w:rsidP="004601AE">
            <w:pPr>
              <w:spacing w:before="0" w:after="0" w:line="240" w:lineRule="auto"/>
              <w:rPr>
                <w:rFonts w:ascii="Gill Sans MT" w:hAnsi="Gill Sans MT"/>
                <w:b w:val="0"/>
                <w:bCs w:val="0"/>
              </w:rPr>
            </w:pPr>
            <w:r>
              <w:rPr>
                <w:rFonts w:ascii="Gill Sans MT" w:hAnsi="Gill Sans MT"/>
                <w:b w:val="0"/>
                <w:bCs w:val="0"/>
              </w:rPr>
              <w:t>16: write in an appropriate styles</w:t>
            </w:r>
          </w:p>
        </w:tc>
        <w:tc>
          <w:tcPr>
            <w:tcW w:w="1210" w:type="dxa"/>
            <w:vAlign w:val="center"/>
          </w:tcPr>
          <w:p w14:paraId="4580C9D9" w14:textId="424E04F0" w:rsidR="004601AE" w:rsidRPr="008211B8"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0.771</w:t>
            </w:r>
          </w:p>
        </w:tc>
        <w:tc>
          <w:tcPr>
            <w:tcW w:w="1209" w:type="dxa"/>
            <w:vAlign w:val="center"/>
          </w:tcPr>
          <w:p w14:paraId="78CC725B" w14:textId="77777777" w:rsidR="004601AE" w:rsidRPr="008211B8" w:rsidRDefault="004601A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564BF5CF" w14:textId="77777777" w:rsidR="004601AE" w:rsidRPr="008211B8" w:rsidRDefault="004601A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3B21DDA4" w14:textId="53D5F7CD" w:rsidR="004601AE" w:rsidRPr="008211B8"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0.771</w:t>
            </w:r>
          </w:p>
        </w:tc>
        <w:tc>
          <w:tcPr>
            <w:tcW w:w="1209" w:type="dxa"/>
            <w:vAlign w:val="center"/>
          </w:tcPr>
          <w:p w14:paraId="1D40B572" w14:textId="77777777" w:rsidR="004601AE" w:rsidRPr="008211B8" w:rsidRDefault="004601A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567D9A39" w14:textId="77777777" w:rsidR="004601AE" w:rsidRPr="008211B8" w:rsidRDefault="004601A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4601AE" w:rsidRPr="008211B8" w14:paraId="184228A5" w14:textId="77777777" w:rsidTr="004601AE">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2A45510E" w14:textId="0B06E419" w:rsidR="004601AE" w:rsidRPr="008211B8" w:rsidRDefault="00234B2E" w:rsidP="004601AE">
            <w:pPr>
              <w:spacing w:before="0" w:after="0" w:line="240" w:lineRule="auto"/>
              <w:rPr>
                <w:rFonts w:ascii="Gill Sans MT" w:hAnsi="Gill Sans MT"/>
                <w:b w:val="0"/>
                <w:bCs w:val="0"/>
              </w:rPr>
            </w:pPr>
            <w:r>
              <w:rPr>
                <w:rFonts w:ascii="Gill Sans MT" w:hAnsi="Gill Sans MT"/>
                <w:b w:val="0"/>
                <w:bCs w:val="0"/>
              </w:rPr>
              <w:t>20: pass assessment at the first attempt</w:t>
            </w:r>
          </w:p>
        </w:tc>
        <w:tc>
          <w:tcPr>
            <w:tcW w:w="1210" w:type="dxa"/>
            <w:vAlign w:val="center"/>
          </w:tcPr>
          <w:p w14:paraId="40435942" w14:textId="39910D7C" w:rsidR="004601A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0.678</w:t>
            </w:r>
          </w:p>
        </w:tc>
        <w:tc>
          <w:tcPr>
            <w:tcW w:w="1209" w:type="dxa"/>
            <w:vAlign w:val="center"/>
          </w:tcPr>
          <w:p w14:paraId="72C40447" w14:textId="77777777" w:rsidR="004601AE" w:rsidRPr="008211B8" w:rsidRDefault="004601A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64E506AF" w14:textId="77777777" w:rsidR="004601AE" w:rsidRPr="008211B8" w:rsidRDefault="004601A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413E612F" w14:textId="312F7C91" w:rsidR="004601A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0.680</w:t>
            </w:r>
          </w:p>
        </w:tc>
        <w:tc>
          <w:tcPr>
            <w:tcW w:w="1209" w:type="dxa"/>
            <w:vAlign w:val="center"/>
          </w:tcPr>
          <w:p w14:paraId="11231A59" w14:textId="77777777" w:rsidR="004601AE" w:rsidRPr="008211B8" w:rsidRDefault="004601A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0AB68CBF" w14:textId="77777777" w:rsidR="004601AE" w:rsidRPr="008211B8" w:rsidRDefault="004601A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4601AE" w:rsidRPr="008211B8" w14:paraId="1D347DF5" w14:textId="77777777" w:rsidTr="004601A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3D1E10B1" w14:textId="0908D4C7" w:rsidR="004601AE" w:rsidRPr="008211B8" w:rsidRDefault="00234B2E" w:rsidP="004601AE">
            <w:pPr>
              <w:spacing w:before="0" w:after="0" w:line="240" w:lineRule="auto"/>
              <w:rPr>
                <w:rFonts w:ascii="Gill Sans MT" w:hAnsi="Gill Sans MT"/>
                <w:b w:val="0"/>
                <w:bCs w:val="0"/>
              </w:rPr>
            </w:pPr>
            <w:r>
              <w:rPr>
                <w:rFonts w:ascii="Gill Sans MT" w:hAnsi="Gill Sans MT"/>
                <w:b w:val="0"/>
                <w:bCs w:val="0"/>
              </w:rPr>
              <w:t>23: produce best work in coursework assignments</w:t>
            </w:r>
          </w:p>
        </w:tc>
        <w:tc>
          <w:tcPr>
            <w:tcW w:w="1210" w:type="dxa"/>
            <w:vAlign w:val="center"/>
          </w:tcPr>
          <w:p w14:paraId="45732C78" w14:textId="043D6108" w:rsidR="004601AE" w:rsidRPr="008211B8"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0.645</w:t>
            </w:r>
          </w:p>
        </w:tc>
        <w:tc>
          <w:tcPr>
            <w:tcW w:w="1209" w:type="dxa"/>
            <w:vAlign w:val="center"/>
          </w:tcPr>
          <w:p w14:paraId="6E7DCD16" w14:textId="77777777" w:rsidR="004601AE" w:rsidRPr="008211B8" w:rsidRDefault="004601A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6B31A87F" w14:textId="79701DD5" w:rsidR="004601AE" w:rsidRPr="008211B8"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0.349</w:t>
            </w:r>
          </w:p>
        </w:tc>
        <w:tc>
          <w:tcPr>
            <w:tcW w:w="1209" w:type="dxa"/>
            <w:vAlign w:val="center"/>
          </w:tcPr>
          <w:p w14:paraId="6B19F25E" w14:textId="0027DB4D" w:rsidR="004601AE" w:rsidRPr="008211B8"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0.698</w:t>
            </w:r>
          </w:p>
        </w:tc>
        <w:tc>
          <w:tcPr>
            <w:tcW w:w="1209" w:type="dxa"/>
            <w:vAlign w:val="center"/>
          </w:tcPr>
          <w:p w14:paraId="5D73DF15" w14:textId="77777777" w:rsidR="004601AE" w:rsidRPr="008211B8" w:rsidRDefault="004601A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414207DD" w14:textId="77777777" w:rsidR="004601AE" w:rsidRPr="008211B8" w:rsidRDefault="004601A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4601AE" w:rsidRPr="008211B8" w14:paraId="72AC91C7" w14:textId="77777777" w:rsidTr="004601AE">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01D0DD39" w14:textId="1417F050" w:rsidR="004601AE" w:rsidRPr="008211B8" w:rsidRDefault="00234B2E" w:rsidP="004601AE">
            <w:pPr>
              <w:spacing w:before="0" w:after="0" w:line="240" w:lineRule="auto"/>
              <w:rPr>
                <w:rFonts w:ascii="Gill Sans MT" w:hAnsi="Gill Sans MT"/>
                <w:b w:val="0"/>
                <w:bCs w:val="0"/>
              </w:rPr>
            </w:pPr>
            <w:r>
              <w:rPr>
                <w:rFonts w:ascii="Gill Sans MT" w:hAnsi="Gill Sans MT"/>
                <w:b w:val="0"/>
                <w:bCs w:val="0"/>
              </w:rPr>
              <w:t>01: study effectively in independent study</w:t>
            </w:r>
          </w:p>
        </w:tc>
        <w:tc>
          <w:tcPr>
            <w:tcW w:w="1210" w:type="dxa"/>
            <w:vAlign w:val="center"/>
          </w:tcPr>
          <w:p w14:paraId="44C3968B" w14:textId="05584B68" w:rsidR="004601A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0.560</w:t>
            </w:r>
          </w:p>
        </w:tc>
        <w:tc>
          <w:tcPr>
            <w:tcW w:w="1209" w:type="dxa"/>
            <w:vAlign w:val="center"/>
          </w:tcPr>
          <w:p w14:paraId="1E732D3D" w14:textId="77777777" w:rsidR="004601AE" w:rsidRPr="008211B8" w:rsidRDefault="004601A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439B465D" w14:textId="1FDD1E14" w:rsidR="004601A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0.406</w:t>
            </w:r>
          </w:p>
        </w:tc>
        <w:tc>
          <w:tcPr>
            <w:tcW w:w="1209" w:type="dxa"/>
            <w:vAlign w:val="center"/>
          </w:tcPr>
          <w:p w14:paraId="36E74962" w14:textId="3A69C7FF" w:rsidR="004601A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0.617</w:t>
            </w:r>
          </w:p>
        </w:tc>
        <w:tc>
          <w:tcPr>
            <w:tcW w:w="1209" w:type="dxa"/>
            <w:vAlign w:val="center"/>
          </w:tcPr>
          <w:p w14:paraId="61F70825" w14:textId="77777777" w:rsidR="004601AE" w:rsidRPr="008211B8" w:rsidRDefault="004601A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5D006196" w14:textId="1717D639" w:rsidR="004601A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0.309</w:t>
            </w:r>
          </w:p>
        </w:tc>
      </w:tr>
      <w:tr w:rsidR="004601AE" w:rsidRPr="008211B8" w14:paraId="182DF469" w14:textId="77777777" w:rsidTr="004601A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61617AC6" w14:textId="452CF4F4" w:rsidR="004601AE" w:rsidRPr="008211B8" w:rsidRDefault="00234B2E" w:rsidP="004601AE">
            <w:pPr>
              <w:spacing w:before="0" w:after="0" w:line="240" w:lineRule="auto"/>
              <w:rPr>
                <w:rFonts w:ascii="Gill Sans MT" w:hAnsi="Gill Sans MT"/>
                <w:b w:val="0"/>
                <w:bCs w:val="0"/>
              </w:rPr>
            </w:pPr>
            <w:r>
              <w:rPr>
                <w:rFonts w:ascii="Gill Sans MT" w:hAnsi="Gill Sans MT"/>
                <w:b w:val="0"/>
                <w:bCs w:val="0"/>
              </w:rPr>
              <w:t>04: manage workload to meet deadlines</w:t>
            </w:r>
          </w:p>
        </w:tc>
        <w:tc>
          <w:tcPr>
            <w:tcW w:w="1210" w:type="dxa"/>
            <w:vAlign w:val="center"/>
          </w:tcPr>
          <w:p w14:paraId="73AFE4F4" w14:textId="4DF36CEA" w:rsidR="004601AE" w:rsidRPr="008211B8"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0.524</w:t>
            </w:r>
          </w:p>
        </w:tc>
        <w:tc>
          <w:tcPr>
            <w:tcW w:w="1209" w:type="dxa"/>
            <w:vAlign w:val="center"/>
          </w:tcPr>
          <w:p w14:paraId="3DEF5B7A" w14:textId="77777777" w:rsidR="004601AE" w:rsidRPr="008211B8" w:rsidRDefault="004601A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22953475" w14:textId="1810253D" w:rsidR="004601AE" w:rsidRPr="008211B8"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0.506</w:t>
            </w:r>
          </w:p>
        </w:tc>
        <w:tc>
          <w:tcPr>
            <w:tcW w:w="1209" w:type="dxa"/>
            <w:vAlign w:val="center"/>
          </w:tcPr>
          <w:p w14:paraId="510A3DE0" w14:textId="5E3C92FA" w:rsidR="004601AE" w:rsidRPr="008211B8"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0.591</w:t>
            </w:r>
          </w:p>
        </w:tc>
        <w:tc>
          <w:tcPr>
            <w:tcW w:w="1209" w:type="dxa"/>
            <w:vAlign w:val="center"/>
          </w:tcPr>
          <w:p w14:paraId="10F49E42" w14:textId="77777777" w:rsidR="004601AE" w:rsidRPr="008211B8" w:rsidRDefault="004601A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13680253" w14:textId="32358EFD" w:rsidR="004601AE" w:rsidRPr="008211B8"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0.433</w:t>
            </w:r>
          </w:p>
        </w:tc>
      </w:tr>
      <w:tr w:rsidR="004601AE" w:rsidRPr="008211B8" w14:paraId="502FC117" w14:textId="77777777" w:rsidTr="004601AE">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360613D9" w14:textId="2368E896" w:rsidR="004601AE" w:rsidRPr="008211B8" w:rsidRDefault="00234B2E" w:rsidP="004601AE">
            <w:pPr>
              <w:spacing w:before="0" w:after="0" w:line="240" w:lineRule="auto"/>
              <w:rPr>
                <w:rFonts w:ascii="Gill Sans MT" w:hAnsi="Gill Sans MT"/>
                <w:b w:val="0"/>
                <w:bCs w:val="0"/>
              </w:rPr>
            </w:pPr>
            <w:r>
              <w:rPr>
                <w:rFonts w:ascii="Gill Sans MT" w:hAnsi="Gill Sans MT"/>
                <w:b w:val="0"/>
                <w:bCs w:val="0"/>
              </w:rPr>
              <w:t>22: remain adequately motivated throughout university</w:t>
            </w:r>
          </w:p>
        </w:tc>
        <w:tc>
          <w:tcPr>
            <w:tcW w:w="1210" w:type="dxa"/>
            <w:vAlign w:val="center"/>
          </w:tcPr>
          <w:p w14:paraId="22342C0C" w14:textId="0FAED9EE" w:rsidR="004601A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0.500</w:t>
            </w:r>
          </w:p>
        </w:tc>
        <w:tc>
          <w:tcPr>
            <w:tcW w:w="1209" w:type="dxa"/>
            <w:vAlign w:val="center"/>
          </w:tcPr>
          <w:p w14:paraId="468A9563" w14:textId="77777777" w:rsidR="004601AE" w:rsidRPr="008211B8" w:rsidRDefault="004601A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4D91C650" w14:textId="11A95310" w:rsidR="004601A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0.440</w:t>
            </w:r>
          </w:p>
        </w:tc>
        <w:tc>
          <w:tcPr>
            <w:tcW w:w="1209" w:type="dxa"/>
            <w:vAlign w:val="center"/>
          </w:tcPr>
          <w:p w14:paraId="6C71D29C" w14:textId="4A4061C1" w:rsidR="004601A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0.559</w:t>
            </w:r>
          </w:p>
        </w:tc>
        <w:tc>
          <w:tcPr>
            <w:tcW w:w="1209" w:type="dxa"/>
            <w:vAlign w:val="center"/>
          </w:tcPr>
          <w:p w14:paraId="65A9ABEC" w14:textId="77777777" w:rsidR="004601AE" w:rsidRPr="008211B8" w:rsidRDefault="004601A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39356350" w14:textId="44DA9F52" w:rsidR="004601A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0.389</w:t>
            </w:r>
          </w:p>
        </w:tc>
      </w:tr>
      <w:tr w:rsidR="00234B2E" w:rsidRPr="008211B8" w14:paraId="4D7E12BD" w14:textId="77777777" w:rsidTr="004601A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107A4BF7" w14:textId="223D0877" w:rsidR="00234B2E" w:rsidRDefault="00234B2E" w:rsidP="004601AE">
            <w:pPr>
              <w:spacing w:before="0" w:after="0" w:line="240" w:lineRule="auto"/>
              <w:rPr>
                <w:rFonts w:ascii="Gill Sans MT" w:hAnsi="Gill Sans MT"/>
                <w:b w:val="0"/>
                <w:bCs w:val="0"/>
              </w:rPr>
            </w:pPr>
            <w:r>
              <w:rPr>
                <w:rFonts w:ascii="Gill Sans MT" w:hAnsi="Gill Sans MT"/>
                <w:b w:val="0"/>
                <w:bCs w:val="0"/>
              </w:rPr>
              <w:t>10: ask lecturers questions during a lecture</w:t>
            </w:r>
          </w:p>
        </w:tc>
        <w:tc>
          <w:tcPr>
            <w:tcW w:w="1210" w:type="dxa"/>
            <w:vAlign w:val="center"/>
          </w:tcPr>
          <w:p w14:paraId="3EC0EE1D" w14:textId="77777777" w:rsidR="00234B2E"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0A7BAEE6" w14:textId="218D0E07" w:rsidR="00234B2E" w:rsidRPr="008211B8"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0.798</w:t>
            </w:r>
          </w:p>
        </w:tc>
        <w:tc>
          <w:tcPr>
            <w:tcW w:w="1209" w:type="dxa"/>
            <w:vAlign w:val="center"/>
          </w:tcPr>
          <w:p w14:paraId="45F1514C" w14:textId="77777777" w:rsidR="00234B2E"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55C89CBC" w14:textId="77777777" w:rsidR="00234B2E"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0C31C71F" w14:textId="200D3E78" w:rsidR="00234B2E" w:rsidRPr="008211B8"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0.793</w:t>
            </w:r>
          </w:p>
        </w:tc>
        <w:tc>
          <w:tcPr>
            <w:tcW w:w="1209" w:type="dxa"/>
            <w:vAlign w:val="center"/>
          </w:tcPr>
          <w:p w14:paraId="6CB0962C" w14:textId="77777777" w:rsidR="00234B2E"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234B2E" w:rsidRPr="008211B8" w14:paraId="11128AF1" w14:textId="77777777" w:rsidTr="004601AE">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21E4E0FE" w14:textId="7FBF0E9D" w:rsidR="00234B2E" w:rsidRDefault="00234B2E" w:rsidP="004601AE">
            <w:pPr>
              <w:spacing w:before="0" w:after="0" w:line="240" w:lineRule="auto"/>
              <w:rPr>
                <w:rFonts w:ascii="Gill Sans MT" w:hAnsi="Gill Sans MT"/>
                <w:b w:val="0"/>
                <w:bCs w:val="0"/>
              </w:rPr>
            </w:pPr>
            <w:r>
              <w:rPr>
                <w:rFonts w:ascii="Gill Sans MT" w:hAnsi="Gill Sans MT"/>
                <w:b w:val="0"/>
                <w:bCs w:val="0"/>
              </w:rPr>
              <w:t>03: respond to lecturers questions in a full lecture theatre</w:t>
            </w:r>
          </w:p>
        </w:tc>
        <w:tc>
          <w:tcPr>
            <w:tcW w:w="1210" w:type="dxa"/>
            <w:vAlign w:val="center"/>
          </w:tcPr>
          <w:p w14:paraId="64982625" w14:textId="77777777" w:rsidR="00234B2E"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3BFC4A49" w14:textId="33897674" w:rsidR="00234B2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0.791</w:t>
            </w:r>
          </w:p>
        </w:tc>
        <w:tc>
          <w:tcPr>
            <w:tcW w:w="1209" w:type="dxa"/>
            <w:vAlign w:val="center"/>
          </w:tcPr>
          <w:p w14:paraId="58BA9B20" w14:textId="77777777" w:rsidR="00234B2E"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09DDF4D8" w14:textId="77777777" w:rsidR="00234B2E"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2306AA42" w14:textId="7F86B240" w:rsidR="00234B2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0.845</w:t>
            </w:r>
          </w:p>
        </w:tc>
        <w:tc>
          <w:tcPr>
            <w:tcW w:w="1209" w:type="dxa"/>
            <w:vAlign w:val="center"/>
          </w:tcPr>
          <w:p w14:paraId="51BE6AC3" w14:textId="77777777" w:rsidR="00234B2E"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234B2E" w:rsidRPr="008211B8" w14:paraId="3CBADFC6" w14:textId="77777777" w:rsidTr="004601A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02676D79" w14:textId="0924BF1B" w:rsidR="00234B2E" w:rsidRDefault="00234B2E" w:rsidP="004601AE">
            <w:pPr>
              <w:spacing w:before="0" w:after="0" w:line="240" w:lineRule="auto"/>
              <w:rPr>
                <w:rFonts w:ascii="Gill Sans MT" w:hAnsi="Gill Sans MT"/>
                <w:b w:val="0"/>
                <w:bCs w:val="0"/>
              </w:rPr>
            </w:pPr>
            <w:r>
              <w:rPr>
                <w:rFonts w:ascii="Gill Sans MT" w:hAnsi="Gill Sans MT"/>
                <w:b w:val="0"/>
                <w:bCs w:val="0"/>
              </w:rPr>
              <w:t>12: follow themes and debates in lectures</w:t>
            </w:r>
          </w:p>
        </w:tc>
        <w:tc>
          <w:tcPr>
            <w:tcW w:w="1210" w:type="dxa"/>
            <w:vAlign w:val="center"/>
          </w:tcPr>
          <w:p w14:paraId="54DF7A45" w14:textId="77777777" w:rsidR="00234B2E"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1C629591" w14:textId="28E484AF" w:rsidR="00234B2E" w:rsidRPr="008211B8"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0.716</w:t>
            </w:r>
          </w:p>
        </w:tc>
        <w:tc>
          <w:tcPr>
            <w:tcW w:w="1209" w:type="dxa"/>
            <w:vAlign w:val="center"/>
          </w:tcPr>
          <w:p w14:paraId="0D10A6C2" w14:textId="77777777" w:rsidR="00234B2E"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52DA141A" w14:textId="61C2F3C8" w:rsidR="00234B2E"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1342090F" w14:textId="0F0F2111" w:rsidR="00234B2E" w:rsidRPr="008211B8"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67622F3B" w14:textId="527441BF" w:rsidR="00234B2E"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r>
      <w:tr w:rsidR="00234B2E" w:rsidRPr="008211B8" w14:paraId="66E975E6" w14:textId="77777777" w:rsidTr="004601AE">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554C73C2" w14:textId="492AF494" w:rsidR="00234B2E" w:rsidRDefault="00234B2E" w:rsidP="004601AE">
            <w:pPr>
              <w:spacing w:before="0" w:after="0" w:line="240" w:lineRule="auto"/>
              <w:rPr>
                <w:rFonts w:ascii="Gill Sans MT" w:hAnsi="Gill Sans MT"/>
                <w:b w:val="0"/>
                <w:bCs w:val="0"/>
              </w:rPr>
            </w:pPr>
            <w:r>
              <w:rPr>
                <w:rFonts w:ascii="Gill Sans MT" w:hAnsi="Gill Sans MT"/>
                <w:b w:val="0"/>
                <w:bCs w:val="0"/>
              </w:rPr>
              <w:t>05: present to a small group of peers</w:t>
            </w:r>
          </w:p>
        </w:tc>
        <w:tc>
          <w:tcPr>
            <w:tcW w:w="1210" w:type="dxa"/>
            <w:vAlign w:val="center"/>
          </w:tcPr>
          <w:p w14:paraId="7101C0CD" w14:textId="77777777" w:rsidR="00234B2E"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6B4E64D1" w14:textId="0648C338" w:rsidR="00234B2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0.646</w:t>
            </w:r>
          </w:p>
        </w:tc>
        <w:tc>
          <w:tcPr>
            <w:tcW w:w="1209" w:type="dxa"/>
            <w:vAlign w:val="center"/>
          </w:tcPr>
          <w:p w14:paraId="397E98F1" w14:textId="77777777" w:rsidR="00234B2E"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48BE287F" w14:textId="77777777" w:rsidR="00234B2E"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42246CE6" w14:textId="4EC726DE" w:rsidR="00234B2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0.700</w:t>
            </w:r>
          </w:p>
        </w:tc>
        <w:tc>
          <w:tcPr>
            <w:tcW w:w="1209" w:type="dxa"/>
            <w:vAlign w:val="center"/>
          </w:tcPr>
          <w:p w14:paraId="0A728874" w14:textId="77777777" w:rsidR="00234B2E"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234B2E" w:rsidRPr="008211B8" w14:paraId="4DC9A3DA" w14:textId="77777777" w:rsidTr="004601A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5C7C76BE" w14:textId="1E9CB9B4" w:rsidR="00234B2E" w:rsidRDefault="00234B2E" w:rsidP="004601AE">
            <w:pPr>
              <w:spacing w:before="0" w:after="0" w:line="240" w:lineRule="auto"/>
              <w:rPr>
                <w:rFonts w:ascii="Gill Sans MT" w:hAnsi="Gill Sans MT"/>
                <w:b w:val="0"/>
                <w:bCs w:val="0"/>
              </w:rPr>
            </w:pPr>
            <w:r>
              <w:rPr>
                <w:rFonts w:ascii="Gill Sans MT" w:hAnsi="Gill Sans MT"/>
                <w:b w:val="0"/>
                <w:bCs w:val="0"/>
              </w:rPr>
              <w:t>08: debate academically with peers</w:t>
            </w:r>
          </w:p>
        </w:tc>
        <w:tc>
          <w:tcPr>
            <w:tcW w:w="1210" w:type="dxa"/>
            <w:vAlign w:val="center"/>
          </w:tcPr>
          <w:p w14:paraId="2DE433C9" w14:textId="77777777" w:rsidR="00234B2E"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26A37AEA" w14:textId="051EF2FD" w:rsidR="00234B2E" w:rsidRPr="008211B8"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0.608</w:t>
            </w:r>
          </w:p>
        </w:tc>
        <w:tc>
          <w:tcPr>
            <w:tcW w:w="1209" w:type="dxa"/>
            <w:vAlign w:val="center"/>
          </w:tcPr>
          <w:p w14:paraId="68AF3521" w14:textId="77777777" w:rsidR="00234B2E"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24960FD4" w14:textId="77777777" w:rsidR="00234B2E"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2BE9ED84" w14:textId="2931DFE0" w:rsidR="00234B2E" w:rsidRPr="008211B8"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0.559</w:t>
            </w:r>
          </w:p>
        </w:tc>
        <w:tc>
          <w:tcPr>
            <w:tcW w:w="1209" w:type="dxa"/>
            <w:vAlign w:val="center"/>
          </w:tcPr>
          <w:p w14:paraId="4849AEF4" w14:textId="77777777" w:rsidR="00234B2E"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234B2E" w:rsidRPr="008211B8" w14:paraId="3EABF036" w14:textId="77777777" w:rsidTr="004601AE">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5ECAB102" w14:textId="2B583452" w:rsidR="00234B2E" w:rsidRDefault="00234B2E" w:rsidP="004601AE">
            <w:pPr>
              <w:spacing w:before="0" w:after="0" w:line="240" w:lineRule="auto"/>
              <w:rPr>
                <w:rFonts w:ascii="Gill Sans MT" w:hAnsi="Gill Sans MT"/>
                <w:b w:val="0"/>
                <w:bCs w:val="0"/>
              </w:rPr>
            </w:pPr>
            <w:r>
              <w:rPr>
                <w:rFonts w:ascii="Gill Sans MT" w:hAnsi="Gill Sans MT"/>
                <w:b w:val="0"/>
                <w:bCs w:val="0"/>
              </w:rPr>
              <w:t>11: understand material discussed with lecturers</w:t>
            </w:r>
          </w:p>
        </w:tc>
        <w:tc>
          <w:tcPr>
            <w:tcW w:w="1210" w:type="dxa"/>
            <w:vAlign w:val="center"/>
          </w:tcPr>
          <w:p w14:paraId="20F5857A" w14:textId="77777777" w:rsidR="00234B2E"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060E5471" w14:textId="2FD7FB17" w:rsidR="00234B2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0.592</w:t>
            </w:r>
          </w:p>
        </w:tc>
        <w:tc>
          <w:tcPr>
            <w:tcW w:w="1209" w:type="dxa"/>
            <w:vAlign w:val="center"/>
          </w:tcPr>
          <w:p w14:paraId="6ECA3296" w14:textId="77777777" w:rsidR="00234B2E"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5E03A5E4" w14:textId="0BC8714F" w:rsidR="00234B2E"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4D001057" w14:textId="23AF8FE9" w:rsidR="00234B2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167FC4C1" w14:textId="21309791" w:rsidR="00234B2E"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r>
      <w:tr w:rsidR="00234B2E" w:rsidRPr="008211B8" w14:paraId="7D347508" w14:textId="77777777" w:rsidTr="004601A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6AA00697" w14:textId="62454519" w:rsidR="00234B2E" w:rsidRDefault="00234B2E" w:rsidP="004601AE">
            <w:pPr>
              <w:spacing w:before="0" w:after="0" w:line="240" w:lineRule="auto"/>
              <w:rPr>
                <w:rFonts w:ascii="Gill Sans MT" w:hAnsi="Gill Sans MT"/>
                <w:b w:val="0"/>
                <w:bCs w:val="0"/>
              </w:rPr>
            </w:pPr>
            <w:r>
              <w:rPr>
                <w:rFonts w:ascii="Gill Sans MT" w:hAnsi="Gill Sans MT"/>
                <w:b w:val="0"/>
                <w:bCs w:val="0"/>
              </w:rPr>
              <w:t>09: ask lecturers questions in one-to-one settings</w:t>
            </w:r>
          </w:p>
        </w:tc>
        <w:tc>
          <w:tcPr>
            <w:tcW w:w="1210" w:type="dxa"/>
            <w:vAlign w:val="center"/>
          </w:tcPr>
          <w:p w14:paraId="1829D129" w14:textId="77777777" w:rsidR="00234B2E"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1749C081" w14:textId="5C176290" w:rsidR="00234B2E" w:rsidRPr="008211B8"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0.516</w:t>
            </w:r>
          </w:p>
        </w:tc>
        <w:tc>
          <w:tcPr>
            <w:tcW w:w="1209" w:type="dxa"/>
            <w:vAlign w:val="center"/>
          </w:tcPr>
          <w:p w14:paraId="036AC798" w14:textId="77777777" w:rsidR="00234B2E"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3277C492" w14:textId="082D16FE" w:rsidR="00234B2E"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37BCF147" w14:textId="44D7B83C" w:rsidR="00234B2E" w:rsidRPr="008211B8"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6680FB45" w14:textId="22C3A4D9" w:rsidR="00234B2E"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r>
      <w:tr w:rsidR="00234B2E" w:rsidRPr="008211B8" w14:paraId="200EF643" w14:textId="77777777" w:rsidTr="004601AE">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151F05FD" w14:textId="4E2DE647" w:rsidR="00234B2E" w:rsidRDefault="00234B2E" w:rsidP="004601AE">
            <w:pPr>
              <w:spacing w:before="0" w:after="0" w:line="240" w:lineRule="auto"/>
              <w:rPr>
                <w:rFonts w:ascii="Gill Sans MT" w:hAnsi="Gill Sans MT"/>
                <w:b w:val="0"/>
                <w:bCs w:val="0"/>
              </w:rPr>
            </w:pPr>
            <w:r>
              <w:rPr>
                <w:rFonts w:ascii="Gill Sans MT" w:hAnsi="Gill Sans MT"/>
                <w:b w:val="0"/>
                <w:bCs w:val="0"/>
              </w:rPr>
              <w:t>17: ask for help if you need it</w:t>
            </w:r>
          </w:p>
        </w:tc>
        <w:tc>
          <w:tcPr>
            <w:tcW w:w="1210" w:type="dxa"/>
            <w:vAlign w:val="center"/>
          </w:tcPr>
          <w:p w14:paraId="623569AA" w14:textId="77777777" w:rsidR="00234B2E"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362385C9" w14:textId="67F8E841" w:rsidR="00234B2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0.480</w:t>
            </w:r>
          </w:p>
        </w:tc>
        <w:tc>
          <w:tcPr>
            <w:tcW w:w="1209" w:type="dxa"/>
            <w:vAlign w:val="center"/>
          </w:tcPr>
          <w:p w14:paraId="0BD0407F" w14:textId="77777777" w:rsidR="00234B2E"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4F46FEC2" w14:textId="52F2FD46" w:rsidR="00234B2E"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71A84246" w14:textId="4EEB4357" w:rsidR="00234B2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5F03638D" w14:textId="32834370" w:rsidR="00234B2E"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r>
      <w:tr w:rsidR="00234B2E" w:rsidRPr="008211B8" w14:paraId="3B27E6AE" w14:textId="77777777" w:rsidTr="004601A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3F452C5F" w14:textId="3E8CBDBF" w:rsidR="00234B2E" w:rsidRDefault="00234B2E" w:rsidP="004601AE">
            <w:pPr>
              <w:spacing w:before="0" w:after="0" w:line="240" w:lineRule="auto"/>
              <w:rPr>
                <w:rFonts w:ascii="Gill Sans MT" w:hAnsi="Gill Sans MT"/>
                <w:b w:val="0"/>
                <w:bCs w:val="0"/>
              </w:rPr>
            </w:pPr>
            <w:r>
              <w:rPr>
                <w:rFonts w:ascii="Gill Sans MT" w:hAnsi="Gill Sans MT"/>
                <w:b w:val="0"/>
                <w:bCs w:val="0"/>
              </w:rPr>
              <w:t>02: produce best work in exams</w:t>
            </w:r>
          </w:p>
        </w:tc>
        <w:tc>
          <w:tcPr>
            <w:tcW w:w="1210" w:type="dxa"/>
            <w:vAlign w:val="center"/>
          </w:tcPr>
          <w:p w14:paraId="5BC40C5B" w14:textId="736F3CCE" w:rsidR="00234B2E"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0.327</w:t>
            </w:r>
          </w:p>
        </w:tc>
        <w:tc>
          <w:tcPr>
            <w:tcW w:w="1209" w:type="dxa"/>
            <w:vAlign w:val="center"/>
          </w:tcPr>
          <w:p w14:paraId="0B1AE2B7" w14:textId="34680E6B" w:rsidR="00234B2E" w:rsidRPr="008211B8"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0.470</w:t>
            </w:r>
          </w:p>
        </w:tc>
        <w:tc>
          <w:tcPr>
            <w:tcW w:w="1209" w:type="dxa"/>
            <w:vAlign w:val="center"/>
          </w:tcPr>
          <w:p w14:paraId="21785049" w14:textId="77777777" w:rsidR="00234B2E"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1FACD724" w14:textId="6607ADB6" w:rsidR="00234B2E"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0.305</w:t>
            </w:r>
          </w:p>
        </w:tc>
        <w:tc>
          <w:tcPr>
            <w:tcW w:w="1209" w:type="dxa"/>
            <w:vAlign w:val="center"/>
          </w:tcPr>
          <w:p w14:paraId="44C632A8" w14:textId="206C6B40" w:rsidR="00234B2E" w:rsidRPr="008211B8"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0.564</w:t>
            </w:r>
          </w:p>
        </w:tc>
        <w:tc>
          <w:tcPr>
            <w:tcW w:w="1209" w:type="dxa"/>
            <w:vAlign w:val="center"/>
          </w:tcPr>
          <w:p w14:paraId="029221D0" w14:textId="77777777" w:rsidR="00234B2E"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234B2E" w:rsidRPr="008211B8" w14:paraId="54AD84FA" w14:textId="77777777" w:rsidTr="004601AE">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4E9374E7" w14:textId="3D95531F" w:rsidR="00234B2E" w:rsidRDefault="009F3A02" w:rsidP="004601AE">
            <w:pPr>
              <w:spacing w:before="0" w:after="0" w:line="240" w:lineRule="auto"/>
              <w:rPr>
                <w:rFonts w:ascii="Gill Sans MT" w:hAnsi="Gill Sans MT"/>
                <w:b w:val="0"/>
                <w:bCs w:val="0"/>
              </w:rPr>
            </w:pPr>
            <w:r>
              <w:rPr>
                <w:rFonts w:ascii="Gill Sans MT" w:hAnsi="Gill Sans MT"/>
                <w:b w:val="0"/>
                <w:bCs w:val="0"/>
              </w:rPr>
              <w:t>24: attend tutorials</w:t>
            </w:r>
          </w:p>
        </w:tc>
        <w:tc>
          <w:tcPr>
            <w:tcW w:w="1210" w:type="dxa"/>
            <w:vAlign w:val="center"/>
          </w:tcPr>
          <w:p w14:paraId="09F89C10" w14:textId="77777777" w:rsidR="00234B2E"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2187C9A3" w14:textId="77777777" w:rsidR="00234B2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714F320D" w14:textId="552688CD" w:rsidR="00234B2E" w:rsidRDefault="009F3A02"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0.721</w:t>
            </w:r>
          </w:p>
        </w:tc>
        <w:tc>
          <w:tcPr>
            <w:tcW w:w="1209" w:type="dxa"/>
            <w:vAlign w:val="center"/>
          </w:tcPr>
          <w:p w14:paraId="064013A3" w14:textId="77777777" w:rsidR="00234B2E"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633E11E1" w14:textId="77777777" w:rsidR="00234B2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5F40D162" w14:textId="540264EC" w:rsidR="00234B2E" w:rsidRDefault="009F3A02"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0.765</w:t>
            </w:r>
          </w:p>
        </w:tc>
      </w:tr>
      <w:tr w:rsidR="00234B2E" w:rsidRPr="008211B8" w14:paraId="114CC32B" w14:textId="77777777" w:rsidTr="004601A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2F3C693B" w14:textId="71202FE5" w:rsidR="00234B2E" w:rsidRDefault="009F3A02" w:rsidP="004601AE">
            <w:pPr>
              <w:spacing w:before="0" w:after="0" w:line="240" w:lineRule="auto"/>
              <w:rPr>
                <w:rFonts w:ascii="Gill Sans MT" w:hAnsi="Gill Sans MT"/>
                <w:b w:val="0"/>
                <w:bCs w:val="0"/>
              </w:rPr>
            </w:pPr>
            <w:r>
              <w:rPr>
                <w:rFonts w:ascii="Gill Sans MT" w:hAnsi="Gill Sans MT"/>
                <w:b w:val="0"/>
                <w:bCs w:val="0"/>
              </w:rPr>
              <w:t>06: attend most taught sessions</w:t>
            </w:r>
          </w:p>
        </w:tc>
        <w:tc>
          <w:tcPr>
            <w:tcW w:w="1210" w:type="dxa"/>
            <w:vAlign w:val="center"/>
          </w:tcPr>
          <w:p w14:paraId="3B9DCD95" w14:textId="77777777" w:rsidR="00234B2E"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2FE49C1B" w14:textId="77777777" w:rsidR="00234B2E" w:rsidRPr="008211B8"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70457C84" w14:textId="4CBE16D9" w:rsidR="00234B2E" w:rsidRDefault="009F3A02"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0.721</w:t>
            </w:r>
          </w:p>
        </w:tc>
        <w:tc>
          <w:tcPr>
            <w:tcW w:w="1209" w:type="dxa"/>
            <w:vAlign w:val="center"/>
          </w:tcPr>
          <w:p w14:paraId="34C6C373" w14:textId="77777777" w:rsidR="00234B2E"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4844D10B" w14:textId="77777777" w:rsidR="00234B2E" w:rsidRPr="008211B8"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13146AAA" w14:textId="1D9AD91F" w:rsidR="00234B2E" w:rsidRDefault="009F3A02"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0.773</w:t>
            </w:r>
          </w:p>
        </w:tc>
      </w:tr>
      <w:tr w:rsidR="00234B2E" w:rsidRPr="008211B8" w14:paraId="54E9BBCA" w14:textId="77777777" w:rsidTr="004601AE">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3A37A3C8" w14:textId="264359C5" w:rsidR="00234B2E" w:rsidRDefault="009F3A02" w:rsidP="004601AE">
            <w:pPr>
              <w:spacing w:before="0" w:after="0" w:line="240" w:lineRule="auto"/>
              <w:rPr>
                <w:rFonts w:ascii="Gill Sans MT" w:hAnsi="Gill Sans MT"/>
                <w:b w:val="0"/>
                <w:bCs w:val="0"/>
              </w:rPr>
            </w:pPr>
            <w:r>
              <w:rPr>
                <w:rFonts w:ascii="Gill Sans MT" w:hAnsi="Gill Sans MT"/>
                <w:b w:val="0"/>
                <w:bCs w:val="0"/>
              </w:rPr>
              <w:t>18: be on time for lectures</w:t>
            </w:r>
          </w:p>
        </w:tc>
        <w:tc>
          <w:tcPr>
            <w:tcW w:w="1210" w:type="dxa"/>
            <w:vAlign w:val="center"/>
          </w:tcPr>
          <w:p w14:paraId="0392F532" w14:textId="77777777" w:rsidR="00234B2E"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37D521DB" w14:textId="77777777" w:rsidR="00234B2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0680AC39" w14:textId="72C8F655" w:rsidR="00234B2E" w:rsidRDefault="009F3A02"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0.677</w:t>
            </w:r>
          </w:p>
        </w:tc>
        <w:tc>
          <w:tcPr>
            <w:tcW w:w="1209" w:type="dxa"/>
            <w:vAlign w:val="center"/>
          </w:tcPr>
          <w:p w14:paraId="115BBC22" w14:textId="77777777" w:rsidR="00234B2E"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074D2B63" w14:textId="77777777" w:rsidR="00234B2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36862FEF" w14:textId="73BF66E0" w:rsidR="00234B2E" w:rsidRDefault="009F3A02"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0.707</w:t>
            </w:r>
          </w:p>
        </w:tc>
      </w:tr>
      <w:tr w:rsidR="00234B2E" w:rsidRPr="008211B8" w14:paraId="449B4CE9" w14:textId="77777777" w:rsidTr="004601A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78494419" w14:textId="7444FD6D" w:rsidR="00234B2E" w:rsidRDefault="009F3A02" w:rsidP="004601AE">
            <w:pPr>
              <w:spacing w:before="0" w:after="0" w:line="240" w:lineRule="auto"/>
              <w:rPr>
                <w:rFonts w:ascii="Gill Sans MT" w:hAnsi="Gill Sans MT"/>
                <w:b w:val="0"/>
                <w:bCs w:val="0"/>
              </w:rPr>
            </w:pPr>
            <w:r>
              <w:rPr>
                <w:rFonts w:ascii="Gill Sans MT" w:hAnsi="Gill Sans MT"/>
                <w:b w:val="0"/>
                <w:bCs w:val="0"/>
              </w:rPr>
              <w:t>14: read recommended background material</w:t>
            </w:r>
          </w:p>
        </w:tc>
        <w:tc>
          <w:tcPr>
            <w:tcW w:w="1210" w:type="dxa"/>
            <w:vAlign w:val="center"/>
          </w:tcPr>
          <w:p w14:paraId="2DC66B58" w14:textId="2CE3E572" w:rsidR="00234B2E" w:rsidRDefault="009F3A02"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0.345</w:t>
            </w:r>
          </w:p>
        </w:tc>
        <w:tc>
          <w:tcPr>
            <w:tcW w:w="1209" w:type="dxa"/>
            <w:vAlign w:val="center"/>
          </w:tcPr>
          <w:p w14:paraId="3010D6FA" w14:textId="77777777" w:rsidR="00234B2E" w:rsidRPr="008211B8"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1113FDA7" w14:textId="40E33B72" w:rsidR="00234B2E" w:rsidRDefault="009F3A02"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0.579</w:t>
            </w:r>
          </w:p>
        </w:tc>
        <w:tc>
          <w:tcPr>
            <w:tcW w:w="1209" w:type="dxa"/>
            <w:vAlign w:val="center"/>
          </w:tcPr>
          <w:p w14:paraId="46F6B86C" w14:textId="686C5F60" w:rsidR="00234B2E" w:rsidRDefault="009F3A02"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020DEF64" w14:textId="2093D359" w:rsidR="00234B2E" w:rsidRPr="008211B8" w:rsidRDefault="009F3A02"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6BA56EDF" w14:textId="621FBF44" w:rsidR="00234B2E" w:rsidRDefault="009F3A02"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r>
      <w:tr w:rsidR="00234B2E" w:rsidRPr="008211B8" w14:paraId="064148C1" w14:textId="77777777" w:rsidTr="004601AE">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2C642929" w14:textId="7BF27F07" w:rsidR="00234B2E" w:rsidRDefault="009F3A02" w:rsidP="004601AE">
            <w:pPr>
              <w:spacing w:before="0" w:after="0" w:line="240" w:lineRule="auto"/>
              <w:rPr>
                <w:rFonts w:ascii="Gill Sans MT" w:hAnsi="Gill Sans MT"/>
                <w:b w:val="0"/>
                <w:bCs w:val="0"/>
              </w:rPr>
            </w:pPr>
            <w:r>
              <w:rPr>
                <w:rFonts w:ascii="Gill Sans MT" w:hAnsi="Gill Sans MT"/>
                <w:b w:val="0"/>
                <w:bCs w:val="0"/>
              </w:rPr>
              <w:t>21: plan appropriate revision schedules</w:t>
            </w:r>
          </w:p>
        </w:tc>
        <w:tc>
          <w:tcPr>
            <w:tcW w:w="1210" w:type="dxa"/>
            <w:vAlign w:val="center"/>
          </w:tcPr>
          <w:p w14:paraId="198BC637" w14:textId="2C89985D" w:rsidR="00234B2E" w:rsidRDefault="009F3A02"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0.529</w:t>
            </w:r>
          </w:p>
        </w:tc>
        <w:tc>
          <w:tcPr>
            <w:tcW w:w="1209" w:type="dxa"/>
            <w:vAlign w:val="center"/>
          </w:tcPr>
          <w:p w14:paraId="223FE7ED" w14:textId="77777777" w:rsidR="00234B2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08B12E91" w14:textId="7E0FC57F" w:rsidR="00234B2E" w:rsidRDefault="009F3A02"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0.535</w:t>
            </w:r>
          </w:p>
        </w:tc>
        <w:tc>
          <w:tcPr>
            <w:tcW w:w="1209" w:type="dxa"/>
            <w:vAlign w:val="center"/>
          </w:tcPr>
          <w:p w14:paraId="10541E63" w14:textId="1622CBB2" w:rsidR="00234B2E" w:rsidRDefault="009F3A02"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0.579</w:t>
            </w:r>
          </w:p>
        </w:tc>
        <w:tc>
          <w:tcPr>
            <w:tcW w:w="1209" w:type="dxa"/>
            <w:vAlign w:val="center"/>
          </w:tcPr>
          <w:p w14:paraId="061E67CD" w14:textId="77777777" w:rsidR="00234B2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5780E0EA" w14:textId="00BF9D0A" w:rsidR="00234B2E" w:rsidRDefault="009F3A02"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0.451</w:t>
            </w:r>
          </w:p>
        </w:tc>
      </w:tr>
      <w:tr w:rsidR="00234B2E" w:rsidRPr="008211B8" w14:paraId="1E30D90D" w14:textId="77777777" w:rsidTr="004601A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76177F92" w14:textId="668CB121" w:rsidR="00234B2E" w:rsidRDefault="009F3A02" w:rsidP="004601AE">
            <w:pPr>
              <w:spacing w:before="0" w:after="0" w:line="240" w:lineRule="auto"/>
              <w:rPr>
                <w:rFonts w:ascii="Gill Sans MT" w:hAnsi="Gill Sans MT"/>
                <w:b w:val="0"/>
                <w:bCs w:val="0"/>
              </w:rPr>
            </w:pPr>
            <w:r>
              <w:rPr>
                <w:rFonts w:ascii="Gill Sans MT" w:hAnsi="Gill Sans MT"/>
                <w:b w:val="0"/>
                <w:bCs w:val="0"/>
              </w:rPr>
              <w:t>19: make the most of university study opportunities</w:t>
            </w:r>
          </w:p>
        </w:tc>
        <w:tc>
          <w:tcPr>
            <w:tcW w:w="1210" w:type="dxa"/>
            <w:vAlign w:val="center"/>
          </w:tcPr>
          <w:p w14:paraId="7E860AFB" w14:textId="2E2B62A3" w:rsidR="00234B2E" w:rsidRDefault="009F3A02"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0.342</w:t>
            </w:r>
          </w:p>
        </w:tc>
        <w:tc>
          <w:tcPr>
            <w:tcW w:w="1209" w:type="dxa"/>
            <w:vAlign w:val="center"/>
          </w:tcPr>
          <w:p w14:paraId="776044A1" w14:textId="0DD1DC82" w:rsidR="00234B2E" w:rsidRPr="008211B8" w:rsidRDefault="009F3A02"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0.303</w:t>
            </w:r>
          </w:p>
        </w:tc>
        <w:tc>
          <w:tcPr>
            <w:tcW w:w="1209" w:type="dxa"/>
            <w:vAlign w:val="center"/>
          </w:tcPr>
          <w:p w14:paraId="4335C1A9" w14:textId="3F7CC838" w:rsidR="00234B2E" w:rsidRDefault="009F3A02"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0.529</w:t>
            </w:r>
          </w:p>
        </w:tc>
        <w:tc>
          <w:tcPr>
            <w:tcW w:w="1209" w:type="dxa"/>
            <w:vAlign w:val="center"/>
          </w:tcPr>
          <w:p w14:paraId="00533CE7" w14:textId="3119CF68" w:rsidR="00234B2E" w:rsidRDefault="009F3A02"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1454087E" w14:textId="46369210" w:rsidR="00234B2E" w:rsidRPr="008211B8" w:rsidRDefault="009F3A02"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76D68172" w14:textId="368E3C04" w:rsidR="00234B2E" w:rsidRDefault="009F3A02"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r>
      <w:tr w:rsidR="00234B2E" w:rsidRPr="008211B8" w14:paraId="75546255" w14:textId="77777777" w:rsidTr="004601AE">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691C0245" w14:textId="09AE78FC" w:rsidR="00234B2E" w:rsidRDefault="009F3A02" w:rsidP="004601AE">
            <w:pPr>
              <w:spacing w:before="0" w:after="0" w:line="240" w:lineRule="auto"/>
              <w:rPr>
                <w:rFonts w:ascii="Gill Sans MT" w:hAnsi="Gill Sans MT"/>
                <w:b w:val="0"/>
                <w:bCs w:val="0"/>
              </w:rPr>
            </w:pPr>
            <w:r>
              <w:rPr>
                <w:rFonts w:ascii="Gill Sans MT" w:hAnsi="Gill Sans MT"/>
                <w:b w:val="0"/>
                <w:bCs w:val="0"/>
              </w:rPr>
              <w:t>13: prepare thoroughly for tutorials</w:t>
            </w:r>
          </w:p>
        </w:tc>
        <w:tc>
          <w:tcPr>
            <w:tcW w:w="1210" w:type="dxa"/>
            <w:vAlign w:val="center"/>
          </w:tcPr>
          <w:p w14:paraId="72900760" w14:textId="171AF473" w:rsidR="00234B2E" w:rsidRDefault="009F3A02"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0.481</w:t>
            </w:r>
          </w:p>
        </w:tc>
        <w:tc>
          <w:tcPr>
            <w:tcW w:w="1209" w:type="dxa"/>
            <w:vAlign w:val="center"/>
          </w:tcPr>
          <w:p w14:paraId="1A77E6D0" w14:textId="77777777" w:rsidR="00234B2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04DE73A3" w14:textId="49622409" w:rsidR="00234B2E" w:rsidRDefault="009F3A02"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0.528</w:t>
            </w:r>
          </w:p>
        </w:tc>
        <w:tc>
          <w:tcPr>
            <w:tcW w:w="1209" w:type="dxa"/>
            <w:vAlign w:val="center"/>
          </w:tcPr>
          <w:p w14:paraId="6506DEEC" w14:textId="550D4D1A" w:rsidR="00234B2E" w:rsidRDefault="009F3A02"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53A2F21A" w14:textId="7A53C47F" w:rsidR="00234B2E" w:rsidRPr="008211B8" w:rsidRDefault="009F3A02"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2D2EBEA4" w14:textId="7AA6251C" w:rsidR="00234B2E" w:rsidRDefault="009F3A02"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r>
    </w:tbl>
    <w:p w14:paraId="6EC87506" w14:textId="263E4D83" w:rsidR="00937644" w:rsidRDefault="009F3A02" w:rsidP="003214C8">
      <w:pPr>
        <w:pStyle w:val="Tables"/>
        <w:jc w:val="right"/>
      </w:pPr>
      <w:bookmarkStart w:id="226" w:name="_Toc57033200"/>
      <w:r>
        <w:t xml:space="preserve">Table </w:t>
      </w:r>
      <w:r w:rsidR="00B23C90">
        <w:t>2</w:t>
      </w:r>
      <w:r w:rsidR="002652B3">
        <w:t>1</w:t>
      </w:r>
      <w:r>
        <w:t>:</w:t>
      </w:r>
      <w:r w:rsidR="003214C8">
        <w:tab/>
      </w:r>
      <w:r>
        <w:t>Rotated component matrix for ABC24 and ABC17 Scales (Sander &amp; Sanders) showing factor loadings, and which items were removed as redundant from the ABC24 Scale (x).</w:t>
      </w:r>
      <w:bookmarkEnd w:id="226"/>
    </w:p>
    <w:tbl>
      <w:tblPr>
        <w:tblStyle w:val="GridTable5Dark-Accent1"/>
        <w:tblW w:w="0" w:type="auto"/>
        <w:tblLook w:val="04A0" w:firstRow="1" w:lastRow="0" w:firstColumn="1" w:lastColumn="0" w:noHBand="0" w:noVBand="1"/>
      </w:tblPr>
      <w:tblGrid>
        <w:gridCol w:w="5953"/>
        <w:gridCol w:w="1210"/>
        <w:gridCol w:w="1209"/>
        <w:gridCol w:w="1209"/>
        <w:gridCol w:w="1209"/>
        <w:gridCol w:w="1209"/>
        <w:gridCol w:w="1209"/>
      </w:tblGrid>
      <w:tr w:rsidR="00937644" w:rsidRPr="008211B8" w14:paraId="657847D4" w14:textId="77777777" w:rsidTr="00937644">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1B3E643D" w14:textId="77777777" w:rsidR="00937644" w:rsidRPr="008211B8" w:rsidRDefault="00937644" w:rsidP="00937644">
            <w:pPr>
              <w:spacing w:before="0" w:after="0" w:line="240" w:lineRule="auto"/>
              <w:jc w:val="center"/>
              <w:rPr>
                <w:rFonts w:ascii="Gill Sans MT" w:hAnsi="Gill Sans MT"/>
                <w:b w:val="0"/>
                <w:bCs w:val="0"/>
              </w:rPr>
            </w:pPr>
            <w:r>
              <w:rPr>
                <w:rFonts w:ascii="Gill Sans MT" w:hAnsi="Gill Sans MT"/>
                <w:b w:val="0"/>
                <w:bCs w:val="0"/>
              </w:rPr>
              <w:lastRenderedPageBreak/>
              <w:t>ABC Scale Item</w:t>
            </w:r>
          </w:p>
        </w:tc>
        <w:tc>
          <w:tcPr>
            <w:tcW w:w="1210" w:type="dxa"/>
            <w:vAlign w:val="center"/>
          </w:tcPr>
          <w:p w14:paraId="439831C8" w14:textId="134A91D3" w:rsidR="00937644" w:rsidRPr="008211B8" w:rsidRDefault="00937644" w:rsidP="0093764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ABC21</w:t>
            </w:r>
            <w:r w:rsidR="00C92807">
              <w:rPr>
                <w:rFonts w:ascii="Gill Sans MT" w:hAnsi="Gill Sans MT"/>
                <w:b w:val="0"/>
                <w:bCs w:val="0"/>
              </w:rPr>
              <w:t xml:space="preserve">-L </w:t>
            </w:r>
            <w:r>
              <w:rPr>
                <w:rFonts w:ascii="Gill Sans MT" w:hAnsi="Gill Sans MT"/>
                <w:b w:val="0"/>
                <w:bCs w:val="0"/>
              </w:rPr>
              <w:t>Factor 1</w:t>
            </w:r>
          </w:p>
        </w:tc>
        <w:tc>
          <w:tcPr>
            <w:tcW w:w="1209" w:type="dxa"/>
            <w:vAlign w:val="center"/>
          </w:tcPr>
          <w:p w14:paraId="40BA9348" w14:textId="0083AC52" w:rsidR="00937644" w:rsidRPr="008211B8" w:rsidRDefault="00937644" w:rsidP="0093764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ABC</w:t>
            </w:r>
            <w:r w:rsidR="00C92807">
              <w:rPr>
                <w:rFonts w:ascii="Gill Sans MT" w:hAnsi="Gill Sans MT"/>
                <w:b w:val="0"/>
                <w:bCs w:val="0"/>
              </w:rPr>
              <w:t>21-L</w:t>
            </w:r>
            <w:r>
              <w:rPr>
                <w:rFonts w:ascii="Gill Sans MT" w:hAnsi="Gill Sans MT"/>
                <w:b w:val="0"/>
                <w:bCs w:val="0"/>
              </w:rPr>
              <w:t xml:space="preserve"> Factor 2</w:t>
            </w:r>
          </w:p>
        </w:tc>
        <w:tc>
          <w:tcPr>
            <w:tcW w:w="1209" w:type="dxa"/>
            <w:vAlign w:val="center"/>
          </w:tcPr>
          <w:p w14:paraId="50B111E3" w14:textId="1F47D065" w:rsidR="00937644" w:rsidRPr="008211B8" w:rsidRDefault="00937644" w:rsidP="0093764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ABC2</w:t>
            </w:r>
            <w:r w:rsidR="00C92807">
              <w:rPr>
                <w:rFonts w:ascii="Gill Sans MT" w:hAnsi="Gill Sans MT"/>
                <w:b w:val="0"/>
                <w:bCs w:val="0"/>
              </w:rPr>
              <w:t>1-L</w:t>
            </w:r>
            <w:r>
              <w:rPr>
                <w:rFonts w:ascii="Gill Sans MT" w:hAnsi="Gill Sans MT"/>
                <w:b w:val="0"/>
                <w:bCs w:val="0"/>
              </w:rPr>
              <w:t xml:space="preserve"> Factor 3</w:t>
            </w:r>
          </w:p>
        </w:tc>
        <w:tc>
          <w:tcPr>
            <w:tcW w:w="1209" w:type="dxa"/>
            <w:vAlign w:val="center"/>
          </w:tcPr>
          <w:p w14:paraId="34081E69" w14:textId="5EF6B6F7" w:rsidR="00937644" w:rsidRPr="008211B8" w:rsidRDefault="00937644" w:rsidP="0093764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ABC17</w:t>
            </w:r>
            <w:r w:rsidR="00C92807">
              <w:rPr>
                <w:rFonts w:ascii="Gill Sans MT" w:hAnsi="Gill Sans MT"/>
                <w:b w:val="0"/>
                <w:bCs w:val="0"/>
              </w:rPr>
              <w:t>-L</w:t>
            </w:r>
            <w:r>
              <w:rPr>
                <w:rFonts w:ascii="Gill Sans MT" w:hAnsi="Gill Sans MT"/>
                <w:b w:val="0"/>
                <w:bCs w:val="0"/>
              </w:rPr>
              <w:t xml:space="preserve"> Factor 1</w:t>
            </w:r>
          </w:p>
        </w:tc>
        <w:tc>
          <w:tcPr>
            <w:tcW w:w="1209" w:type="dxa"/>
            <w:vAlign w:val="center"/>
          </w:tcPr>
          <w:p w14:paraId="36838008" w14:textId="447E3FBF" w:rsidR="00937644" w:rsidRPr="008211B8" w:rsidRDefault="00C92807" w:rsidP="0093764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ABC17-L Factor 2</w:t>
            </w:r>
          </w:p>
        </w:tc>
        <w:tc>
          <w:tcPr>
            <w:tcW w:w="1209" w:type="dxa"/>
            <w:vAlign w:val="center"/>
          </w:tcPr>
          <w:p w14:paraId="6DD37D3C" w14:textId="10650C8E" w:rsidR="00937644" w:rsidRPr="008211B8" w:rsidRDefault="00937644" w:rsidP="0093764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ABC</w:t>
            </w:r>
            <w:r w:rsidR="00C92807">
              <w:rPr>
                <w:rFonts w:ascii="Gill Sans MT" w:hAnsi="Gill Sans MT"/>
                <w:b w:val="0"/>
                <w:bCs w:val="0"/>
              </w:rPr>
              <w:t>17-L</w:t>
            </w:r>
            <w:r>
              <w:rPr>
                <w:rFonts w:ascii="Gill Sans MT" w:hAnsi="Gill Sans MT"/>
                <w:b w:val="0"/>
                <w:bCs w:val="0"/>
              </w:rPr>
              <w:t xml:space="preserve"> Factor 3</w:t>
            </w:r>
          </w:p>
        </w:tc>
      </w:tr>
      <w:tr w:rsidR="00937644" w:rsidRPr="008211B8" w14:paraId="58C5CC73" w14:textId="77777777" w:rsidTr="009376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5268728C" w14:textId="77777777" w:rsidR="00937644" w:rsidRPr="008211B8" w:rsidRDefault="00937644" w:rsidP="00937644">
            <w:pPr>
              <w:spacing w:before="0" w:after="0" w:line="240" w:lineRule="auto"/>
              <w:rPr>
                <w:rFonts w:ascii="Gill Sans MT" w:hAnsi="Gill Sans MT"/>
                <w:b w:val="0"/>
                <w:bCs w:val="0"/>
              </w:rPr>
            </w:pPr>
            <w:r>
              <w:rPr>
                <w:rFonts w:ascii="Gill Sans MT" w:hAnsi="Gill Sans MT"/>
                <w:b w:val="0"/>
                <w:bCs w:val="0"/>
              </w:rPr>
              <w:t>15: produce coursework at the required standard</w:t>
            </w:r>
          </w:p>
        </w:tc>
        <w:tc>
          <w:tcPr>
            <w:tcW w:w="1210" w:type="dxa"/>
            <w:vAlign w:val="center"/>
          </w:tcPr>
          <w:p w14:paraId="0BFF393B" w14:textId="7E384216"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59435424" w14:textId="4F4C4359"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06FFBC67" w14:textId="3BC099C1"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1BEB6E4C" w14:textId="66D75495"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31F319E6" w14:textId="6DD4BF4D"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5635608C" w14:textId="15BBF1C0"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r>
      <w:tr w:rsidR="00937644" w:rsidRPr="008211B8" w14:paraId="3D1BFEE9" w14:textId="77777777" w:rsidTr="00937644">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37413FB4" w14:textId="77777777" w:rsidR="00937644" w:rsidRPr="008211B8" w:rsidRDefault="00937644" w:rsidP="00937644">
            <w:pPr>
              <w:spacing w:before="0" w:after="0" w:line="240" w:lineRule="auto"/>
              <w:rPr>
                <w:rFonts w:ascii="Gill Sans MT" w:hAnsi="Gill Sans MT"/>
                <w:b w:val="0"/>
                <w:bCs w:val="0"/>
              </w:rPr>
            </w:pPr>
            <w:r>
              <w:rPr>
                <w:rFonts w:ascii="Gill Sans MT" w:hAnsi="Gill Sans MT"/>
                <w:b w:val="0"/>
                <w:bCs w:val="0"/>
              </w:rPr>
              <w:t>07: attain good grades</w:t>
            </w:r>
          </w:p>
        </w:tc>
        <w:tc>
          <w:tcPr>
            <w:tcW w:w="1210" w:type="dxa"/>
            <w:vAlign w:val="center"/>
          </w:tcPr>
          <w:p w14:paraId="5D35B3C1" w14:textId="607784F5"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0.812</w:t>
            </w:r>
          </w:p>
        </w:tc>
        <w:tc>
          <w:tcPr>
            <w:tcW w:w="1209" w:type="dxa"/>
            <w:vAlign w:val="center"/>
          </w:tcPr>
          <w:p w14:paraId="703DEB5F" w14:textId="77777777"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127B89CF" w14:textId="77777777"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28628C10" w14:textId="12097177"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0.789</w:t>
            </w:r>
          </w:p>
        </w:tc>
        <w:tc>
          <w:tcPr>
            <w:tcW w:w="1209" w:type="dxa"/>
            <w:vAlign w:val="center"/>
          </w:tcPr>
          <w:p w14:paraId="67A40EB0" w14:textId="77777777"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1BD45DB7" w14:textId="77777777"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937644" w:rsidRPr="008211B8" w14:paraId="04738729" w14:textId="77777777" w:rsidTr="009376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760F0AC8" w14:textId="77777777" w:rsidR="00937644" w:rsidRPr="008211B8" w:rsidRDefault="00937644" w:rsidP="00937644">
            <w:pPr>
              <w:spacing w:before="0" w:after="0" w:line="240" w:lineRule="auto"/>
              <w:rPr>
                <w:rFonts w:ascii="Gill Sans MT" w:hAnsi="Gill Sans MT"/>
                <w:b w:val="0"/>
                <w:bCs w:val="0"/>
              </w:rPr>
            </w:pPr>
            <w:r>
              <w:rPr>
                <w:rFonts w:ascii="Gill Sans MT" w:hAnsi="Gill Sans MT"/>
                <w:b w:val="0"/>
                <w:bCs w:val="0"/>
              </w:rPr>
              <w:t>16: write in an appropriate styles</w:t>
            </w:r>
          </w:p>
        </w:tc>
        <w:tc>
          <w:tcPr>
            <w:tcW w:w="1210" w:type="dxa"/>
            <w:vAlign w:val="center"/>
          </w:tcPr>
          <w:p w14:paraId="3A1D8834" w14:textId="2CD5E52A"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0.733</w:t>
            </w:r>
          </w:p>
        </w:tc>
        <w:tc>
          <w:tcPr>
            <w:tcW w:w="1209" w:type="dxa"/>
            <w:vAlign w:val="center"/>
          </w:tcPr>
          <w:p w14:paraId="19FEFBF3" w14:textId="77777777"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66145093" w14:textId="77777777"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3463F331" w14:textId="1B6122B2"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0.718</w:t>
            </w:r>
          </w:p>
        </w:tc>
        <w:tc>
          <w:tcPr>
            <w:tcW w:w="1209" w:type="dxa"/>
            <w:vAlign w:val="center"/>
          </w:tcPr>
          <w:p w14:paraId="797565D4" w14:textId="77777777"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27D07DB6" w14:textId="77777777"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937644" w:rsidRPr="008211B8" w14:paraId="35BA135C" w14:textId="77777777" w:rsidTr="00937644">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5F14F3C7" w14:textId="77777777" w:rsidR="00937644" w:rsidRPr="008211B8" w:rsidRDefault="00937644" w:rsidP="00937644">
            <w:pPr>
              <w:spacing w:before="0" w:after="0" w:line="240" w:lineRule="auto"/>
              <w:rPr>
                <w:rFonts w:ascii="Gill Sans MT" w:hAnsi="Gill Sans MT"/>
                <w:b w:val="0"/>
                <w:bCs w:val="0"/>
              </w:rPr>
            </w:pPr>
            <w:r>
              <w:rPr>
                <w:rFonts w:ascii="Gill Sans MT" w:hAnsi="Gill Sans MT"/>
                <w:b w:val="0"/>
                <w:bCs w:val="0"/>
              </w:rPr>
              <w:t>20: pass assessment at the first attempt</w:t>
            </w:r>
          </w:p>
        </w:tc>
        <w:tc>
          <w:tcPr>
            <w:tcW w:w="1210" w:type="dxa"/>
            <w:vAlign w:val="center"/>
          </w:tcPr>
          <w:p w14:paraId="41D908DD" w14:textId="7548E82D"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0.709</w:t>
            </w:r>
          </w:p>
        </w:tc>
        <w:tc>
          <w:tcPr>
            <w:tcW w:w="1209" w:type="dxa"/>
            <w:vAlign w:val="center"/>
          </w:tcPr>
          <w:p w14:paraId="3E35CB85" w14:textId="77777777"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30CD80DD" w14:textId="77777777"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56D56611" w14:textId="787CB8B7"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53B97477" w14:textId="63C72B35"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0CB5CE5A" w14:textId="6AD16B4A"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r>
      <w:tr w:rsidR="00937644" w:rsidRPr="008211B8" w14:paraId="6667C283" w14:textId="77777777" w:rsidTr="009376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3E8580E5" w14:textId="77777777" w:rsidR="00937644" w:rsidRPr="008211B8" w:rsidRDefault="00937644" w:rsidP="00937644">
            <w:pPr>
              <w:spacing w:before="0" w:after="0" w:line="240" w:lineRule="auto"/>
              <w:rPr>
                <w:rFonts w:ascii="Gill Sans MT" w:hAnsi="Gill Sans MT"/>
                <w:b w:val="0"/>
                <w:bCs w:val="0"/>
              </w:rPr>
            </w:pPr>
            <w:r>
              <w:rPr>
                <w:rFonts w:ascii="Gill Sans MT" w:hAnsi="Gill Sans MT"/>
                <w:b w:val="0"/>
                <w:bCs w:val="0"/>
              </w:rPr>
              <w:t>23: produce best work in coursework assignments</w:t>
            </w:r>
          </w:p>
        </w:tc>
        <w:tc>
          <w:tcPr>
            <w:tcW w:w="1210" w:type="dxa"/>
            <w:vAlign w:val="center"/>
          </w:tcPr>
          <w:p w14:paraId="22AEAE2E" w14:textId="65CC0882"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0.682</w:t>
            </w:r>
          </w:p>
        </w:tc>
        <w:tc>
          <w:tcPr>
            <w:tcW w:w="1209" w:type="dxa"/>
            <w:vAlign w:val="center"/>
          </w:tcPr>
          <w:p w14:paraId="225CDE26" w14:textId="77777777"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5FC31D90" w14:textId="69DA3C36"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0.311</w:t>
            </w:r>
          </w:p>
        </w:tc>
        <w:tc>
          <w:tcPr>
            <w:tcW w:w="1209" w:type="dxa"/>
            <w:vAlign w:val="center"/>
          </w:tcPr>
          <w:p w14:paraId="5B51FB45" w14:textId="3AB80606"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0.676</w:t>
            </w:r>
          </w:p>
        </w:tc>
        <w:tc>
          <w:tcPr>
            <w:tcW w:w="1209" w:type="dxa"/>
            <w:vAlign w:val="center"/>
          </w:tcPr>
          <w:p w14:paraId="73217DB9" w14:textId="77777777"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66E1257B" w14:textId="77777777"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937644" w:rsidRPr="008211B8" w14:paraId="7EF1396F" w14:textId="77777777" w:rsidTr="00937644">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359E0BD5" w14:textId="77777777" w:rsidR="00937644" w:rsidRPr="008211B8" w:rsidRDefault="00937644" w:rsidP="00937644">
            <w:pPr>
              <w:spacing w:before="0" w:after="0" w:line="240" w:lineRule="auto"/>
              <w:rPr>
                <w:rFonts w:ascii="Gill Sans MT" w:hAnsi="Gill Sans MT"/>
                <w:b w:val="0"/>
                <w:bCs w:val="0"/>
              </w:rPr>
            </w:pPr>
            <w:r>
              <w:rPr>
                <w:rFonts w:ascii="Gill Sans MT" w:hAnsi="Gill Sans MT"/>
                <w:b w:val="0"/>
                <w:bCs w:val="0"/>
              </w:rPr>
              <w:t>01: study effectively in independent study</w:t>
            </w:r>
          </w:p>
        </w:tc>
        <w:tc>
          <w:tcPr>
            <w:tcW w:w="1210" w:type="dxa"/>
            <w:vAlign w:val="center"/>
          </w:tcPr>
          <w:p w14:paraId="0B38C7F8" w14:textId="1CC4DF8A"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0.630</w:t>
            </w:r>
          </w:p>
        </w:tc>
        <w:tc>
          <w:tcPr>
            <w:tcW w:w="1209" w:type="dxa"/>
            <w:vAlign w:val="center"/>
          </w:tcPr>
          <w:p w14:paraId="1C5C238D" w14:textId="77777777"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15CCA361" w14:textId="7FA699BF"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0.311</w:t>
            </w:r>
          </w:p>
        </w:tc>
        <w:tc>
          <w:tcPr>
            <w:tcW w:w="1209" w:type="dxa"/>
            <w:vAlign w:val="center"/>
          </w:tcPr>
          <w:p w14:paraId="66A47AD5" w14:textId="101C76AB"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0.709</w:t>
            </w:r>
          </w:p>
        </w:tc>
        <w:tc>
          <w:tcPr>
            <w:tcW w:w="1209" w:type="dxa"/>
            <w:vAlign w:val="center"/>
          </w:tcPr>
          <w:p w14:paraId="4F0918DE" w14:textId="77777777"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2B0BCE2C" w14:textId="149CE091"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937644" w:rsidRPr="008211B8" w14:paraId="11876F75" w14:textId="77777777" w:rsidTr="009376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07355429" w14:textId="77777777" w:rsidR="00937644" w:rsidRPr="008211B8" w:rsidRDefault="00937644" w:rsidP="00937644">
            <w:pPr>
              <w:spacing w:before="0" w:after="0" w:line="240" w:lineRule="auto"/>
              <w:rPr>
                <w:rFonts w:ascii="Gill Sans MT" w:hAnsi="Gill Sans MT"/>
                <w:b w:val="0"/>
                <w:bCs w:val="0"/>
              </w:rPr>
            </w:pPr>
            <w:r>
              <w:rPr>
                <w:rFonts w:ascii="Gill Sans MT" w:hAnsi="Gill Sans MT"/>
                <w:b w:val="0"/>
                <w:bCs w:val="0"/>
              </w:rPr>
              <w:t>04: manage workload to meet deadlines</w:t>
            </w:r>
          </w:p>
        </w:tc>
        <w:tc>
          <w:tcPr>
            <w:tcW w:w="1210" w:type="dxa"/>
            <w:vAlign w:val="center"/>
          </w:tcPr>
          <w:p w14:paraId="23EA4DB0" w14:textId="2105FA78"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0.564</w:t>
            </w:r>
          </w:p>
        </w:tc>
        <w:tc>
          <w:tcPr>
            <w:tcW w:w="1209" w:type="dxa"/>
            <w:vAlign w:val="center"/>
          </w:tcPr>
          <w:p w14:paraId="6EB31387" w14:textId="77777777"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670123E4" w14:textId="0E3C1C5E"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0.436</w:t>
            </w:r>
          </w:p>
        </w:tc>
        <w:tc>
          <w:tcPr>
            <w:tcW w:w="1209" w:type="dxa"/>
            <w:vAlign w:val="center"/>
          </w:tcPr>
          <w:p w14:paraId="31CAD9CA" w14:textId="2F0147A1"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4E11ECCE" w14:textId="5F25A63B"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20B66D2F" w14:textId="42670EDC"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r>
      <w:tr w:rsidR="00937644" w:rsidRPr="008211B8" w14:paraId="79536ADB" w14:textId="77777777" w:rsidTr="00937644">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13CB84A4" w14:textId="77777777" w:rsidR="00937644" w:rsidRPr="008211B8" w:rsidRDefault="00937644" w:rsidP="00937644">
            <w:pPr>
              <w:spacing w:before="0" w:after="0" w:line="240" w:lineRule="auto"/>
              <w:rPr>
                <w:rFonts w:ascii="Gill Sans MT" w:hAnsi="Gill Sans MT"/>
                <w:b w:val="0"/>
                <w:bCs w:val="0"/>
              </w:rPr>
            </w:pPr>
            <w:r>
              <w:rPr>
                <w:rFonts w:ascii="Gill Sans MT" w:hAnsi="Gill Sans MT"/>
                <w:b w:val="0"/>
                <w:bCs w:val="0"/>
              </w:rPr>
              <w:t>22: remain adequately motivated throughout university</w:t>
            </w:r>
          </w:p>
        </w:tc>
        <w:tc>
          <w:tcPr>
            <w:tcW w:w="1210" w:type="dxa"/>
            <w:vAlign w:val="center"/>
          </w:tcPr>
          <w:p w14:paraId="01AC56B5" w14:textId="2390742F"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0.581</w:t>
            </w:r>
          </w:p>
        </w:tc>
        <w:tc>
          <w:tcPr>
            <w:tcW w:w="1209" w:type="dxa"/>
            <w:vAlign w:val="center"/>
          </w:tcPr>
          <w:p w14:paraId="4B870A09" w14:textId="77777777"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1698E287" w14:textId="1934C65D"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0.340</w:t>
            </w:r>
          </w:p>
        </w:tc>
        <w:tc>
          <w:tcPr>
            <w:tcW w:w="1209" w:type="dxa"/>
            <w:vAlign w:val="center"/>
          </w:tcPr>
          <w:p w14:paraId="023704B4" w14:textId="06B1D735"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13BC0E96" w14:textId="6F99B217"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308855E1" w14:textId="76521224"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r>
      <w:tr w:rsidR="00937644" w:rsidRPr="008211B8" w14:paraId="185F1AE6" w14:textId="77777777" w:rsidTr="009376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103756C3" w14:textId="77777777" w:rsidR="00937644" w:rsidRDefault="00937644" w:rsidP="00937644">
            <w:pPr>
              <w:spacing w:before="0" w:after="0" w:line="240" w:lineRule="auto"/>
              <w:rPr>
                <w:rFonts w:ascii="Gill Sans MT" w:hAnsi="Gill Sans MT"/>
                <w:b w:val="0"/>
                <w:bCs w:val="0"/>
              </w:rPr>
            </w:pPr>
            <w:r>
              <w:rPr>
                <w:rFonts w:ascii="Gill Sans MT" w:hAnsi="Gill Sans MT"/>
                <w:b w:val="0"/>
                <w:bCs w:val="0"/>
              </w:rPr>
              <w:t>10: ask lecturers questions during a lecture</w:t>
            </w:r>
          </w:p>
        </w:tc>
        <w:tc>
          <w:tcPr>
            <w:tcW w:w="1210" w:type="dxa"/>
            <w:vAlign w:val="center"/>
          </w:tcPr>
          <w:p w14:paraId="36082C6A" w14:textId="77C5F128"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729CB379" w14:textId="7FC193AC"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009E286A" w14:textId="404B2F56"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4E811CEF" w14:textId="1F63C7D7"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4A3FE008" w14:textId="51F65587"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0F8264BB" w14:textId="723BEE63"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r>
      <w:tr w:rsidR="00937644" w:rsidRPr="008211B8" w14:paraId="76F55F11" w14:textId="77777777" w:rsidTr="00937644">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1397AF8A" w14:textId="77777777" w:rsidR="00937644" w:rsidRDefault="00937644" w:rsidP="00937644">
            <w:pPr>
              <w:spacing w:before="0" w:after="0" w:line="240" w:lineRule="auto"/>
              <w:rPr>
                <w:rFonts w:ascii="Gill Sans MT" w:hAnsi="Gill Sans MT"/>
                <w:b w:val="0"/>
                <w:bCs w:val="0"/>
              </w:rPr>
            </w:pPr>
            <w:r>
              <w:rPr>
                <w:rFonts w:ascii="Gill Sans MT" w:hAnsi="Gill Sans MT"/>
                <w:b w:val="0"/>
                <w:bCs w:val="0"/>
              </w:rPr>
              <w:t>03: respond to lecturers questions in a full lecture theatre</w:t>
            </w:r>
          </w:p>
        </w:tc>
        <w:tc>
          <w:tcPr>
            <w:tcW w:w="1210" w:type="dxa"/>
            <w:vAlign w:val="center"/>
          </w:tcPr>
          <w:p w14:paraId="3D360DA3" w14:textId="77777777"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5DB5EB26" w14:textId="2051659A"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0.763</w:t>
            </w:r>
          </w:p>
        </w:tc>
        <w:tc>
          <w:tcPr>
            <w:tcW w:w="1209" w:type="dxa"/>
            <w:vAlign w:val="center"/>
          </w:tcPr>
          <w:p w14:paraId="270AEED7" w14:textId="77777777"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6979865E" w14:textId="0C0713DC"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7624C34C" w14:textId="069199AB"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7B65442D" w14:textId="1AC0F82F"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r>
      <w:tr w:rsidR="00937644" w:rsidRPr="008211B8" w14:paraId="44DED0BE" w14:textId="77777777" w:rsidTr="009376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3E4CFE98" w14:textId="77777777" w:rsidR="00937644" w:rsidRDefault="00937644" w:rsidP="00937644">
            <w:pPr>
              <w:spacing w:before="0" w:after="0" w:line="240" w:lineRule="auto"/>
              <w:rPr>
                <w:rFonts w:ascii="Gill Sans MT" w:hAnsi="Gill Sans MT"/>
                <w:b w:val="0"/>
                <w:bCs w:val="0"/>
              </w:rPr>
            </w:pPr>
            <w:r>
              <w:rPr>
                <w:rFonts w:ascii="Gill Sans MT" w:hAnsi="Gill Sans MT"/>
                <w:b w:val="0"/>
                <w:bCs w:val="0"/>
              </w:rPr>
              <w:t>12: follow themes and debates in lectures</w:t>
            </w:r>
          </w:p>
        </w:tc>
        <w:tc>
          <w:tcPr>
            <w:tcW w:w="1210" w:type="dxa"/>
            <w:vAlign w:val="center"/>
          </w:tcPr>
          <w:p w14:paraId="2ACFEAF5" w14:textId="77777777"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05757566" w14:textId="2F5D2437"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0.742</w:t>
            </w:r>
          </w:p>
        </w:tc>
        <w:tc>
          <w:tcPr>
            <w:tcW w:w="1209" w:type="dxa"/>
            <w:vAlign w:val="center"/>
          </w:tcPr>
          <w:p w14:paraId="06258CF8" w14:textId="77777777"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699DC16F" w14:textId="0516D282"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6412BA21" w14:textId="7F1E6D13"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0.718</w:t>
            </w:r>
          </w:p>
        </w:tc>
        <w:tc>
          <w:tcPr>
            <w:tcW w:w="1209" w:type="dxa"/>
            <w:vAlign w:val="center"/>
          </w:tcPr>
          <w:p w14:paraId="3D7B7907" w14:textId="2EBF93A0"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937644" w:rsidRPr="008211B8" w14:paraId="66D7F5C3" w14:textId="77777777" w:rsidTr="00937644">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32FAE2A4" w14:textId="77777777" w:rsidR="00937644" w:rsidRDefault="00937644" w:rsidP="00937644">
            <w:pPr>
              <w:spacing w:before="0" w:after="0" w:line="240" w:lineRule="auto"/>
              <w:rPr>
                <w:rFonts w:ascii="Gill Sans MT" w:hAnsi="Gill Sans MT"/>
                <w:b w:val="0"/>
                <w:bCs w:val="0"/>
              </w:rPr>
            </w:pPr>
            <w:r>
              <w:rPr>
                <w:rFonts w:ascii="Gill Sans MT" w:hAnsi="Gill Sans MT"/>
                <w:b w:val="0"/>
                <w:bCs w:val="0"/>
              </w:rPr>
              <w:t>05: present to a small group of peers</w:t>
            </w:r>
          </w:p>
        </w:tc>
        <w:tc>
          <w:tcPr>
            <w:tcW w:w="1210" w:type="dxa"/>
            <w:vAlign w:val="center"/>
          </w:tcPr>
          <w:p w14:paraId="5DD56A58" w14:textId="77777777"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5F5D97B8" w14:textId="47F4356C"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0.638</w:t>
            </w:r>
          </w:p>
        </w:tc>
        <w:tc>
          <w:tcPr>
            <w:tcW w:w="1209" w:type="dxa"/>
            <w:vAlign w:val="center"/>
          </w:tcPr>
          <w:p w14:paraId="2492614F" w14:textId="77777777"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1EABEA05" w14:textId="77777777"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443D7EE2" w14:textId="17C48B46"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0.653</w:t>
            </w:r>
          </w:p>
        </w:tc>
        <w:tc>
          <w:tcPr>
            <w:tcW w:w="1209" w:type="dxa"/>
            <w:vAlign w:val="center"/>
          </w:tcPr>
          <w:p w14:paraId="06397F5E" w14:textId="77777777"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937644" w:rsidRPr="008211B8" w14:paraId="0B631863" w14:textId="77777777" w:rsidTr="009376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05FC3806" w14:textId="77777777" w:rsidR="00937644" w:rsidRDefault="00937644" w:rsidP="00937644">
            <w:pPr>
              <w:spacing w:before="0" w:after="0" w:line="240" w:lineRule="auto"/>
              <w:rPr>
                <w:rFonts w:ascii="Gill Sans MT" w:hAnsi="Gill Sans MT"/>
                <w:b w:val="0"/>
                <w:bCs w:val="0"/>
              </w:rPr>
            </w:pPr>
            <w:r>
              <w:rPr>
                <w:rFonts w:ascii="Gill Sans MT" w:hAnsi="Gill Sans MT"/>
                <w:b w:val="0"/>
                <w:bCs w:val="0"/>
              </w:rPr>
              <w:t>08: debate academically with peers</w:t>
            </w:r>
          </w:p>
        </w:tc>
        <w:tc>
          <w:tcPr>
            <w:tcW w:w="1210" w:type="dxa"/>
            <w:vAlign w:val="center"/>
          </w:tcPr>
          <w:p w14:paraId="37FDED29" w14:textId="77777777"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23801377" w14:textId="437BBA25"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0.638</w:t>
            </w:r>
          </w:p>
        </w:tc>
        <w:tc>
          <w:tcPr>
            <w:tcW w:w="1209" w:type="dxa"/>
            <w:vAlign w:val="center"/>
          </w:tcPr>
          <w:p w14:paraId="03778058" w14:textId="77777777"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1A8367B8" w14:textId="77777777"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3E2EB6B7" w14:textId="41EE1B76"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0.726</w:t>
            </w:r>
          </w:p>
        </w:tc>
        <w:tc>
          <w:tcPr>
            <w:tcW w:w="1209" w:type="dxa"/>
            <w:vAlign w:val="center"/>
          </w:tcPr>
          <w:p w14:paraId="21245F27" w14:textId="77777777"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937644" w:rsidRPr="008211B8" w14:paraId="6C3AC739" w14:textId="77777777" w:rsidTr="00937644">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73AB50CC" w14:textId="77777777" w:rsidR="00937644" w:rsidRDefault="00937644" w:rsidP="00937644">
            <w:pPr>
              <w:spacing w:before="0" w:after="0" w:line="240" w:lineRule="auto"/>
              <w:rPr>
                <w:rFonts w:ascii="Gill Sans MT" w:hAnsi="Gill Sans MT"/>
                <w:b w:val="0"/>
                <w:bCs w:val="0"/>
              </w:rPr>
            </w:pPr>
            <w:r>
              <w:rPr>
                <w:rFonts w:ascii="Gill Sans MT" w:hAnsi="Gill Sans MT"/>
                <w:b w:val="0"/>
                <w:bCs w:val="0"/>
              </w:rPr>
              <w:t>11: understand material discussed with lecturers</w:t>
            </w:r>
          </w:p>
        </w:tc>
        <w:tc>
          <w:tcPr>
            <w:tcW w:w="1210" w:type="dxa"/>
            <w:vAlign w:val="center"/>
          </w:tcPr>
          <w:p w14:paraId="0E47A337" w14:textId="77777777"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6D4D2741" w14:textId="7EC53068"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0.604</w:t>
            </w:r>
          </w:p>
        </w:tc>
        <w:tc>
          <w:tcPr>
            <w:tcW w:w="1209" w:type="dxa"/>
            <w:vAlign w:val="center"/>
          </w:tcPr>
          <w:p w14:paraId="43E7E43F" w14:textId="77777777"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322C13A3" w14:textId="66A04E1D"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5FFA2A61" w14:textId="2EE19CFB"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1B38C719" w14:textId="205018FC"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r>
      <w:tr w:rsidR="00937644" w:rsidRPr="008211B8" w14:paraId="19162E60" w14:textId="77777777" w:rsidTr="009376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25F9B7F1" w14:textId="77777777" w:rsidR="00937644" w:rsidRDefault="00937644" w:rsidP="00937644">
            <w:pPr>
              <w:spacing w:before="0" w:after="0" w:line="240" w:lineRule="auto"/>
              <w:rPr>
                <w:rFonts w:ascii="Gill Sans MT" w:hAnsi="Gill Sans MT"/>
                <w:b w:val="0"/>
                <w:bCs w:val="0"/>
              </w:rPr>
            </w:pPr>
            <w:r>
              <w:rPr>
                <w:rFonts w:ascii="Gill Sans MT" w:hAnsi="Gill Sans MT"/>
                <w:b w:val="0"/>
                <w:bCs w:val="0"/>
              </w:rPr>
              <w:t>09: ask lecturers questions in one-to-one settings</w:t>
            </w:r>
          </w:p>
        </w:tc>
        <w:tc>
          <w:tcPr>
            <w:tcW w:w="1210" w:type="dxa"/>
            <w:vAlign w:val="center"/>
          </w:tcPr>
          <w:p w14:paraId="7812511E" w14:textId="77777777"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71BEF16B" w14:textId="66AA40E0"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0.539</w:t>
            </w:r>
          </w:p>
        </w:tc>
        <w:tc>
          <w:tcPr>
            <w:tcW w:w="1209" w:type="dxa"/>
            <w:vAlign w:val="center"/>
          </w:tcPr>
          <w:p w14:paraId="45408A16" w14:textId="77777777"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57FE3D57" w14:textId="435C3AA8"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4F841A28" w14:textId="0FD1C42D"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0.611</w:t>
            </w:r>
          </w:p>
        </w:tc>
        <w:tc>
          <w:tcPr>
            <w:tcW w:w="1209" w:type="dxa"/>
            <w:vAlign w:val="center"/>
          </w:tcPr>
          <w:p w14:paraId="19EC4B6C" w14:textId="0FFD5354"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937644" w:rsidRPr="008211B8" w14:paraId="2BE38200" w14:textId="77777777" w:rsidTr="00937644">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02FDDEF0" w14:textId="77777777" w:rsidR="00937644" w:rsidRDefault="00937644" w:rsidP="00937644">
            <w:pPr>
              <w:spacing w:before="0" w:after="0" w:line="240" w:lineRule="auto"/>
              <w:rPr>
                <w:rFonts w:ascii="Gill Sans MT" w:hAnsi="Gill Sans MT"/>
                <w:b w:val="0"/>
                <w:bCs w:val="0"/>
              </w:rPr>
            </w:pPr>
            <w:r>
              <w:rPr>
                <w:rFonts w:ascii="Gill Sans MT" w:hAnsi="Gill Sans MT"/>
                <w:b w:val="0"/>
                <w:bCs w:val="0"/>
              </w:rPr>
              <w:t>17: ask for help if you need it</w:t>
            </w:r>
          </w:p>
        </w:tc>
        <w:tc>
          <w:tcPr>
            <w:tcW w:w="1210" w:type="dxa"/>
            <w:vAlign w:val="center"/>
          </w:tcPr>
          <w:p w14:paraId="605E4A4B" w14:textId="161BBA99"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0.370</w:t>
            </w:r>
          </w:p>
        </w:tc>
        <w:tc>
          <w:tcPr>
            <w:tcW w:w="1209" w:type="dxa"/>
            <w:vAlign w:val="center"/>
          </w:tcPr>
          <w:p w14:paraId="1C55066D" w14:textId="5B87B56F"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0.421</w:t>
            </w:r>
          </w:p>
        </w:tc>
        <w:tc>
          <w:tcPr>
            <w:tcW w:w="1209" w:type="dxa"/>
            <w:vAlign w:val="center"/>
          </w:tcPr>
          <w:p w14:paraId="04E452A7" w14:textId="77777777"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464375FB" w14:textId="761C7045"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0.386</w:t>
            </w:r>
          </w:p>
        </w:tc>
        <w:tc>
          <w:tcPr>
            <w:tcW w:w="1209" w:type="dxa"/>
            <w:vAlign w:val="center"/>
          </w:tcPr>
          <w:p w14:paraId="2512098F" w14:textId="35869271"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0.467</w:t>
            </w:r>
          </w:p>
        </w:tc>
        <w:tc>
          <w:tcPr>
            <w:tcW w:w="1209" w:type="dxa"/>
            <w:vAlign w:val="center"/>
          </w:tcPr>
          <w:p w14:paraId="40057197" w14:textId="36482F91"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937644" w:rsidRPr="008211B8" w14:paraId="01EF12BD" w14:textId="77777777" w:rsidTr="009376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51FF132A" w14:textId="77777777" w:rsidR="00937644" w:rsidRDefault="00937644" w:rsidP="00937644">
            <w:pPr>
              <w:spacing w:before="0" w:after="0" w:line="240" w:lineRule="auto"/>
              <w:rPr>
                <w:rFonts w:ascii="Gill Sans MT" w:hAnsi="Gill Sans MT"/>
                <w:b w:val="0"/>
                <w:bCs w:val="0"/>
              </w:rPr>
            </w:pPr>
            <w:r>
              <w:rPr>
                <w:rFonts w:ascii="Gill Sans MT" w:hAnsi="Gill Sans MT"/>
                <w:b w:val="0"/>
                <w:bCs w:val="0"/>
              </w:rPr>
              <w:t>02: produce best work in exams</w:t>
            </w:r>
          </w:p>
        </w:tc>
        <w:tc>
          <w:tcPr>
            <w:tcW w:w="1210" w:type="dxa"/>
            <w:vAlign w:val="center"/>
          </w:tcPr>
          <w:p w14:paraId="418F11F1" w14:textId="6DC2390A"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0.337</w:t>
            </w:r>
          </w:p>
        </w:tc>
        <w:tc>
          <w:tcPr>
            <w:tcW w:w="1209" w:type="dxa"/>
            <w:vAlign w:val="center"/>
          </w:tcPr>
          <w:p w14:paraId="28B022AB" w14:textId="38D2DA22"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0.484</w:t>
            </w:r>
          </w:p>
        </w:tc>
        <w:tc>
          <w:tcPr>
            <w:tcW w:w="1209" w:type="dxa"/>
            <w:vAlign w:val="center"/>
          </w:tcPr>
          <w:p w14:paraId="082EC4FA" w14:textId="77777777"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05476FE8" w14:textId="7C64F3EB"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0.432</w:t>
            </w:r>
          </w:p>
        </w:tc>
        <w:tc>
          <w:tcPr>
            <w:tcW w:w="1209" w:type="dxa"/>
            <w:vAlign w:val="center"/>
          </w:tcPr>
          <w:p w14:paraId="209CDCE4" w14:textId="375F6620"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0.357</w:t>
            </w:r>
          </w:p>
        </w:tc>
        <w:tc>
          <w:tcPr>
            <w:tcW w:w="1209" w:type="dxa"/>
            <w:vAlign w:val="center"/>
          </w:tcPr>
          <w:p w14:paraId="3CD2E6DA" w14:textId="77777777"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937644" w:rsidRPr="008211B8" w14:paraId="7849286B" w14:textId="77777777" w:rsidTr="00937644">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4BAE9275" w14:textId="77777777" w:rsidR="00937644" w:rsidRDefault="00937644" w:rsidP="00937644">
            <w:pPr>
              <w:spacing w:before="0" w:after="0" w:line="240" w:lineRule="auto"/>
              <w:rPr>
                <w:rFonts w:ascii="Gill Sans MT" w:hAnsi="Gill Sans MT"/>
                <w:b w:val="0"/>
                <w:bCs w:val="0"/>
              </w:rPr>
            </w:pPr>
            <w:r>
              <w:rPr>
                <w:rFonts w:ascii="Gill Sans MT" w:hAnsi="Gill Sans MT"/>
                <w:b w:val="0"/>
                <w:bCs w:val="0"/>
              </w:rPr>
              <w:t>24: attend tutorials</w:t>
            </w:r>
          </w:p>
        </w:tc>
        <w:tc>
          <w:tcPr>
            <w:tcW w:w="1210" w:type="dxa"/>
            <w:vAlign w:val="center"/>
          </w:tcPr>
          <w:p w14:paraId="03357C62" w14:textId="77777777"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35F178F8" w14:textId="77777777"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0BBA92DF" w14:textId="5C546315"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0.712</w:t>
            </w:r>
          </w:p>
        </w:tc>
        <w:tc>
          <w:tcPr>
            <w:tcW w:w="1209" w:type="dxa"/>
            <w:vAlign w:val="center"/>
          </w:tcPr>
          <w:p w14:paraId="0FA13827" w14:textId="77777777"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36F3DA0E" w14:textId="77777777"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4401132B" w14:textId="34C89DBE"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0.742</w:t>
            </w:r>
          </w:p>
        </w:tc>
      </w:tr>
      <w:tr w:rsidR="00937644" w:rsidRPr="008211B8" w14:paraId="6B0CC7B9" w14:textId="77777777" w:rsidTr="009376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29A07BDF" w14:textId="77777777" w:rsidR="00937644" w:rsidRDefault="00937644" w:rsidP="00937644">
            <w:pPr>
              <w:spacing w:before="0" w:after="0" w:line="240" w:lineRule="auto"/>
              <w:rPr>
                <w:rFonts w:ascii="Gill Sans MT" w:hAnsi="Gill Sans MT"/>
                <w:b w:val="0"/>
                <w:bCs w:val="0"/>
              </w:rPr>
            </w:pPr>
            <w:r>
              <w:rPr>
                <w:rFonts w:ascii="Gill Sans MT" w:hAnsi="Gill Sans MT"/>
                <w:b w:val="0"/>
                <w:bCs w:val="0"/>
              </w:rPr>
              <w:t>06: attend most taught sessions</w:t>
            </w:r>
          </w:p>
        </w:tc>
        <w:tc>
          <w:tcPr>
            <w:tcW w:w="1210" w:type="dxa"/>
            <w:vAlign w:val="center"/>
          </w:tcPr>
          <w:p w14:paraId="0CBCDC2D" w14:textId="77777777"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44576CBC" w14:textId="77777777"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68F33F96" w14:textId="5630DAA2"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0.770</w:t>
            </w:r>
          </w:p>
        </w:tc>
        <w:tc>
          <w:tcPr>
            <w:tcW w:w="1209" w:type="dxa"/>
            <w:vAlign w:val="center"/>
          </w:tcPr>
          <w:p w14:paraId="56DB4EC8" w14:textId="77777777"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366A4113" w14:textId="77777777"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254F3764" w14:textId="0E178755"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0.783</w:t>
            </w:r>
          </w:p>
        </w:tc>
      </w:tr>
      <w:tr w:rsidR="00937644" w:rsidRPr="008211B8" w14:paraId="0E122CAF" w14:textId="77777777" w:rsidTr="00937644">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64570096" w14:textId="77777777" w:rsidR="00937644" w:rsidRDefault="00937644" w:rsidP="00937644">
            <w:pPr>
              <w:spacing w:before="0" w:after="0" w:line="240" w:lineRule="auto"/>
              <w:rPr>
                <w:rFonts w:ascii="Gill Sans MT" w:hAnsi="Gill Sans MT"/>
                <w:b w:val="0"/>
                <w:bCs w:val="0"/>
              </w:rPr>
            </w:pPr>
            <w:r>
              <w:rPr>
                <w:rFonts w:ascii="Gill Sans MT" w:hAnsi="Gill Sans MT"/>
                <w:b w:val="0"/>
                <w:bCs w:val="0"/>
              </w:rPr>
              <w:t>18: be on time for lectures</w:t>
            </w:r>
          </w:p>
        </w:tc>
        <w:tc>
          <w:tcPr>
            <w:tcW w:w="1210" w:type="dxa"/>
            <w:vAlign w:val="center"/>
          </w:tcPr>
          <w:p w14:paraId="78BE6869" w14:textId="77777777"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3BB86FE4" w14:textId="77777777"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2DA95F76" w14:textId="756A6651"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0.700</w:t>
            </w:r>
          </w:p>
        </w:tc>
        <w:tc>
          <w:tcPr>
            <w:tcW w:w="1209" w:type="dxa"/>
            <w:vAlign w:val="center"/>
          </w:tcPr>
          <w:p w14:paraId="55BFFF58" w14:textId="77777777"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41B3A5C4" w14:textId="77777777"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23EB1F08" w14:textId="73B5E082"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0.733</w:t>
            </w:r>
          </w:p>
        </w:tc>
      </w:tr>
      <w:tr w:rsidR="00937644" w:rsidRPr="008211B8" w14:paraId="0B6AFA2A" w14:textId="77777777" w:rsidTr="009376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6A48E095" w14:textId="77777777" w:rsidR="00937644" w:rsidRDefault="00937644" w:rsidP="00937644">
            <w:pPr>
              <w:spacing w:before="0" w:after="0" w:line="240" w:lineRule="auto"/>
              <w:rPr>
                <w:rFonts w:ascii="Gill Sans MT" w:hAnsi="Gill Sans MT"/>
                <w:b w:val="0"/>
                <w:bCs w:val="0"/>
              </w:rPr>
            </w:pPr>
            <w:r>
              <w:rPr>
                <w:rFonts w:ascii="Gill Sans MT" w:hAnsi="Gill Sans MT"/>
                <w:b w:val="0"/>
                <w:bCs w:val="0"/>
              </w:rPr>
              <w:t>14: read recommended background material</w:t>
            </w:r>
          </w:p>
        </w:tc>
        <w:tc>
          <w:tcPr>
            <w:tcW w:w="1210" w:type="dxa"/>
            <w:vAlign w:val="center"/>
          </w:tcPr>
          <w:p w14:paraId="08DC9803" w14:textId="45FDC920"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0.374</w:t>
            </w:r>
          </w:p>
        </w:tc>
        <w:tc>
          <w:tcPr>
            <w:tcW w:w="1209" w:type="dxa"/>
            <w:vAlign w:val="center"/>
          </w:tcPr>
          <w:p w14:paraId="11C06370" w14:textId="77777777"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1CB389F2" w14:textId="1788A326"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0.545</w:t>
            </w:r>
          </w:p>
        </w:tc>
        <w:tc>
          <w:tcPr>
            <w:tcW w:w="1209" w:type="dxa"/>
            <w:vAlign w:val="center"/>
          </w:tcPr>
          <w:p w14:paraId="2EBFBC9E" w14:textId="6FE7B561"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0CB3B99E" w14:textId="27263C81"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65E4890F" w14:textId="00EBFADB"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r>
      <w:tr w:rsidR="00937644" w:rsidRPr="008211B8" w14:paraId="4916A17B" w14:textId="77777777" w:rsidTr="00937644">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220BDE73" w14:textId="77777777" w:rsidR="00937644" w:rsidRDefault="00937644" w:rsidP="00937644">
            <w:pPr>
              <w:spacing w:before="0" w:after="0" w:line="240" w:lineRule="auto"/>
              <w:rPr>
                <w:rFonts w:ascii="Gill Sans MT" w:hAnsi="Gill Sans MT"/>
                <w:b w:val="0"/>
                <w:bCs w:val="0"/>
              </w:rPr>
            </w:pPr>
            <w:r>
              <w:rPr>
                <w:rFonts w:ascii="Gill Sans MT" w:hAnsi="Gill Sans MT"/>
                <w:b w:val="0"/>
                <w:bCs w:val="0"/>
              </w:rPr>
              <w:t>21: plan appropriate revision schedules</w:t>
            </w:r>
          </w:p>
        </w:tc>
        <w:tc>
          <w:tcPr>
            <w:tcW w:w="1210" w:type="dxa"/>
            <w:vAlign w:val="center"/>
          </w:tcPr>
          <w:p w14:paraId="3C61964D" w14:textId="0F5858CB"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06CFEE7A" w14:textId="4B532442"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71FC8460" w14:textId="4FA2E0E0"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7F6F50B4" w14:textId="71D9A817"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0.680</w:t>
            </w:r>
          </w:p>
        </w:tc>
        <w:tc>
          <w:tcPr>
            <w:tcW w:w="1209" w:type="dxa"/>
            <w:vAlign w:val="center"/>
          </w:tcPr>
          <w:p w14:paraId="6C781714" w14:textId="77777777"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561A46B0" w14:textId="0DE0AD29"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937644" w:rsidRPr="008211B8" w14:paraId="74DFD980" w14:textId="77777777" w:rsidTr="009376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043DD9D5" w14:textId="77777777" w:rsidR="00937644" w:rsidRDefault="00937644" w:rsidP="00937644">
            <w:pPr>
              <w:spacing w:before="0" w:after="0" w:line="240" w:lineRule="auto"/>
              <w:rPr>
                <w:rFonts w:ascii="Gill Sans MT" w:hAnsi="Gill Sans MT"/>
                <w:b w:val="0"/>
                <w:bCs w:val="0"/>
              </w:rPr>
            </w:pPr>
            <w:r>
              <w:rPr>
                <w:rFonts w:ascii="Gill Sans MT" w:hAnsi="Gill Sans MT"/>
                <w:b w:val="0"/>
                <w:bCs w:val="0"/>
              </w:rPr>
              <w:t>19: make the most of university study opportunities</w:t>
            </w:r>
          </w:p>
        </w:tc>
        <w:tc>
          <w:tcPr>
            <w:tcW w:w="1210" w:type="dxa"/>
            <w:vAlign w:val="center"/>
          </w:tcPr>
          <w:p w14:paraId="53DA744E" w14:textId="14D04719"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0.447</w:t>
            </w:r>
          </w:p>
        </w:tc>
        <w:tc>
          <w:tcPr>
            <w:tcW w:w="1209" w:type="dxa"/>
            <w:vAlign w:val="center"/>
          </w:tcPr>
          <w:p w14:paraId="7EACA973" w14:textId="22071B9B"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40EDAE2B" w14:textId="0ADD78C1"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0.498</w:t>
            </w:r>
          </w:p>
        </w:tc>
        <w:tc>
          <w:tcPr>
            <w:tcW w:w="1209" w:type="dxa"/>
            <w:vAlign w:val="center"/>
          </w:tcPr>
          <w:p w14:paraId="793F782A" w14:textId="4BCC11B3"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0.491</w:t>
            </w:r>
          </w:p>
        </w:tc>
        <w:tc>
          <w:tcPr>
            <w:tcW w:w="1209" w:type="dxa"/>
            <w:vAlign w:val="center"/>
          </w:tcPr>
          <w:p w14:paraId="12F1ED94" w14:textId="7AAC7E8C"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0.318</w:t>
            </w:r>
          </w:p>
        </w:tc>
        <w:tc>
          <w:tcPr>
            <w:tcW w:w="1209" w:type="dxa"/>
            <w:vAlign w:val="center"/>
          </w:tcPr>
          <w:p w14:paraId="6634063A" w14:textId="669A669B"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0.408</w:t>
            </w:r>
          </w:p>
        </w:tc>
      </w:tr>
      <w:tr w:rsidR="00937644" w:rsidRPr="008211B8" w14:paraId="13B2E12C" w14:textId="77777777" w:rsidTr="00937644">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4AA7FC0F" w14:textId="77777777" w:rsidR="00937644" w:rsidRDefault="00937644" w:rsidP="00937644">
            <w:pPr>
              <w:spacing w:before="0" w:after="0" w:line="240" w:lineRule="auto"/>
              <w:rPr>
                <w:rFonts w:ascii="Gill Sans MT" w:hAnsi="Gill Sans MT"/>
                <w:b w:val="0"/>
                <w:bCs w:val="0"/>
              </w:rPr>
            </w:pPr>
            <w:r>
              <w:rPr>
                <w:rFonts w:ascii="Gill Sans MT" w:hAnsi="Gill Sans MT"/>
                <w:b w:val="0"/>
                <w:bCs w:val="0"/>
              </w:rPr>
              <w:t>13: prepare thoroughly for tutorials</w:t>
            </w:r>
          </w:p>
        </w:tc>
        <w:tc>
          <w:tcPr>
            <w:tcW w:w="1210" w:type="dxa"/>
            <w:vAlign w:val="center"/>
          </w:tcPr>
          <w:p w14:paraId="297DAF55" w14:textId="610C6FC2"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0.493</w:t>
            </w:r>
          </w:p>
        </w:tc>
        <w:tc>
          <w:tcPr>
            <w:tcW w:w="1209" w:type="dxa"/>
            <w:vAlign w:val="center"/>
          </w:tcPr>
          <w:p w14:paraId="55BC0839" w14:textId="77777777"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29946353" w14:textId="175051C8"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0.498</w:t>
            </w:r>
          </w:p>
        </w:tc>
        <w:tc>
          <w:tcPr>
            <w:tcW w:w="1209" w:type="dxa"/>
            <w:vAlign w:val="center"/>
          </w:tcPr>
          <w:p w14:paraId="3CB34137" w14:textId="53BD24EB"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0.617</w:t>
            </w:r>
          </w:p>
        </w:tc>
        <w:tc>
          <w:tcPr>
            <w:tcW w:w="1209" w:type="dxa"/>
            <w:vAlign w:val="center"/>
          </w:tcPr>
          <w:p w14:paraId="43D9C18F" w14:textId="249AADF4"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13E357FB" w14:textId="6AF71983"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bl>
    <w:p w14:paraId="10832E23" w14:textId="3FC75EF4" w:rsidR="00C92807" w:rsidRDefault="00C92807" w:rsidP="003214C8">
      <w:pPr>
        <w:pStyle w:val="Tables"/>
        <w:jc w:val="right"/>
      </w:pPr>
      <w:bookmarkStart w:id="227" w:name="_Toc57033201"/>
      <w:r>
        <w:t>Table 2</w:t>
      </w:r>
      <w:r w:rsidR="002652B3">
        <w:t>2</w:t>
      </w:r>
      <w:r>
        <w:t>:</w:t>
      </w:r>
      <w:r w:rsidR="003214C8">
        <w:tab/>
      </w:r>
      <w:r>
        <w:t>Rotated component matrix for locally derived ABC21-L and ABC17-L Scales, showing factor loadings, and which items were removed as redundant from the ABC24 Scale (x).</w:t>
      </w:r>
      <w:bookmarkEnd w:id="227"/>
    </w:p>
    <w:p w14:paraId="1CBB9789" w14:textId="40AE037C" w:rsidR="004601AE" w:rsidRDefault="004601AE" w:rsidP="00A93CD9">
      <w:pPr>
        <w:spacing w:before="0" w:after="160" w:line="259" w:lineRule="auto"/>
        <w:sectPr w:rsidR="004601AE" w:rsidSect="00A2665A">
          <w:type w:val="continuous"/>
          <w:pgSz w:w="16838" w:h="11906" w:orient="landscape"/>
          <w:pgMar w:top="964" w:right="720" w:bottom="963" w:left="2421" w:header="708" w:footer="708" w:gutter="0"/>
          <w:cols w:space="708"/>
          <w:docGrid w:linePitch="360"/>
        </w:sectPr>
      </w:pPr>
    </w:p>
    <w:p w14:paraId="18B1EBC9" w14:textId="2A499A3F" w:rsidR="00B23C90" w:rsidRDefault="00632E07" w:rsidP="00B23C90">
      <w:pPr>
        <w:pStyle w:val="Heading4"/>
        <w:rPr>
          <w:rFonts w:eastAsia="Times New Roman"/>
          <w:lang w:eastAsia="en-GB"/>
        </w:rPr>
      </w:pPr>
      <w:r>
        <w:rPr>
          <w:rFonts w:eastAsia="Times New Roman"/>
          <w:lang w:eastAsia="en-GB"/>
        </w:rPr>
        <w:lastRenderedPageBreak/>
        <w:t>P</w:t>
      </w:r>
      <w:r w:rsidR="00B23C90">
        <w:rPr>
          <w:rFonts w:eastAsia="Times New Roman"/>
          <w:lang w:eastAsia="en-GB"/>
        </w:rPr>
        <w:t>roportion of variance explained</w:t>
      </w:r>
    </w:p>
    <w:p w14:paraId="7CAF3FBA" w14:textId="26EDE920" w:rsidR="00B23C90" w:rsidRDefault="00632E07" w:rsidP="00B23C90">
      <w:pPr>
        <w:pStyle w:val="Heading5"/>
        <w:rPr>
          <w:lang w:eastAsia="en-GB"/>
        </w:rPr>
      </w:pPr>
      <w:r>
        <w:rPr>
          <w:lang w:eastAsia="en-GB"/>
        </w:rPr>
        <w:t>I</w:t>
      </w:r>
      <w:r w:rsidR="00B23C90">
        <w:rPr>
          <w:lang w:eastAsia="en-GB"/>
        </w:rPr>
        <w:t xml:space="preserve"> - ABC24 Scale</w:t>
      </w:r>
    </w:p>
    <w:p w14:paraId="309ECCD3" w14:textId="37010741" w:rsidR="00030ACE" w:rsidRDefault="00B23C90" w:rsidP="000F438F">
      <w:pPr>
        <w:rPr>
          <w:rFonts w:eastAsia="Times New Roman"/>
          <w:lang w:eastAsia="en-GB"/>
        </w:rPr>
      </w:pPr>
      <w:r w:rsidRPr="000F438F">
        <w:rPr>
          <w:rFonts w:eastAsia="Times New Roman"/>
          <w:lang w:eastAsia="en-GB"/>
        </w:rPr>
        <w:t>The PCA process determines the</w:t>
      </w:r>
      <w:r>
        <w:rPr>
          <w:rFonts w:eastAsia="Times New Roman"/>
          <w:lang w:eastAsia="en-GB"/>
        </w:rPr>
        <w:t xml:space="preserve"> percentage</w:t>
      </w:r>
      <w:r w:rsidRPr="000F438F">
        <w:rPr>
          <w:rFonts w:eastAsia="Times New Roman"/>
          <w:lang w:eastAsia="en-GB"/>
        </w:rPr>
        <w:t xml:space="preserve"> contributions of the total variance made by each of the variables if all of the components are retained. For the ABC24 Scale, the three</w:t>
      </w:r>
      <w:r>
        <w:rPr>
          <w:rFonts w:eastAsia="Times New Roman"/>
          <w:lang w:eastAsia="en-GB"/>
        </w:rPr>
        <w:t xml:space="preserve"> </w:t>
      </w:r>
      <w:r w:rsidRPr="000F438F">
        <w:rPr>
          <w:rFonts w:eastAsia="Times New Roman"/>
          <w:lang w:eastAsia="en-GB"/>
        </w:rPr>
        <w:t>factors</w:t>
      </w:r>
      <w:r>
        <w:rPr>
          <w:rFonts w:eastAsia="Times New Roman"/>
          <w:lang w:eastAsia="en-GB"/>
        </w:rPr>
        <w:t xml:space="preserve"> </w:t>
      </w:r>
      <w:r w:rsidRPr="000F438F">
        <w:rPr>
          <w:rFonts w:eastAsia="Times New Roman"/>
          <w:lang w:eastAsia="en-GB"/>
        </w:rPr>
        <w:t>which were retained</w:t>
      </w:r>
      <w:r>
        <w:rPr>
          <w:rFonts w:eastAsia="Times New Roman"/>
          <w:lang w:eastAsia="en-GB"/>
        </w:rPr>
        <w:t xml:space="preserve"> </w:t>
      </w:r>
      <w:r w:rsidRPr="000F438F">
        <w:rPr>
          <w:rFonts w:eastAsia="Times New Roman"/>
          <w:lang w:eastAsia="en-GB"/>
        </w:rPr>
        <w:t>from this</w:t>
      </w:r>
      <w:r>
        <w:rPr>
          <w:rFonts w:eastAsia="Times New Roman"/>
          <w:lang w:eastAsia="en-GB"/>
        </w:rPr>
        <w:t xml:space="preserve"> </w:t>
      </w:r>
      <w:r w:rsidRPr="000F438F">
        <w:rPr>
          <w:rFonts w:eastAsia="Times New Roman"/>
          <w:lang w:eastAsia="en-GB"/>
        </w:rPr>
        <w:t>analysis cumulatively accounted for 52.9% of the total variance,</w:t>
      </w:r>
      <w:r>
        <w:rPr>
          <w:rFonts w:eastAsia="Times New Roman"/>
          <w:lang w:eastAsia="en-GB"/>
        </w:rPr>
        <w:t xml:space="preserve"> </w:t>
      </w:r>
      <w:r w:rsidRPr="000F438F">
        <w:rPr>
          <w:rFonts w:eastAsia="Times New Roman"/>
          <w:lang w:eastAsia="en-GB"/>
        </w:rPr>
        <w:t>with the most significant influence from Factor 1, which explained almost 35.0% of the total variance (Table 2</w:t>
      </w:r>
      <w:r w:rsidR="002652B3">
        <w:rPr>
          <w:rFonts w:eastAsia="Times New Roman"/>
          <w:lang w:eastAsia="en-GB"/>
        </w:rPr>
        <w:t>3</w:t>
      </w:r>
      <w:r w:rsidRPr="000F438F">
        <w:rPr>
          <w:rFonts w:eastAsia="Times New Roman"/>
          <w:lang w:eastAsia="en-GB"/>
        </w:rPr>
        <w:t xml:space="preserve">). Despite the </w:t>
      </w:r>
      <w:r w:rsidR="000F438F" w:rsidRPr="000F438F">
        <w:rPr>
          <w:rFonts w:eastAsia="Times New Roman"/>
          <w:lang w:eastAsia="en-GB"/>
        </w:rPr>
        <w:t>extraction being directed by the three-factor solution indicated by the parallel analysis simulation (above), it is notable that eigenvalues for the fourth, and fifth components are significantly above the eigenvalue &gt; 1 criterion, often applied for determining the number of factors to extract from a PCA. This may suggest that were a larger datapool available for the randomized raw data parallel analysis, a four-factor, or even five-factor solution may have been the outcome, leading to a forced, four or five factor extraction in the PCA for this data.</w:t>
      </w:r>
      <w:r w:rsidR="000F438F">
        <w:rPr>
          <w:rFonts w:eastAsia="Times New Roman"/>
          <w:lang w:eastAsia="en-GB"/>
        </w:rPr>
        <w:t xml:space="preserve"> </w:t>
      </w:r>
      <w:r w:rsidR="000F438F" w:rsidRPr="000F438F">
        <w:rPr>
          <w:rFonts w:eastAsia="Times New Roman"/>
          <w:lang w:eastAsia="en-GB"/>
        </w:rPr>
        <w:t>Visual inspection of the scree plot (Fig</w:t>
      </w:r>
      <w:r w:rsidR="000E71C3">
        <w:rPr>
          <w:rFonts w:eastAsia="Times New Roman"/>
          <w:lang w:eastAsia="en-GB"/>
        </w:rPr>
        <w:t>ure 1</w:t>
      </w:r>
      <w:r w:rsidR="009F5F43">
        <w:rPr>
          <w:rFonts w:eastAsia="Times New Roman"/>
          <w:lang w:eastAsia="en-GB"/>
        </w:rPr>
        <w:t>9</w:t>
      </w:r>
      <w:r w:rsidR="000F438F" w:rsidRPr="000F438F">
        <w:rPr>
          <w:rFonts w:eastAsia="Times New Roman"/>
          <w:lang w:eastAsia="en-GB"/>
        </w:rPr>
        <w:t xml:space="preserve">) </w:t>
      </w:r>
      <w:r w:rsidR="009F5F43">
        <w:rPr>
          <w:rFonts w:eastAsia="Times New Roman"/>
          <w:lang w:eastAsia="en-GB"/>
        </w:rPr>
        <w:t xml:space="preserve">identifies </w:t>
      </w:r>
      <w:r w:rsidR="000F438F" w:rsidRPr="000F438F">
        <w:rPr>
          <w:rFonts w:eastAsia="Times New Roman"/>
          <w:lang w:eastAsia="en-GB"/>
        </w:rPr>
        <w:t>a marked change in gradient at the fourth component, also suggesting that were this criterion applied, a four-factor solution would have been the likely conclusion.</w:t>
      </w:r>
    </w:p>
    <w:tbl>
      <w:tblPr>
        <w:tblStyle w:val="GridTable5Dark-Accent1"/>
        <w:tblW w:w="0" w:type="auto"/>
        <w:tblLook w:val="04A0" w:firstRow="1" w:lastRow="0" w:firstColumn="1" w:lastColumn="0" w:noHBand="0" w:noVBand="1"/>
      </w:tblPr>
      <w:tblGrid>
        <w:gridCol w:w="2166"/>
        <w:gridCol w:w="2166"/>
        <w:gridCol w:w="2166"/>
        <w:gridCol w:w="2166"/>
      </w:tblGrid>
      <w:tr w:rsidR="00030ACE" w:rsidRPr="008211B8" w14:paraId="1235B56B" w14:textId="77777777" w:rsidTr="009D2E1A">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166" w:type="dxa"/>
            <w:vAlign w:val="center"/>
          </w:tcPr>
          <w:p w14:paraId="365EC696" w14:textId="3D0BCA8B" w:rsidR="00030ACE" w:rsidRPr="008211B8" w:rsidRDefault="000F3AC8" w:rsidP="009D2E1A">
            <w:pPr>
              <w:spacing w:before="0" w:after="0" w:line="240" w:lineRule="auto"/>
              <w:jc w:val="center"/>
              <w:rPr>
                <w:rFonts w:ascii="Gill Sans MT" w:hAnsi="Gill Sans MT"/>
                <w:b w:val="0"/>
                <w:bCs w:val="0"/>
              </w:rPr>
            </w:pPr>
            <w:r>
              <w:rPr>
                <w:rFonts w:ascii="Gill Sans MT" w:hAnsi="Gill Sans MT"/>
                <w:b w:val="0"/>
                <w:bCs w:val="0"/>
              </w:rPr>
              <w:t>ABC24</w:t>
            </w:r>
            <w:r w:rsidR="00030ACE">
              <w:rPr>
                <w:rFonts w:ascii="Gill Sans MT" w:hAnsi="Gill Sans MT"/>
                <w:b w:val="0"/>
                <w:bCs w:val="0"/>
              </w:rPr>
              <w:t xml:space="preserve"> Component</w:t>
            </w:r>
          </w:p>
        </w:tc>
        <w:tc>
          <w:tcPr>
            <w:tcW w:w="2166" w:type="dxa"/>
            <w:vAlign w:val="center"/>
          </w:tcPr>
          <w:p w14:paraId="6CF52D0D" w14:textId="678E60BF" w:rsidR="00030ACE" w:rsidRPr="008211B8" w:rsidRDefault="00030ACE" w:rsidP="009D2E1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Eigenvalue</w:t>
            </w:r>
          </w:p>
        </w:tc>
        <w:tc>
          <w:tcPr>
            <w:tcW w:w="2166" w:type="dxa"/>
            <w:vAlign w:val="center"/>
          </w:tcPr>
          <w:p w14:paraId="14CE2D48" w14:textId="6B78B8AB" w:rsidR="00030ACE" w:rsidRPr="008211B8" w:rsidRDefault="000F3AC8" w:rsidP="009D2E1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 of variance</w:t>
            </w:r>
          </w:p>
        </w:tc>
        <w:tc>
          <w:tcPr>
            <w:tcW w:w="2166" w:type="dxa"/>
            <w:vAlign w:val="center"/>
          </w:tcPr>
          <w:p w14:paraId="44ABE9D0" w14:textId="10B24E87" w:rsidR="00030ACE" w:rsidRPr="008211B8" w:rsidRDefault="000F3AC8" w:rsidP="009D2E1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Cumulative % of variance</w:t>
            </w:r>
          </w:p>
        </w:tc>
      </w:tr>
      <w:tr w:rsidR="00030ACE" w:rsidRPr="008211B8" w14:paraId="2DE8C59C" w14:textId="77777777" w:rsidTr="009D2E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317D9015" w14:textId="77777777" w:rsidR="00030ACE" w:rsidRPr="008211B8" w:rsidRDefault="00030ACE" w:rsidP="009D2E1A">
            <w:pPr>
              <w:spacing w:before="0" w:after="0" w:line="240" w:lineRule="auto"/>
              <w:jc w:val="center"/>
              <w:rPr>
                <w:rFonts w:ascii="Gill Sans MT" w:hAnsi="Gill Sans MT"/>
                <w:b w:val="0"/>
                <w:bCs w:val="0"/>
              </w:rPr>
            </w:pPr>
            <w:r>
              <w:rPr>
                <w:rFonts w:ascii="Gill Sans MT" w:hAnsi="Gill Sans MT"/>
                <w:b w:val="0"/>
                <w:bCs w:val="0"/>
              </w:rPr>
              <w:t>1</w:t>
            </w:r>
          </w:p>
        </w:tc>
        <w:tc>
          <w:tcPr>
            <w:tcW w:w="2166" w:type="dxa"/>
            <w:vAlign w:val="center"/>
          </w:tcPr>
          <w:p w14:paraId="390D30AC" w14:textId="4C8632A7" w:rsidR="00030ACE" w:rsidRPr="008211B8" w:rsidRDefault="000F3AC8"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8.390</w:t>
            </w:r>
          </w:p>
        </w:tc>
        <w:tc>
          <w:tcPr>
            <w:tcW w:w="2166" w:type="dxa"/>
            <w:vAlign w:val="center"/>
          </w:tcPr>
          <w:p w14:paraId="4A11156B" w14:textId="0FD826A9" w:rsidR="00030ACE" w:rsidRPr="008211B8" w:rsidRDefault="000F3AC8"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34.958</w:t>
            </w:r>
          </w:p>
        </w:tc>
        <w:tc>
          <w:tcPr>
            <w:tcW w:w="2166" w:type="dxa"/>
            <w:vAlign w:val="center"/>
          </w:tcPr>
          <w:p w14:paraId="0C6F8909" w14:textId="2EA2029C" w:rsidR="00030ACE" w:rsidRPr="008211B8" w:rsidRDefault="000F3AC8"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34.598</w:t>
            </w:r>
          </w:p>
        </w:tc>
      </w:tr>
      <w:tr w:rsidR="00030ACE" w:rsidRPr="008211B8" w14:paraId="160A0FFD" w14:textId="77777777" w:rsidTr="009D2E1A">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55F1B302" w14:textId="77777777" w:rsidR="00030ACE" w:rsidRPr="008211B8" w:rsidRDefault="00030ACE" w:rsidP="009D2E1A">
            <w:pPr>
              <w:spacing w:before="0" w:after="0" w:line="240" w:lineRule="auto"/>
              <w:jc w:val="center"/>
              <w:rPr>
                <w:rFonts w:ascii="Gill Sans MT" w:hAnsi="Gill Sans MT"/>
                <w:b w:val="0"/>
                <w:bCs w:val="0"/>
              </w:rPr>
            </w:pPr>
            <w:r>
              <w:rPr>
                <w:rFonts w:ascii="Gill Sans MT" w:hAnsi="Gill Sans MT"/>
                <w:b w:val="0"/>
                <w:bCs w:val="0"/>
              </w:rPr>
              <w:t>2</w:t>
            </w:r>
          </w:p>
        </w:tc>
        <w:tc>
          <w:tcPr>
            <w:tcW w:w="2166" w:type="dxa"/>
            <w:vAlign w:val="center"/>
          </w:tcPr>
          <w:p w14:paraId="346D3C8D" w14:textId="75EF045B" w:rsidR="00030ACE" w:rsidRPr="008211B8" w:rsidRDefault="000F3AC8"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2.384</w:t>
            </w:r>
          </w:p>
        </w:tc>
        <w:tc>
          <w:tcPr>
            <w:tcW w:w="2166" w:type="dxa"/>
            <w:vAlign w:val="center"/>
          </w:tcPr>
          <w:p w14:paraId="5DB8CB7B" w14:textId="48DEC1A1" w:rsidR="00030ACE" w:rsidRPr="008211B8" w:rsidRDefault="000F3AC8"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9.935</w:t>
            </w:r>
          </w:p>
        </w:tc>
        <w:tc>
          <w:tcPr>
            <w:tcW w:w="2166" w:type="dxa"/>
            <w:vAlign w:val="center"/>
          </w:tcPr>
          <w:p w14:paraId="15631ADB" w14:textId="3668388B" w:rsidR="00030ACE" w:rsidRPr="008211B8" w:rsidRDefault="000F3AC8"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44.893</w:t>
            </w:r>
          </w:p>
        </w:tc>
      </w:tr>
      <w:tr w:rsidR="00030ACE" w:rsidRPr="008211B8" w14:paraId="74262C0D" w14:textId="77777777" w:rsidTr="009D2E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1B141AE1" w14:textId="77777777" w:rsidR="00030ACE" w:rsidRPr="008211B8" w:rsidRDefault="00030ACE" w:rsidP="009D2E1A">
            <w:pPr>
              <w:spacing w:before="0" w:after="0" w:line="240" w:lineRule="auto"/>
              <w:jc w:val="center"/>
              <w:rPr>
                <w:rFonts w:ascii="Gill Sans MT" w:hAnsi="Gill Sans MT"/>
                <w:b w:val="0"/>
                <w:bCs w:val="0"/>
              </w:rPr>
            </w:pPr>
            <w:r>
              <w:rPr>
                <w:rFonts w:ascii="Gill Sans MT" w:hAnsi="Gill Sans MT"/>
                <w:b w:val="0"/>
                <w:bCs w:val="0"/>
              </w:rPr>
              <w:t>3</w:t>
            </w:r>
          </w:p>
        </w:tc>
        <w:tc>
          <w:tcPr>
            <w:tcW w:w="2166" w:type="dxa"/>
            <w:vAlign w:val="center"/>
          </w:tcPr>
          <w:p w14:paraId="6D57E587" w14:textId="1E3968EE" w:rsidR="00030ACE" w:rsidRPr="008211B8" w:rsidRDefault="000F3AC8"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1.920</w:t>
            </w:r>
          </w:p>
        </w:tc>
        <w:tc>
          <w:tcPr>
            <w:tcW w:w="2166" w:type="dxa"/>
            <w:vAlign w:val="center"/>
          </w:tcPr>
          <w:p w14:paraId="600D6A4C" w14:textId="4550F44D" w:rsidR="00030ACE" w:rsidRPr="008211B8" w:rsidRDefault="000F3AC8"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8.000</w:t>
            </w:r>
          </w:p>
        </w:tc>
        <w:tc>
          <w:tcPr>
            <w:tcW w:w="2166" w:type="dxa"/>
            <w:vAlign w:val="center"/>
          </w:tcPr>
          <w:p w14:paraId="7DB3C1FE" w14:textId="30E7027D" w:rsidR="00030ACE" w:rsidRPr="008211B8" w:rsidRDefault="000F3AC8"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52.893</w:t>
            </w:r>
          </w:p>
        </w:tc>
      </w:tr>
      <w:tr w:rsidR="00030ACE" w:rsidRPr="008211B8" w14:paraId="630169D2" w14:textId="77777777" w:rsidTr="009D2E1A">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7774D572" w14:textId="77777777" w:rsidR="00030ACE" w:rsidRPr="008211B8" w:rsidRDefault="00030ACE" w:rsidP="009D2E1A">
            <w:pPr>
              <w:spacing w:before="0" w:after="0" w:line="240" w:lineRule="auto"/>
              <w:jc w:val="center"/>
              <w:rPr>
                <w:rFonts w:ascii="Gill Sans MT" w:hAnsi="Gill Sans MT"/>
                <w:b w:val="0"/>
                <w:bCs w:val="0"/>
              </w:rPr>
            </w:pPr>
            <w:r>
              <w:rPr>
                <w:rFonts w:ascii="Gill Sans MT" w:hAnsi="Gill Sans MT"/>
                <w:b w:val="0"/>
                <w:bCs w:val="0"/>
              </w:rPr>
              <w:t>4</w:t>
            </w:r>
          </w:p>
        </w:tc>
        <w:tc>
          <w:tcPr>
            <w:tcW w:w="2166" w:type="dxa"/>
            <w:vAlign w:val="center"/>
          </w:tcPr>
          <w:p w14:paraId="582D77D0" w14:textId="3A657512" w:rsidR="00030ACE" w:rsidRPr="008211B8" w:rsidRDefault="000F3AC8"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1.211</w:t>
            </w:r>
          </w:p>
        </w:tc>
        <w:tc>
          <w:tcPr>
            <w:tcW w:w="2166" w:type="dxa"/>
            <w:vAlign w:val="center"/>
          </w:tcPr>
          <w:p w14:paraId="635A5B13" w14:textId="4ED94A9B" w:rsidR="00030ACE" w:rsidRPr="008211B8" w:rsidRDefault="000F3AC8"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5.044</w:t>
            </w:r>
          </w:p>
        </w:tc>
        <w:tc>
          <w:tcPr>
            <w:tcW w:w="2166" w:type="dxa"/>
            <w:vAlign w:val="center"/>
          </w:tcPr>
          <w:p w14:paraId="1C64D30D" w14:textId="356C8138" w:rsidR="00030ACE" w:rsidRPr="008211B8" w:rsidRDefault="000F3AC8"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57.937</w:t>
            </w:r>
          </w:p>
        </w:tc>
      </w:tr>
      <w:tr w:rsidR="00030ACE" w:rsidRPr="008211B8" w14:paraId="6E83B77A" w14:textId="77777777" w:rsidTr="009D2E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48457DCC" w14:textId="77777777" w:rsidR="00030ACE" w:rsidRPr="008211B8" w:rsidRDefault="00030ACE" w:rsidP="009D2E1A">
            <w:pPr>
              <w:spacing w:before="0" w:after="0" w:line="240" w:lineRule="auto"/>
              <w:jc w:val="center"/>
              <w:rPr>
                <w:rFonts w:ascii="Gill Sans MT" w:hAnsi="Gill Sans MT"/>
                <w:b w:val="0"/>
                <w:bCs w:val="0"/>
              </w:rPr>
            </w:pPr>
            <w:r>
              <w:rPr>
                <w:rFonts w:ascii="Gill Sans MT" w:hAnsi="Gill Sans MT"/>
                <w:b w:val="0"/>
                <w:bCs w:val="0"/>
              </w:rPr>
              <w:t>5</w:t>
            </w:r>
          </w:p>
        </w:tc>
        <w:tc>
          <w:tcPr>
            <w:tcW w:w="2166" w:type="dxa"/>
            <w:vAlign w:val="center"/>
          </w:tcPr>
          <w:p w14:paraId="2CF7D327" w14:textId="66707509" w:rsidR="00030ACE" w:rsidRPr="008211B8" w:rsidRDefault="000F3AC8"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1.130</w:t>
            </w:r>
          </w:p>
        </w:tc>
        <w:tc>
          <w:tcPr>
            <w:tcW w:w="2166" w:type="dxa"/>
            <w:vAlign w:val="center"/>
          </w:tcPr>
          <w:p w14:paraId="3A6C430E" w14:textId="522473D3" w:rsidR="00030ACE" w:rsidRPr="008211B8" w:rsidRDefault="000F3AC8"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4.706</w:t>
            </w:r>
          </w:p>
        </w:tc>
        <w:tc>
          <w:tcPr>
            <w:tcW w:w="2166" w:type="dxa"/>
            <w:vAlign w:val="center"/>
          </w:tcPr>
          <w:p w14:paraId="6655394A" w14:textId="32195083" w:rsidR="00030ACE" w:rsidRPr="008211B8" w:rsidRDefault="000F3AC8"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62.643</w:t>
            </w:r>
          </w:p>
        </w:tc>
      </w:tr>
      <w:tr w:rsidR="00030ACE" w:rsidRPr="008211B8" w14:paraId="01A67E4F" w14:textId="77777777" w:rsidTr="009D2E1A">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4E22BD3A" w14:textId="77777777" w:rsidR="00030ACE" w:rsidRPr="008211B8" w:rsidRDefault="00030ACE" w:rsidP="009D2E1A">
            <w:pPr>
              <w:spacing w:before="0" w:after="0" w:line="240" w:lineRule="auto"/>
              <w:jc w:val="center"/>
              <w:rPr>
                <w:rFonts w:ascii="Gill Sans MT" w:hAnsi="Gill Sans MT"/>
                <w:b w:val="0"/>
                <w:bCs w:val="0"/>
              </w:rPr>
            </w:pPr>
            <w:r>
              <w:rPr>
                <w:rFonts w:ascii="Gill Sans MT" w:hAnsi="Gill Sans MT"/>
                <w:b w:val="0"/>
                <w:bCs w:val="0"/>
              </w:rPr>
              <w:t>6</w:t>
            </w:r>
          </w:p>
        </w:tc>
        <w:tc>
          <w:tcPr>
            <w:tcW w:w="2166" w:type="dxa"/>
            <w:vAlign w:val="center"/>
          </w:tcPr>
          <w:p w14:paraId="25C2484B" w14:textId="3AD79ADF" w:rsidR="00030ACE" w:rsidRPr="008211B8" w:rsidRDefault="000F3AC8"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0.963</w:t>
            </w:r>
          </w:p>
        </w:tc>
        <w:tc>
          <w:tcPr>
            <w:tcW w:w="2166" w:type="dxa"/>
            <w:vAlign w:val="center"/>
          </w:tcPr>
          <w:p w14:paraId="295C2024" w14:textId="04F405AA" w:rsidR="00030ACE" w:rsidRPr="008211B8" w:rsidRDefault="000F3AC8"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4.010</w:t>
            </w:r>
          </w:p>
        </w:tc>
        <w:tc>
          <w:tcPr>
            <w:tcW w:w="2166" w:type="dxa"/>
            <w:vAlign w:val="center"/>
          </w:tcPr>
          <w:p w14:paraId="4E49D613" w14:textId="12BA5AA0" w:rsidR="00030ACE" w:rsidRPr="008211B8" w:rsidRDefault="000F3AC8"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66.654</w:t>
            </w:r>
          </w:p>
        </w:tc>
      </w:tr>
      <w:tr w:rsidR="00030ACE" w:rsidRPr="008211B8" w14:paraId="050ADE23" w14:textId="77777777" w:rsidTr="009D2E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6B484349" w14:textId="77777777" w:rsidR="00030ACE" w:rsidRPr="008211B8" w:rsidRDefault="00030ACE" w:rsidP="009D2E1A">
            <w:pPr>
              <w:spacing w:before="0" w:after="0" w:line="240" w:lineRule="auto"/>
              <w:jc w:val="center"/>
              <w:rPr>
                <w:rFonts w:ascii="Gill Sans MT" w:hAnsi="Gill Sans MT"/>
                <w:b w:val="0"/>
                <w:bCs w:val="0"/>
              </w:rPr>
            </w:pPr>
            <w:r>
              <w:rPr>
                <w:rFonts w:ascii="Gill Sans MT" w:hAnsi="Gill Sans MT"/>
                <w:b w:val="0"/>
                <w:bCs w:val="0"/>
              </w:rPr>
              <w:t>7</w:t>
            </w:r>
          </w:p>
        </w:tc>
        <w:tc>
          <w:tcPr>
            <w:tcW w:w="2166" w:type="dxa"/>
            <w:vAlign w:val="center"/>
          </w:tcPr>
          <w:p w14:paraId="4E4A3644" w14:textId="15D7DCC2" w:rsidR="00030ACE" w:rsidRPr="008211B8" w:rsidRDefault="000F3AC8"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0.894</w:t>
            </w:r>
          </w:p>
        </w:tc>
        <w:tc>
          <w:tcPr>
            <w:tcW w:w="2166" w:type="dxa"/>
            <w:vAlign w:val="center"/>
          </w:tcPr>
          <w:p w14:paraId="10109F8E" w14:textId="0CCD4506" w:rsidR="00030ACE" w:rsidRPr="008211B8" w:rsidRDefault="000F3AC8"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3.726</w:t>
            </w:r>
          </w:p>
        </w:tc>
        <w:tc>
          <w:tcPr>
            <w:tcW w:w="2166" w:type="dxa"/>
            <w:vAlign w:val="center"/>
          </w:tcPr>
          <w:p w14:paraId="68C5BDAF" w14:textId="22BC8A0E" w:rsidR="00030ACE" w:rsidRPr="008211B8" w:rsidRDefault="000F3AC8"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70.380</w:t>
            </w:r>
          </w:p>
        </w:tc>
      </w:tr>
      <w:tr w:rsidR="00030ACE" w:rsidRPr="008211B8" w14:paraId="2877D70A" w14:textId="77777777" w:rsidTr="009D2E1A">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0CF885FD" w14:textId="59E464B1" w:rsidR="00030ACE" w:rsidRPr="008211B8" w:rsidRDefault="00030ACE" w:rsidP="009D2E1A">
            <w:pPr>
              <w:spacing w:before="0" w:after="0" w:line="240" w:lineRule="auto"/>
              <w:jc w:val="center"/>
              <w:rPr>
                <w:rFonts w:ascii="Gill Sans MT" w:hAnsi="Gill Sans MT"/>
                <w:b w:val="0"/>
                <w:bCs w:val="0"/>
              </w:rPr>
            </w:pPr>
            <w:r>
              <w:rPr>
                <w:rFonts w:ascii="Gill Sans MT" w:hAnsi="Gill Sans MT"/>
                <w:b w:val="0"/>
                <w:bCs w:val="0"/>
              </w:rPr>
              <w:t>8</w:t>
            </w:r>
          </w:p>
        </w:tc>
        <w:tc>
          <w:tcPr>
            <w:tcW w:w="2166" w:type="dxa"/>
            <w:vAlign w:val="center"/>
          </w:tcPr>
          <w:p w14:paraId="3538E0E6" w14:textId="2E9F7659" w:rsidR="00030ACE" w:rsidRPr="008211B8" w:rsidRDefault="000F3AC8"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0.835</w:t>
            </w:r>
          </w:p>
        </w:tc>
        <w:tc>
          <w:tcPr>
            <w:tcW w:w="2166" w:type="dxa"/>
            <w:vAlign w:val="center"/>
          </w:tcPr>
          <w:p w14:paraId="6218B4EA" w14:textId="67584A1A" w:rsidR="00030ACE" w:rsidRPr="008211B8" w:rsidRDefault="000F3AC8"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3.480</w:t>
            </w:r>
          </w:p>
        </w:tc>
        <w:tc>
          <w:tcPr>
            <w:tcW w:w="2166" w:type="dxa"/>
            <w:vAlign w:val="center"/>
          </w:tcPr>
          <w:p w14:paraId="68E15B48" w14:textId="3A883F9E" w:rsidR="00030ACE" w:rsidRPr="008211B8" w:rsidRDefault="000F3AC8"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73.840</w:t>
            </w:r>
          </w:p>
        </w:tc>
      </w:tr>
      <w:tr w:rsidR="000F3AC8" w:rsidRPr="008211B8" w14:paraId="401035B0" w14:textId="77777777" w:rsidTr="009D2E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5190ECE3" w14:textId="2BF3F36F" w:rsidR="000F3AC8" w:rsidRDefault="000F3AC8" w:rsidP="009D2E1A">
            <w:pPr>
              <w:spacing w:before="0" w:after="0" w:line="240" w:lineRule="auto"/>
              <w:jc w:val="center"/>
              <w:rPr>
                <w:rFonts w:ascii="Gill Sans MT" w:hAnsi="Gill Sans MT"/>
                <w:b w:val="0"/>
                <w:bCs w:val="0"/>
              </w:rPr>
            </w:pPr>
            <w:r>
              <w:rPr>
                <w:rFonts w:ascii="Gill Sans MT" w:hAnsi="Gill Sans MT"/>
                <w:b w:val="0"/>
                <w:bCs w:val="0"/>
              </w:rPr>
              <w:t>9</w:t>
            </w:r>
          </w:p>
        </w:tc>
        <w:tc>
          <w:tcPr>
            <w:tcW w:w="2166" w:type="dxa"/>
            <w:vAlign w:val="center"/>
          </w:tcPr>
          <w:p w14:paraId="3FDCB461" w14:textId="32F59E38" w:rsidR="000F3AC8" w:rsidRPr="008211B8" w:rsidRDefault="000F3AC8"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0.760</w:t>
            </w:r>
          </w:p>
        </w:tc>
        <w:tc>
          <w:tcPr>
            <w:tcW w:w="2166" w:type="dxa"/>
            <w:vAlign w:val="center"/>
          </w:tcPr>
          <w:p w14:paraId="1100C701" w14:textId="55F4083F" w:rsidR="000F3AC8" w:rsidRPr="008211B8" w:rsidRDefault="000F3AC8"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3.168</w:t>
            </w:r>
          </w:p>
        </w:tc>
        <w:tc>
          <w:tcPr>
            <w:tcW w:w="2166" w:type="dxa"/>
            <w:vAlign w:val="center"/>
          </w:tcPr>
          <w:p w14:paraId="65DF3C11" w14:textId="4FE57FA7" w:rsidR="000F3AC8" w:rsidRPr="008211B8" w:rsidRDefault="000F3AC8"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77.028</w:t>
            </w:r>
          </w:p>
        </w:tc>
      </w:tr>
      <w:tr w:rsidR="000F3AC8" w:rsidRPr="008211B8" w14:paraId="0D57565F" w14:textId="77777777" w:rsidTr="009D2E1A">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5A8417B4" w14:textId="3F139494" w:rsidR="000F3AC8" w:rsidRDefault="000F3AC8" w:rsidP="009D2E1A">
            <w:pPr>
              <w:spacing w:before="0" w:after="0" w:line="240" w:lineRule="auto"/>
              <w:jc w:val="center"/>
              <w:rPr>
                <w:rFonts w:ascii="Gill Sans MT" w:hAnsi="Gill Sans MT"/>
                <w:b w:val="0"/>
                <w:bCs w:val="0"/>
              </w:rPr>
            </w:pPr>
            <w:r>
              <w:rPr>
                <w:rFonts w:ascii="Gill Sans MT" w:hAnsi="Gill Sans MT"/>
                <w:b w:val="0"/>
                <w:bCs w:val="0"/>
              </w:rPr>
              <w:t>10</w:t>
            </w:r>
          </w:p>
        </w:tc>
        <w:tc>
          <w:tcPr>
            <w:tcW w:w="2166" w:type="dxa"/>
            <w:vAlign w:val="center"/>
          </w:tcPr>
          <w:p w14:paraId="188E4443" w14:textId="35DA889C" w:rsidR="000F3AC8" w:rsidRPr="008211B8" w:rsidRDefault="000F3AC8"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0.663</w:t>
            </w:r>
          </w:p>
        </w:tc>
        <w:tc>
          <w:tcPr>
            <w:tcW w:w="2166" w:type="dxa"/>
            <w:vAlign w:val="center"/>
          </w:tcPr>
          <w:p w14:paraId="24DD7916" w14:textId="3CDF3F4A" w:rsidR="000F3AC8" w:rsidRPr="008211B8" w:rsidRDefault="000F3AC8"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2.764</w:t>
            </w:r>
          </w:p>
        </w:tc>
        <w:tc>
          <w:tcPr>
            <w:tcW w:w="2166" w:type="dxa"/>
            <w:vAlign w:val="center"/>
          </w:tcPr>
          <w:p w14:paraId="5F7B040D" w14:textId="35CC4283" w:rsidR="000F3AC8" w:rsidRPr="008211B8" w:rsidRDefault="000F3AC8"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79.792</w:t>
            </w:r>
          </w:p>
        </w:tc>
      </w:tr>
      <w:tr w:rsidR="000F3AC8" w:rsidRPr="008211B8" w14:paraId="630E28B9" w14:textId="77777777" w:rsidTr="009D2E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43020337" w14:textId="592CF45C" w:rsidR="000F3AC8" w:rsidRDefault="000F3AC8" w:rsidP="009D2E1A">
            <w:pPr>
              <w:spacing w:before="0" w:after="0" w:line="240" w:lineRule="auto"/>
              <w:jc w:val="center"/>
              <w:rPr>
                <w:rFonts w:ascii="Gill Sans MT" w:hAnsi="Gill Sans MT"/>
                <w:b w:val="0"/>
                <w:bCs w:val="0"/>
              </w:rPr>
            </w:pPr>
            <w:r>
              <w:rPr>
                <w:rFonts w:ascii="Gill Sans MT" w:hAnsi="Gill Sans MT"/>
                <w:b w:val="0"/>
                <w:bCs w:val="0"/>
              </w:rPr>
              <w:t>11-24</w:t>
            </w:r>
          </w:p>
        </w:tc>
        <w:tc>
          <w:tcPr>
            <w:tcW w:w="2166" w:type="dxa"/>
            <w:vAlign w:val="center"/>
          </w:tcPr>
          <w:p w14:paraId="3F422A06" w14:textId="5B280AA7" w:rsidR="000F3AC8" w:rsidRPr="008211B8" w:rsidRDefault="000F3AC8"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&lt; 0.630</w:t>
            </w:r>
          </w:p>
        </w:tc>
        <w:tc>
          <w:tcPr>
            <w:tcW w:w="2166" w:type="dxa"/>
            <w:vAlign w:val="center"/>
          </w:tcPr>
          <w:p w14:paraId="6853083C" w14:textId="72544B60" w:rsidR="000F3AC8" w:rsidRPr="008211B8" w:rsidRDefault="000F3AC8"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&lt; 2.700</w:t>
            </w:r>
          </w:p>
        </w:tc>
        <w:tc>
          <w:tcPr>
            <w:tcW w:w="2166" w:type="dxa"/>
            <w:vAlign w:val="center"/>
          </w:tcPr>
          <w:p w14:paraId="546FE0C1" w14:textId="1088AA3F" w:rsidR="000F3AC8" w:rsidRPr="008211B8" w:rsidRDefault="000F3AC8"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&gt; 82.400</w:t>
            </w:r>
          </w:p>
        </w:tc>
      </w:tr>
    </w:tbl>
    <w:p w14:paraId="6EED1F92" w14:textId="1E2F7993" w:rsidR="007A6726" w:rsidRDefault="000F3AC8" w:rsidP="001571BF">
      <w:pPr>
        <w:pStyle w:val="Tables"/>
      </w:pPr>
      <w:bookmarkStart w:id="228" w:name="_Toc57033202"/>
      <w:r>
        <w:t>Table 2</w:t>
      </w:r>
      <w:r w:rsidR="002652B3">
        <w:t>3</w:t>
      </w:r>
      <w:r>
        <w:t>:</w:t>
      </w:r>
      <w:r w:rsidR="003214C8">
        <w:tab/>
      </w:r>
      <w:r>
        <w:t>Total variance explained for the PCA on the ABC24 Scale.</w:t>
      </w:r>
      <w:bookmarkEnd w:id="228"/>
    </w:p>
    <w:p w14:paraId="53B9111D" w14:textId="77777777" w:rsidR="007475E7" w:rsidRDefault="007475E7" w:rsidP="007475E7"/>
    <w:p w14:paraId="39805049" w14:textId="77777777" w:rsidR="007475E7" w:rsidRDefault="000F3AC8" w:rsidP="007475E7">
      <w:pPr>
        <w:keepNext/>
      </w:pPr>
      <w:r>
        <w:rPr>
          <w:noProof/>
        </w:rPr>
        <w:lastRenderedPageBreak/>
        <w:drawing>
          <wp:inline distT="0" distB="0" distL="0" distR="0" wp14:anchorId="23E9945D" wp14:editId="4E0EEC9D">
            <wp:extent cx="5507990" cy="3507740"/>
            <wp:effectExtent l="0" t="0" r="381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ell phon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5507990" cy="3507740"/>
                    </a:xfrm>
                    <a:prstGeom prst="rect">
                      <a:avLst/>
                    </a:prstGeom>
                  </pic:spPr>
                </pic:pic>
              </a:graphicData>
            </a:graphic>
          </wp:inline>
        </w:drawing>
      </w:r>
    </w:p>
    <w:p w14:paraId="0A94D797" w14:textId="7F2AA9DB" w:rsidR="007475E7" w:rsidRPr="007475E7" w:rsidRDefault="007475E7" w:rsidP="007475E7">
      <w:pPr>
        <w:pStyle w:val="Subtitle"/>
      </w:pPr>
      <w:bookmarkStart w:id="229" w:name="_Toc56495238"/>
      <w:r w:rsidRPr="007475E7">
        <w:t xml:space="preserve">Figure </w:t>
      </w:r>
      <w:r w:rsidR="00B568C9">
        <w:fldChar w:fldCharType="begin"/>
      </w:r>
      <w:r w:rsidR="00B568C9">
        <w:instrText xml:space="preserve"> SEQ Figure \* ARABIC </w:instrText>
      </w:r>
      <w:r w:rsidR="00B568C9">
        <w:fldChar w:fldCharType="separate"/>
      </w:r>
      <w:r w:rsidR="005F0AB9">
        <w:rPr>
          <w:noProof/>
        </w:rPr>
        <w:t>19</w:t>
      </w:r>
      <w:r w:rsidR="00B568C9">
        <w:rPr>
          <w:noProof/>
        </w:rPr>
        <w:fldChar w:fldCharType="end"/>
      </w:r>
      <w:r w:rsidR="003214C8">
        <w:t>:</w:t>
      </w:r>
      <w:r w:rsidR="003214C8">
        <w:tab/>
      </w:r>
      <w:r w:rsidRPr="007475E7">
        <w:t>Scree plot of eigenvalues for components (factors) of PCA on the ABC24 Scale</w:t>
      </w:r>
      <w:bookmarkEnd w:id="229"/>
    </w:p>
    <w:p w14:paraId="4F9DFCB1" w14:textId="20203411" w:rsidR="000F3AC8" w:rsidRPr="00B23C90" w:rsidRDefault="000F3AC8" w:rsidP="00B23C90">
      <w:pPr>
        <w:pStyle w:val="Heading5"/>
        <w:rPr>
          <w:rFonts w:ascii="Gill Sans MT" w:eastAsiaTheme="majorEastAsia" w:hAnsi="Gill Sans MT" w:cstheme="majorBidi"/>
        </w:rPr>
      </w:pPr>
      <w:r w:rsidRPr="000F3AC8">
        <w:rPr>
          <w:rStyle w:val="SubtitleChar"/>
        </w:rPr>
        <w:t xml:space="preserve"> </w:t>
      </w:r>
      <w:r w:rsidR="00632E07">
        <w:rPr>
          <w:lang w:eastAsia="en-GB"/>
        </w:rPr>
        <w:t>II</w:t>
      </w:r>
      <w:r>
        <w:rPr>
          <w:lang w:eastAsia="en-GB"/>
        </w:rPr>
        <w:t xml:space="preserve"> - ABC17, ABC21-L, and ABC17-L Scales</w:t>
      </w:r>
    </w:p>
    <w:p w14:paraId="3807EFFA" w14:textId="76048156" w:rsidR="000F3AC8" w:rsidRPr="000F3AC8" w:rsidRDefault="000F3AC8" w:rsidP="000F3AC8">
      <w:pPr>
        <w:rPr>
          <w:rFonts w:eastAsia="Times New Roman"/>
          <w:lang w:eastAsia="en-GB"/>
        </w:rPr>
      </w:pPr>
      <w:r w:rsidRPr="000F3AC8">
        <w:rPr>
          <w:rFonts w:eastAsia="Times New Roman"/>
          <w:lang w:eastAsia="en-GB"/>
        </w:rPr>
        <w:t xml:space="preserve">As expected, the distributions of proportions of variance for the three </w:t>
      </w:r>
      <w:r w:rsidR="00172042">
        <w:rPr>
          <w:rFonts w:eastAsia="Times New Roman"/>
          <w:lang w:eastAsia="en-GB"/>
        </w:rPr>
        <w:t xml:space="preserve">alternative </w:t>
      </w:r>
      <w:r w:rsidRPr="000F3AC8">
        <w:rPr>
          <w:rFonts w:eastAsia="Times New Roman"/>
          <w:lang w:eastAsia="en-GB"/>
        </w:rPr>
        <w:t>versions of the ABC Scale used in this study are similar</w:t>
      </w:r>
      <w:r w:rsidR="00172042">
        <w:rPr>
          <w:rFonts w:eastAsia="Times New Roman"/>
          <w:lang w:eastAsia="en-GB"/>
        </w:rPr>
        <w:t xml:space="preserve"> </w:t>
      </w:r>
      <w:r w:rsidRPr="000F3AC8">
        <w:rPr>
          <w:rFonts w:eastAsia="Times New Roman"/>
          <w:lang w:eastAsia="en-GB"/>
        </w:rPr>
        <w:t>(Table 2</w:t>
      </w:r>
      <w:r w:rsidR="002652B3">
        <w:rPr>
          <w:rFonts w:eastAsia="Times New Roman"/>
          <w:lang w:eastAsia="en-GB"/>
        </w:rPr>
        <w:t>4</w:t>
      </w:r>
      <w:r w:rsidRPr="000F3AC8">
        <w:rPr>
          <w:rFonts w:eastAsia="Times New Roman"/>
          <w:lang w:eastAsia="en-GB"/>
        </w:rPr>
        <w:t>). Scree plots of eigenvalues also presented similar characteristics to the ABC24 Scale scree plot, and hence are not shown.</w:t>
      </w:r>
    </w:p>
    <w:tbl>
      <w:tblPr>
        <w:tblStyle w:val="GridTable5Dark-Accent1"/>
        <w:tblW w:w="0" w:type="auto"/>
        <w:tblLayout w:type="fixed"/>
        <w:tblLook w:val="04A0" w:firstRow="1" w:lastRow="0" w:firstColumn="1" w:lastColumn="0" w:noHBand="0" w:noVBand="1"/>
      </w:tblPr>
      <w:tblGrid>
        <w:gridCol w:w="1382"/>
        <w:gridCol w:w="809"/>
        <w:gridCol w:w="809"/>
        <w:gridCol w:w="809"/>
        <w:gridCol w:w="809"/>
        <w:gridCol w:w="809"/>
        <w:gridCol w:w="809"/>
        <w:gridCol w:w="809"/>
        <w:gridCol w:w="809"/>
        <w:gridCol w:w="810"/>
      </w:tblGrid>
      <w:tr w:rsidR="009D2E1A" w:rsidRPr="008211B8" w14:paraId="68E8619C" w14:textId="67C584C1" w:rsidTr="009D2E1A">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382" w:type="dxa"/>
            <w:vAlign w:val="center"/>
          </w:tcPr>
          <w:p w14:paraId="459DF106" w14:textId="77777777" w:rsidR="009D2E1A" w:rsidRDefault="009D2E1A" w:rsidP="009D2E1A">
            <w:pPr>
              <w:spacing w:before="0" w:after="0" w:line="240" w:lineRule="auto"/>
              <w:jc w:val="center"/>
              <w:rPr>
                <w:rFonts w:ascii="Gill Sans MT" w:hAnsi="Gill Sans MT"/>
              </w:rPr>
            </w:pPr>
            <w:r>
              <w:rPr>
                <w:rFonts w:ascii="Gill Sans MT" w:hAnsi="Gill Sans MT"/>
                <w:b w:val="0"/>
                <w:bCs w:val="0"/>
              </w:rPr>
              <w:t>ABC</w:t>
            </w:r>
          </w:p>
          <w:p w14:paraId="1DED85B4" w14:textId="6513D9F8" w:rsidR="009D2E1A" w:rsidRPr="008211B8" w:rsidRDefault="009D2E1A" w:rsidP="009D2E1A">
            <w:pPr>
              <w:spacing w:before="0" w:after="0" w:line="240" w:lineRule="auto"/>
              <w:jc w:val="center"/>
              <w:rPr>
                <w:rFonts w:ascii="Gill Sans MT" w:hAnsi="Gill Sans MT"/>
                <w:b w:val="0"/>
                <w:bCs w:val="0"/>
              </w:rPr>
            </w:pPr>
            <w:r>
              <w:rPr>
                <w:rFonts w:ascii="Gill Sans MT" w:hAnsi="Gill Sans MT"/>
                <w:b w:val="0"/>
                <w:bCs w:val="0"/>
              </w:rPr>
              <w:t>Component</w:t>
            </w:r>
          </w:p>
        </w:tc>
        <w:tc>
          <w:tcPr>
            <w:tcW w:w="809" w:type="dxa"/>
            <w:textDirection w:val="btLr"/>
            <w:vAlign w:val="center"/>
          </w:tcPr>
          <w:p w14:paraId="623C3621" w14:textId="77777777" w:rsidR="009D2E1A" w:rsidRDefault="009D2E1A" w:rsidP="009D2E1A">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b w:val="0"/>
                <w:bCs w:val="0"/>
              </w:rPr>
              <w:t>ABC17</w:t>
            </w:r>
          </w:p>
          <w:p w14:paraId="3C2F0B35" w14:textId="290FE7CC" w:rsidR="009D2E1A" w:rsidRPr="008211B8" w:rsidRDefault="009D2E1A" w:rsidP="009D2E1A">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Eigenvalue</w:t>
            </w:r>
          </w:p>
        </w:tc>
        <w:tc>
          <w:tcPr>
            <w:tcW w:w="809" w:type="dxa"/>
            <w:textDirection w:val="btLr"/>
            <w:vAlign w:val="center"/>
          </w:tcPr>
          <w:p w14:paraId="73CDBF4D" w14:textId="31743EBB" w:rsidR="009D2E1A" w:rsidRPr="008211B8" w:rsidRDefault="009D2E1A" w:rsidP="009D2E1A">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 % variance</w:t>
            </w:r>
          </w:p>
        </w:tc>
        <w:tc>
          <w:tcPr>
            <w:tcW w:w="809" w:type="dxa"/>
            <w:textDirection w:val="btLr"/>
            <w:vAlign w:val="center"/>
          </w:tcPr>
          <w:p w14:paraId="3730DF04" w14:textId="65D97C86" w:rsidR="009D2E1A" w:rsidRPr="008211B8" w:rsidRDefault="009D2E1A" w:rsidP="009D2E1A">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 xml:space="preserve">~ cumulative % </w:t>
            </w:r>
          </w:p>
        </w:tc>
        <w:tc>
          <w:tcPr>
            <w:tcW w:w="809" w:type="dxa"/>
            <w:textDirection w:val="btLr"/>
            <w:vAlign w:val="center"/>
          </w:tcPr>
          <w:p w14:paraId="0AEE3CEC" w14:textId="69A34CA1" w:rsidR="009D2E1A" w:rsidRDefault="009D2E1A" w:rsidP="009D2E1A">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b w:val="0"/>
                <w:bCs w:val="0"/>
              </w:rPr>
              <w:t>ABC21-L</w:t>
            </w:r>
          </w:p>
          <w:p w14:paraId="17621A8B" w14:textId="70A3DA96" w:rsidR="009D2E1A" w:rsidRDefault="009D2E1A" w:rsidP="009D2E1A">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Eigenvalue</w:t>
            </w:r>
          </w:p>
        </w:tc>
        <w:tc>
          <w:tcPr>
            <w:tcW w:w="809" w:type="dxa"/>
            <w:textDirection w:val="btLr"/>
            <w:vAlign w:val="center"/>
          </w:tcPr>
          <w:p w14:paraId="5CD72BFE" w14:textId="590596D0" w:rsidR="009D2E1A" w:rsidRDefault="009D2E1A" w:rsidP="009D2E1A">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 % variance</w:t>
            </w:r>
          </w:p>
        </w:tc>
        <w:tc>
          <w:tcPr>
            <w:tcW w:w="809" w:type="dxa"/>
            <w:textDirection w:val="btLr"/>
            <w:vAlign w:val="center"/>
          </w:tcPr>
          <w:p w14:paraId="51CCA4FF" w14:textId="4677A02D" w:rsidR="009D2E1A" w:rsidRDefault="009D2E1A" w:rsidP="009D2E1A">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 xml:space="preserve">~ cumulative % </w:t>
            </w:r>
          </w:p>
        </w:tc>
        <w:tc>
          <w:tcPr>
            <w:tcW w:w="809" w:type="dxa"/>
            <w:textDirection w:val="btLr"/>
            <w:vAlign w:val="center"/>
          </w:tcPr>
          <w:p w14:paraId="7A08D51E" w14:textId="1D184C27" w:rsidR="009D2E1A" w:rsidRDefault="009D2E1A" w:rsidP="009D2E1A">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b w:val="0"/>
                <w:bCs w:val="0"/>
              </w:rPr>
              <w:t>ABC17-L</w:t>
            </w:r>
          </w:p>
          <w:p w14:paraId="5A1CD17C" w14:textId="3FE4D23D" w:rsidR="009D2E1A" w:rsidRDefault="009D2E1A" w:rsidP="009D2E1A">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Eigenvalue</w:t>
            </w:r>
          </w:p>
        </w:tc>
        <w:tc>
          <w:tcPr>
            <w:tcW w:w="809" w:type="dxa"/>
            <w:textDirection w:val="btLr"/>
            <w:vAlign w:val="center"/>
          </w:tcPr>
          <w:p w14:paraId="50EFB4A8" w14:textId="48624F31" w:rsidR="009D2E1A" w:rsidRDefault="009D2E1A" w:rsidP="009D2E1A">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 % variance</w:t>
            </w:r>
          </w:p>
        </w:tc>
        <w:tc>
          <w:tcPr>
            <w:tcW w:w="810" w:type="dxa"/>
            <w:textDirection w:val="btLr"/>
            <w:vAlign w:val="center"/>
          </w:tcPr>
          <w:p w14:paraId="1F82C8CA" w14:textId="7E84ED41" w:rsidR="009D2E1A" w:rsidRDefault="009D2E1A" w:rsidP="009D2E1A">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 xml:space="preserve">~ cumulative % </w:t>
            </w:r>
          </w:p>
        </w:tc>
      </w:tr>
      <w:tr w:rsidR="009D2E1A" w:rsidRPr="008211B8" w14:paraId="172A6A57" w14:textId="775DBDB4" w:rsidTr="009D2E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82" w:type="dxa"/>
          </w:tcPr>
          <w:p w14:paraId="35F5909D" w14:textId="77777777" w:rsidR="009D2E1A" w:rsidRPr="008211B8" w:rsidRDefault="009D2E1A" w:rsidP="009D2E1A">
            <w:pPr>
              <w:spacing w:before="0" w:after="0" w:line="240" w:lineRule="auto"/>
              <w:jc w:val="center"/>
              <w:rPr>
                <w:rFonts w:ascii="Gill Sans MT" w:hAnsi="Gill Sans MT"/>
                <w:b w:val="0"/>
                <w:bCs w:val="0"/>
              </w:rPr>
            </w:pPr>
            <w:r>
              <w:rPr>
                <w:rFonts w:ascii="Gill Sans MT" w:hAnsi="Gill Sans MT"/>
                <w:b w:val="0"/>
                <w:bCs w:val="0"/>
              </w:rPr>
              <w:t>1</w:t>
            </w:r>
          </w:p>
        </w:tc>
        <w:tc>
          <w:tcPr>
            <w:tcW w:w="809" w:type="dxa"/>
            <w:vAlign w:val="center"/>
          </w:tcPr>
          <w:p w14:paraId="28B9A2F0" w14:textId="718EAB39" w:rsidR="009D2E1A" w:rsidRPr="008211B8"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6.009</w:t>
            </w:r>
          </w:p>
        </w:tc>
        <w:tc>
          <w:tcPr>
            <w:tcW w:w="809" w:type="dxa"/>
            <w:vAlign w:val="center"/>
          </w:tcPr>
          <w:p w14:paraId="74ACAB19" w14:textId="0DEE7979" w:rsidR="009D2E1A" w:rsidRPr="008211B8"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35.348</w:t>
            </w:r>
          </w:p>
        </w:tc>
        <w:tc>
          <w:tcPr>
            <w:tcW w:w="809" w:type="dxa"/>
            <w:vAlign w:val="center"/>
          </w:tcPr>
          <w:p w14:paraId="1F2CDD16" w14:textId="7FABA1B4" w:rsidR="009D2E1A" w:rsidRPr="008211B8"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35.348</w:t>
            </w:r>
          </w:p>
        </w:tc>
        <w:tc>
          <w:tcPr>
            <w:tcW w:w="809" w:type="dxa"/>
            <w:vAlign w:val="center"/>
          </w:tcPr>
          <w:p w14:paraId="22CA52CA" w14:textId="47AD79E1"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7.245</w:t>
            </w:r>
          </w:p>
        </w:tc>
        <w:tc>
          <w:tcPr>
            <w:tcW w:w="809" w:type="dxa"/>
            <w:vAlign w:val="center"/>
          </w:tcPr>
          <w:p w14:paraId="5FB42971" w14:textId="4C0E7CA3"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34.500</w:t>
            </w:r>
          </w:p>
        </w:tc>
        <w:tc>
          <w:tcPr>
            <w:tcW w:w="809" w:type="dxa"/>
            <w:vAlign w:val="center"/>
          </w:tcPr>
          <w:p w14:paraId="3D22BE9A" w14:textId="27DA4575"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34.500</w:t>
            </w:r>
          </w:p>
        </w:tc>
        <w:tc>
          <w:tcPr>
            <w:tcW w:w="809" w:type="dxa"/>
            <w:vAlign w:val="center"/>
          </w:tcPr>
          <w:p w14:paraId="18F16193" w14:textId="3C95B72E"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5.821</w:t>
            </w:r>
          </w:p>
        </w:tc>
        <w:tc>
          <w:tcPr>
            <w:tcW w:w="809" w:type="dxa"/>
            <w:vAlign w:val="center"/>
          </w:tcPr>
          <w:p w14:paraId="6CB5C1C9" w14:textId="6DA2D830"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34.239</w:t>
            </w:r>
          </w:p>
        </w:tc>
        <w:tc>
          <w:tcPr>
            <w:tcW w:w="810" w:type="dxa"/>
            <w:vAlign w:val="center"/>
          </w:tcPr>
          <w:p w14:paraId="624397CD" w14:textId="26DE3D20"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34.239</w:t>
            </w:r>
          </w:p>
        </w:tc>
      </w:tr>
      <w:tr w:rsidR="009D2E1A" w:rsidRPr="008211B8" w14:paraId="6AD74DCF" w14:textId="56238596" w:rsidTr="009D2E1A">
        <w:trPr>
          <w:trHeight w:val="340"/>
        </w:trPr>
        <w:tc>
          <w:tcPr>
            <w:cnfStyle w:val="001000000000" w:firstRow="0" w:lastRow="0" w:firstColumn="1" w:lastColumn="0" w:oddVBand="0" w:evenVBand="0" w:oddHBand="0" w:evenHBand="0" w:firstRowFirstColumn="0" w:firstRowLastColumn="0" w:lastRowFirstColumn="0" w:lastRowLastColumn="0"/>
            <w:tcW w:w="1382" w:type="dxa"/>
          </w:tcPr>
          <w:p w14:paraId="513E3ACF" w14:textId="77777777" w:rsidR="009D2E1A" w:rsidRPr="008211B8" w:rsidRDefault="009D2E1A" w:rsidP="009D2E1A">
            <w:pPr>
              <w:spacing w:before="0" w:after="0" w:line="240" w:lineRule="auto"/>
              <w:jc w:val="center"/>
              <w:rPr>
                <w:rFonts w:ascii="Gill Sans MT" w:hAnsi="Gill Sans MT"/>
                <w:b w:val="0"/>
                <w:bCs w:val="0"/>
              </w:rPr>
            </w:pPr>
            <w:r>
              <w:rPr>
                <w:rFonts w:ascii="Gill Sans MT" w:hAnsi="Gill Sans MT"/>
                <w:b w:val="0"/>
                <w:bCs w:val="0"/>
              </w:rPr>
              <w:t>2</w:t>
            </w:r>
          </w:p>
        </w:tc>
        <w:tc>
          <w:tcPr>
            <w:tcW w:w="809" w:type="dxa"/>
            <w:vAlign w:val="center"/>
          </w:tcPr>
          <w:p w14:paraId="5B6301AC" w14:textId="696D5765" w:rsidR="009D2E1A" w:rsidRPr="008211B8"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1.991</w:t>
            </w:r>
          </w:p>
        </w:tc>
        <w:tc>
          <w:tcPr>
            <w:tcW w:w="809" w:type="dxa"/>
            <w:vAlign w:val="center"/>
          </w:tcPr>
          <w:p w14:paraId="00440199" w14:textId="73939EDB" w:rsidR="009D2E1A" w:rsidRPr="008211B8"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11.709</w:t>
            </w:r>
          </w:p>
        </w:tc>
        <w:tc>
          <w:tcPr>
            <w:tcW w:w="809" w:type="dxa"/>
            <w:vAlign w:val="center"/>
          </w:tcPr>
          <w:p w14:paraId="4BFE0374" w14:textId="6C0C3AA0" w:rsidR="009D2E1A" w:rsidRPr="008211B8"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47.057</w:t>
            </w:r>
          </w:p>
        </w:tc>
        <w:tc>
          <w:tcPr>
            <w:tcW w:w="809" w:type="dxa"/>
            <w:vAlign w:val="center"/>
          </w:tcPr>
          <w:p w14:paraId="3C9BAE71" w14:textId="4EC0679B" w:rsidR="009D2E1A"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2.104</w:t>
            </w:r>
          </w:p>
        </w:tc>
        <w:tc>
          <w:tcPr>
            <w:tcW w:w="809" w:type="dxa"/>
            <w:vAlign w:val="center"/>
          </w:tcPr>
          <w:p w14:paraId="20EDB888" w14:textId="514DBF47" w:rsidR="009D2E1A"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10.020</w:t>
            </w:r>
          </w:p>
        </w:tc>
        <w:tc>
          <w:tcPr>
            <w:tcW w:w="809" w:type="dxa"/>
            <w:vAlign w:val="center"/>
          </w:tcPr>
          <w:p w14:paraId="36210A1D" w14:textId="31AB7820" w:rsidR="009D2E1A"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44.520</w:t>
            </w:r>
          </w:p>
        </w:tc>
        <w:tc>
          <w:tcPr>
            <w:tcW w:w="809" w:type="dxa"/>
            <w:vAlign w:val="center"/>
          </w:tcPr>
          <w:p w14:paraId="4A1C86CB" w14:textId="40374763" w:rsidR="009D2E1A"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2.107</w:t>
            </w:r>
          </w:p>
        </w:tc>
        <w:tc>
          <w:tcPr>
            <w:tcW w:w="809" w:type="dxa"/>
            <w:vAlign w:val="center"/>
          </w:tcPr>
          <w:p w14:paraId="670D0529" w14:textId="59F45C0B" w:rsidR="009D2E1A"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12.392</w:t>
            </w:r>
          </w:p>
        </w:tc>
        <w:tc>
          <w:tcPr>
            <w:tcW w:w="810" w:type="dxa"/>
            <w:vAlign w:val="center"/>
          </w:tcPr>
          <w:p w14:paraId="2BC8BDD6" w14:textId="26FF4900" w:rsidR="009D2E1A"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46.631</w:t>
            </w:r>
          </w:p>
        </w:tc>
      </w:tr>
      <w:tr w:rsidR="009D2E1A" w:rsidRPr="008211B8" w14:paraId="019BE9E3" w14:textId="4F277543" w:rsidTr="009D2E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82" w:type="dxa"/>
          </w:tcPr>
          <w:p w14:paraId="60D0F02A" w14:textId="77777777" w:rsidR="009D2E1A" w:rsidRPr="008211B8" w:rsidRDefault="009D2E1A" w:rsidP="009D2E1A">
            <w:pPr>
              <w:spacing w:before="0" w:after="0" w:line="240" w:lineRule="auto"/>
              <w:jc w:val="center"/>
              <w:rPr>
                <w:rFonts w:ascii="Gill Sans MT" w:hAnsi="Gill Sans MT"/>
                <w:b w:val="0"/>
                <w:bCs w:val="0"/>
              </w:rPr>
            </w:pPr>
            <w:r>
              <w:rPr>
                <w:rFonts w:ascii="Gill Sans MT" w:hAnsi="Gill Sans MT"/>
                <w:b w:val="0"/>
                <w:bCs w:val="0"/>
              </w:rPr>
              <w:t>3</w:t>
            </w:r>
          </w:p>
        </w:tc>
        <w:tc>
          <w:tcPr>
            <w:tcW w:w="809" w:type="dxa"/>
            <w:vAlign w:val="center"/>
          </w:tcPr>
          <w:p w14:paraId="4A9A5FBD" w14:textId="2397B87F" w:rsidR="009D2E1A" w:rsidRPr="008211B8"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1.797</w:t>
            </w:r>
          </w:p>
        </w:tc>
        <w:tc>
          <w:tcPr>
            <w:tcW w:w="809" w:type="dxa"/>
            <w:vAlign w:val="center"/>
          </w:tcPr>
          <w:p w14:paraId="1F579F64" w14:textId="3474381B" w:rsidR="009D2E1A" w:rsidRPr="008211B8"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10.572</w:t>
            </w:r>
          </w:p>
        </w:tc>
        <w:tc>
          <w:tcPr>
            <w:tcW w:w="809" w:type="dxa"/>
            <w:vAlign w:val="center"/>
          </w:tcPr>
          <w:p w14:paraId="7F8A8EF9" w14:textId="1F474E7A" w:rsidR="009D2E1A" w:rsidRPr="008211B8"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57.629</w:t>
            </w:r>
          </w:p>
        </w:tc>
        <w:tc>
          <w:tcPr>
            <w:tcW w:w="809" w:type="dxa"/>
            <w:vAlign w:val="center"/>
          </w:tcPr>
          <w:p w14:paraId="3773AD3C" w14:textId="2988DB74"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1.555</w:t>
            </w:r>
          </w:p>
        </w:tc>
        <w:tc>
          <w:tcPr>
            <w:tcW w:w="809" w:type="dxa"/>
            <w:vAlign w:val="center"/>
          </w:tcPr>
          <w:p w14:paraId="07FAEE7A" w14:textId="78428391"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7.403</w:t>
            </w:r>
          </w:p>
        </w:tc>
        <w:tc>
          <w:tcPr>
            <w:tcW w:w="809" w:type="dxa"/>
            <w:vAlign w:val="center"/>
          </w:tcPr>
          <w:p w14:paraId="566FCBB0" w14:textId="6D5D9FD7"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51.923</w:t>
            </w:r>
          </w:p>
        </w:tc>
        <w:tc>
          <w:tcPr>
            <w:tcW w:w="809" w:type="dxa"/>
            <w:vAlign w:val="center"/>
          </w:tcPr>
          <w:p w14:paraId="21AB794D" w14:textId="5ACAC492"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1.524</w:t>
            </w:r>
          </w:p>
        </w:tc>
        <w:tc>
          <w:tcPr>
            <w:tcW w:w="809" w:type="dxa"/>
            <w:vAlign w:val="center"/>
          </w:tcPr>
          <w:p w14:paraId="0986CD98" w14:textId="1C16D3B0"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8.962</w:t>
            </w:r>
          </w:p>
        </w:tc>
        <w:tc>
          <w:tcPr>
            <w:tcW w:w="810" w:type="dxa"/>
            <w:vAlign w:val="center"/>
          </w:tcPr>
          <w:p w14:paraId="37CA5FDC" w14:textId="63CA8665"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55.593</w:t>
            </w:r>
          </w:p>
        </w:tc>
      </w:tr>
      <w:tr w:rsidR="009D2E1A" w:rsidRPr="008211B8" w14:paraId="2676D073" w14:textId="69CC5090" w:rsidTr="009D2E1A">
        <w:trPr>
          <w:trHeight w:val="340"/>
        </w:trPr>
        <w:tc>
          <w:tcPr>
            <w:cnfStyle w:val="001000000000" w:firstRow="0" w:lastRow="0" w:firstColumn="1" w:lastColumn="0" w:oddVBand="0" w:evenVBand="0" w:oddHBand="0" w:evenHBand="0" w:firstRowFirstColumn="0" w:firstRowLastColumn="0" w:lastRowFirstColumn="0" w:lastRowLastColumn="0"/>
            <w:tcW w:w="1382" w:type="dxa"/>
          </w:tcPr>
          <w:p w14:paraId="55684DA7" w14:textId="77777777" w:rsidR="009D2E1A" w:rsidRPr="008211B8" w:rsidRDefault="009D2E1A" w:rsidP="009D2E1A">
            <w:pPr>
              <w:spacing w:before="0" w:after="0" w:line="240" w:lineRule="auto"/>
              <w:jc w:val="center"/>
              <w:rPr>
                <w:rFonts w:ascii="Gill Sans MT" w:hAnsi="Gill Sans MT"/>
                <w:b w:val="0"/>
                <w:bCs w:val="0"/>
              </w:rPr>
            </w:pPr>
            <w:r>
              <w:rPr>
                <w:rFonts w:ascii="Gill Sans MT" w:hAnsi="Gill Sans MT"/>
                <w:b w:val="0"/>
                <w:bCs w:val="0"/>
              </w:rPr>
              <w:t>4</w:t>
            </w:r>
          </w:p>
        </w:tc>
        <w:tc>
          <w:tcPr>
            <w:tcW w:w="809" w:type="dxa"/>
            <w:vAlign w:val="center"/>
          </w:tcPr>
          <w:p w14:paraId="1D77F59C" w14:textId="2B69045F" w:rsidR="009D2E1A" w:rsidRPr="008211B8"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1.053</w:t>
            </w:r>
          </w:p>
        </w:tc>
        <w:tc>
          <w:tcPr>
            <w:tcW w:w="809" w:type="dxa"/>
            <w:vAlign w:val="center"/>
          </w:tcPr>
          <w:p w14:paraId="1E161CDE" w14:textId="72C2A889" w:rsidR="009D2E1A" w:rsidRPr="008211B8"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6.195</w:t>
            </w:r>
          </w:p>
        </w:tc>
        <w:tc>
          <w:tcPr>
            <w:tcW w:w="809" w:type="dxa"/>
            <w:vAlign w:val="center"/>
          </w:tcPr>
          <w:p w14:paraId="515E3728" w14:textId="772B011F" w:rsidR="009D2E1A" w:rsidRPr="008211B8"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63.824</w:t>
            </w:r>
          </w:p>
        </w:tc>
        <w:tc>
          <w:tcPr>
            <w:tcW w:w="809" w:type="dxa"/>
            <w:vAlign w:val="center"/>
          </w:tcPr>
          <w:p w14:paraId="32FD553A" w14:textId="14D4C2A3" w:rsidR="009D2E1A"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1.203</w:t>
            </w:r>
          </w:p>
        </w:tc>
        <w:tc>
          <w:tcPr>
            <w:tcW w:w="809" w:type="dxa"/>
            <w:vAlign w:val="center"/>
          </w:tcPr>
          <w:p w14:paraId="26D0EC21" w14:textId="0408FD91" w:rsidR="009D2E1A"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5.728</w:t>
            </w:r>
          </w:p>
        </w:tc>
        <w:tc>
          <w:tcPr>
            <w:tcW w:w="809" w:type="dxa"/>
            <w:vAlign w:val="center"/>
          </w:tcPr>
          <w:p w14:paraId="25DF0378" w14:textId="2A66CD3A" w:rsidR="009D2E1A"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57.651</w:t>
            </w:r>
          </w:p>
        </w:tc>
        <w:tc>
          <w:tcPr>
            <w:tcW w:w="809" w:type="dxa"/>
            <w:vAlign w:val="center"/>
          </w:tcPr>
          <w:p w14:paraId="5DD6D615" w14:textId="75AACB86" w:rsidR="009D2E1A"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0.986</w:t>
            </w:r>
          </w:p>
        </w:tc>
        <w:tc>
          <w:tcPr>
            <w:tcW w:w="809" w:type="dxa"/>
            <w:vAlign w:val="center"/>
          </w:tcPr>
          <w:p w14:paraId="2E7943C9" w14:textId="3F17F82B" w:rsidR="009D2E1A"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5.800</w:t>
            </w:r>
          </w:p>
        </w:tc>
        <w:tc>
          <w:tcPr>
            <w:tcW w:w="810" w:type="dxa"/>
            <w:vAlign w:val="center"/>
          </w:tcPr>
          <w:p w14:paraId="5E3B95C1" w14:textId="2435053E" w:rsidR="009D2E1A"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61.390</w:t>
            </w:r>
          </w:p>
        </w:tc>
      </w:tr>
      <w:tr w:rsidR="009D2E1A" w:rsidRPr="008211B8" w14:paraId="7E953699" w14:textId="2EECE71B" w:rsidTr="009D2E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82" w:type="dxa"/>
          </w:tcPr>
          <w:p w14:paraId="37279A3A" w14:textId="77777777" w:rsidR="009D2E1A" w:rsidRPr="008211B8" w:rsidRDefault="009D2E1A" w:rsidP="009D2E1A">
            <w:pPr>
              <w:spacing w:before="0" w:after="0" w:line="240" w:lineRule="auto"/>
              <w:jc w:val="center"/>
              <w:rPr>
                <w:rFonts w:ascii="Gill Sans MT" w:hAnsi="Gill Sans MT"/>
                <w:b w:val="0"/>
                <w:bCs w:val="0"/>
              </w:rPr>
            </w:pPr>
            <w:r>
              <w:rPr>
                <w:rFonts w:ascii="Gill Sans MT" w:hAnsi="Gill Sans MT"/>
                <w:b w:val="0"/>
                <w:bCs w:val="0"/>
              </w:rPr>
              <w:t>5</w:t>
            </w:r>
          </w:p>
        </w:tc>
        <w:tc>
          <w:tcPr>
            <w:tcW w:w="809" w:type="dxa"/>
            <w:vAlign w:val="center"/>
          </w:tcPr>
          <w:p w14:paraId="055483BB" w14:textId="490D83A9" w:rsidR="009D2E1A" w:rsidRPr="008211B8"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0.955</w:t>
            </w:r>
          </w:p>
        </w:tc>
        <w:tc>
          <w:tcPr>
            <w:tcW w:w="809" w:type="dxa"/>
            <w:vAlign w:val="center"/>
          </w:tcPr>
          <w:p w14:paraId="164E5C8D" w14:textId="7D0D1ED7" w:rsidR="009D2E1A" w:rsidRPr="008211B8"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5.619</w:t>
            </w:r>
          </w:p>
        </w:tc>
        <w:tc>
          <w:tcPr>
            <w:tcW w:w="809" w:type="dxa"/>
            <w:vAlign w:val="center"/>
          </w:tcPr>
          <w:p w14:paraId="574148DD" w14:textId="205DC87E" w:rsidR="009D2E1A" w:rsidRPr="008211B8"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69.443</w:t>
            </w:r>
          </w:p>
        </w:tc>
        <w:tc>
          <w:tcPr>
            <w:tcW w:w="809" w:type="dxa"/>
            <w:vAlign w:val="center"/>
          </w:tcPr>
          <w:p w14:paraId="1BDD8CB9" w14:textId="648CDF62"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0.966</w:t>
            </w:r>
          </w:p>
        </w:tc>
        <w:tc>
          <w:tcPr>
            <w:tcW w:w="809" w:type="dxa"/>
            <w:vAlign w:val="center"/>
          </w:tcPr>
          <w:p w14:paraId="5BFD1BE2" w14:textId="2D06BDAD"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4.600</w:t>
            </w:r>
          </w:p>
        </w:tc>
        <w:tc>
          <w:tcPr>
            <w:tcW w:w="809" w:type="dxa"/>
            <w:vAlign w:val="center"/>
          </w:tcPr>
          <w:p w14:paraId="22C163BB" w14:textId="3F8DD00E"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62.250</w:t>
            </w:r>
          </w:p>
        </w:tc>
        <w:tc>
          <w:tcPr>
            <w:tcW w:w="809" w:type="dxa"/>
            <w:vAlign w:val="center"/>
          </w:tcPr>
          <w:p w14:paraId="4506E429" w14:textId="165C4BB6"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0.913</w:t>
            </w:r>
          </w:p>
        </w:tc>
        <w:tc>
          <w:tcPr>
            <w:tcW w:w="809" w:type="dxa"/>
            <w:vAlign w:val="center"/>
          </w:tcPr>
          <w:p w14:paraId="598BD082" w14:textId="0AA3CFDE"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5.371</w:t>
            </w:r>
          </w:p>
        </w:tc>
        <w:tc>
          <w:tcPr>
            <w:tcW w:w="810" w:type="dxa"/>
            <w:vAlign w:val="center"/>
          </w:tcPr>
          <w:p w14:paraId="516AB00E" w14:textId="42759035"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66.764</w:t>
            </w:r>
          </w:p>
        </w:tc>
      </w:tr>
      <w:tr w:rsidR="009D2E1A" w:rsidRPr="008211B8" w14:paraId="65313AF7" w14:textId="04F0DA3D" w:rsidTr="009D2E1A">
        <w:trPr>
          <w:trHeight w:val="340"/>
        </w:trPr>
        <w:tc>
          <w:tcPr>
            <w:cnfStyle w:val="001000000000" w:firstRow="0" w:lastRow="0" w:firstColumn="1" w:lastColumn="0" w:oddVBand="0" w:evenVBand="0" w:oddHBand="0" w:evenHBand="0" w:firstRowFirstColumn="0" w:firstRowLastColumn="0" w:lastRowFirstColumn="0" w:lastRowLastColumn="0"/>
            <w:tcW w:w="1382" w:type="dxa"/>
          </w:tcPr>
          <w:p w14:paraId="3D5C9680" w14:textId="77777777" w:rsidR="009D2E1A" w:rsidRPr="008211B8" w:rsidRDefault="009D2E1A" w:rsidP="009D2E1A">
            <w:pPr>
              <w:spacing w:before="0" w:after="0" w:line="240" w:lineRule="auto"/>
              <w:jc w:val="center"/>
              <w:rPr>
                <w:rFonts w:ascii="Gill Sans MT" w:hAnsi="Gill Sans MT"/>
                <w:b w:val="0"/>
                <w:bCs w:val="0"/>
              </w:rPr>
            </w:pPr>
            <w:r>
              <w:rPr>
                <w:rFonts w:ascii="Gill Sans MT" w:hAnsi="Gill Sans MT"/>
                <w:b w:val="0"/>
                <w:bCs w:val="0"/>
              </w:rPr>
              <w:t>6</w:t>
            </w:r>
          </w:p>
        </w:tc>
        <w:tc>
          <w:tcPr>
            <w:tcW w:w="809" w:type="dxa"/>
            <w:vAlign w:val="center"/>
          </w:tcPr>
          <w:p w14:paraId="24067D5A" w14:textId="2AEAA20A" w:rsidR="009D2E1A" w:rsidRPr="008211B8"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0.806</w:t>
            </w:r>
          </w:p>
        </w:tc>
        <w:tc>
          <w:tcPr>
            <w:tcW w:w="809" w:type="dxa"/>
            <w:vAlign w:val="center"/>
          </w:tcPr>
          <w:p w14:paraId="280398CC" w14:textId="61D964B3" w:rsidR="009D2E1A" w:rsidRPr="008211B8"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4.740</w:t>
            </w:r>
          </w:p>
        </w:tc>
        <w:tc>
          <w:tcPr>
            <w:tcW w:w="809" w:type="dxa"/>
            <w:vAlign w:val="center"/>
          </w:tcPr>
          <w:p w14:paraId="2D099F4E" w14:textId="3FFA5187" w:rsidR="009D2E1A" w:rsidRPr="008211B8"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74.183</w:t>
            </w:r>
          </w:p>
        </w:tc>
        <w:tc>
          <w:tcPr>
            <w:tcW w:w="809" w:type="dxa"/>
            <w:vAlign w:val="center"/>
          </w:tcPr>
          <w:p w14:paraId="5E4FB1B1" w14:textId="5E39F97F" w:rsidR="009D2E1A"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0.915</w:t>
            </w:r>
          </w:p>
        </w:tc>
        <w:tc>
          <w:tcPr>
            <w:tcW w:w="809" w:type="dxa"/>
            <w:vAlign w:val="center"/>
          </w:tcPr>
          <w:p w14:paraId="27DF877F" w14:textId="7C3EFC64" w:rsidR="009D2E1A"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4.359</w:t>
            </w:r>
          </w:p>
        </w:tc>
        <w:tc>
          <w:tcPr>
            <w:tcW w:w="809" w:type="dxa"/>
            <w:vAlign w:val="center"/>
          </w:tcPr>
          <w:p w14:paraId="71120066" w14:textId="700ECF1D" w:rsidR="009D2E1A"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66.610</w:t>
            </w:r>
          </w:p>
        </w:tc>
        <w:tc>
          <w:tcPr>
            <w:tcW w:w="809" w:type="dxa"/>
            <w:vAlign w:val="center"/>
          </w:tcPr>
          <w:p w14:paraId="27358B55" w14:textId="0D8E169D" w:rsidR="009D2E1A"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0.838</w:t>
            </w:r>
          </w:p>
        </w:tc>
        <w:tc>
          <w:tcPr>
            <w:tcW w:w="809" w:type="dxa"/>
            <w:vAlign w:val="center"/>
          </w:tcPr>
          <w:p w14:paraId="7CD06BAB" w14:textId="0E221A3D" w:rsidR="009D2E1A"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4.927</w:t>
            </w:r>
          </w:p>
        </w:tc>
        <w:tc>
          <w:tcPr>
            <w:tcW w:w="810" w:type="dxa"/>
            <w:vAlign w:val="center"/>
          </w:tcPr>
          <w:p w14:paraId="26F0FEC6" w14:textId="4DF0F4B4" w:rsidR="009D2E1A"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71.691</w:t>
            </w:r>
          </w:p>
        </w:tc>
      </w:tr>
      <w:tr w:rsidR="009D2E1A" w:rsidRPr="008211B8" w14:paraId="6934D158" w14:textId="066AB6A5" w:rsidTr="009D2E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82" w:type="dxa"/>
          </w:tcPr>
          <w:p w14:paraId="2CB00872" w14:textId="12430D88" w:rsidR="009D2E1A" w:rsidRPr="008211B8" w:rsidRDefault="009D2E1A" w:rsidP="009D2E1A">
            <w:pPr>
              <w:spacing w:before="0" w:after="0" w:line="240" w:lineRule="auto"/>
              <w:jc w:val="center"/>
              <w:rPr>
                <w:rFonts w:ascii="Gill Sans MT" w:hAnsi="Gill Sans MT"/>
                <w:b w:val="0"/>
                <w:bCs w:val="0"/>
              </w:rPr>
            </w:pPr>
            <w:r>
              <w:rPr>
                <w:rFonts w:ascii="Gill Sans MT" w:hAnsi="Gill Sans MT"/>
                <w:b w:val="0"/>
                <w:bCs w:val="0"/>
              </w:rPr>
              <w:t>7 - ...</w:t>
            </w:r>
          </w:p>
        </w:tc>
        <w:tc>
          <w:tcPr>
            <w:tcW w:w="809" w:type="dxa"/>
            <w:vAlign w:val="center"/>
          </w:tcPr>
          <w:p w14:paraId="7840DAC6" w14:textId="34255A00" w:rsidR="009D2E1A" w:rsidRPr="008211B8"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&lt; 0.693</w:t>
            </w:r>
          </w:p>
        </w:tc>
        <w:tc>
          <w:tcPr>
            <w:tcW w:w="809" w:type="dxa"/>
            <w:vAlign w:val="center"/>
          </w:tcPr>
          <w:p w14:paraId="6B15C434" w14:textId="5132859D" w:rsidR="009D2E1A" w:rsidRPr="008211B8"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&lt; 4.070</w:t>
            </w:r>
          </w:p>
        </w:tc>
        <w:tc>
          <w:tcPr>
            <w:tcW w:w="809" w:type="dxa"/>
            <w:vAlign w:val="center"/>
          </w:tcPr>
          <w:p w14:paraId="3D14FCD8" w14:textId="18454852" w:rsidR="009D2E1A" w:rsidRPr="008211B8"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&gt; 78.2</w:t>
            </w:r>
          </w:p>
        </w:tc>
        <w:tc>
          <w:tcPr>
            <w:tcW w:w="809" w:type="dxa"/>
            <w:vAlign w:val="center"/>
          </w:tcPr>
          <w:p w14:paraId="45E42174" w14:textId="11D36C42"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&lt; 0.845</w:t>
            </w:r>
          </w:p>
        </w:tc>
        <w:tc>
          <w:tcPr>
            <w:tcW w:w="809" w:type="dxa"/>
            <w:vAlign w:val="center"/>
          </w:tcPr>
          <w:p w14:paraId="3F02C85F" w14:textId="772D3148"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&lt; 4.015</w:t>
            </w:r>
          </w:p>
        </w:tc>
        <w:tc>
          <w:tcPr>
            <w:tcW w:w="809" w:type="dxa"/>
            <w:vAlign w:val="center"/>
          </w:tcPr>
          <w:p w14:paraId="3924316A" w14:textId="14B1F77F"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&gt; 70.6</w:t>
            </w:r>
          </w:p>
        </w:tc>
        <w:tc>
          <w:tcPr>
            <w:tcW w:w="809" w:type="dxa"/>
            <w:vAlign w:val="center"/>
          </w:tcPr>
          <w:p w14:paraId="441F1400" w14:textId="7BDD80AC"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&lt; 0.770</w:t>
            </w:r>
          </w:p>
        </w:tc>
        <w:tc>
          <w:tcPr>
            <w:tcW w:w="809" w:type="dxa"/>
            <w:vAlign w:val="center"/>
          </w:tcPr>
          <w:p w14:paraId="66313428" w14:textId="1C835C55"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&lt; 5.530</w:t>
            </w:r>
          </w:p>
        </w:tc>
        <w:tc>
          <w:tcPr>
            <w:tcW w:w="810" w:type="dxa"/>
            <w:vAlign w:val="center"/>
          </w:tcPr>
          <w:p w14:paraId="46ED7AB5" w14:textId="2A84F8B2"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&gt; 762</w:t>
            </w:r>
          </w:p>
        </w:tc>
      </w:tr>
    </w:tbl>
    <w:p w14:paraId="7BE68538" w14:textId="253F79B2" w:rsidR="009D2E1A" w:rsidRDefault="009D2E1A" w:rsidP="001571BF">
      <w:pPr>
        <w:pStyle w:val="Tables"/>
      </w:pPr>
      <w:bookmarkStart w:id="230" w:name="_Toc57033203"/>
      <w:r>
        <w:t>Table 2</w:t>
      </w:r>
      <w:r w:rsidR="002652B3">
        <w:t>4</w:t>
      </w:r>
      <w:r>
        <w:t>:</w:t>
      </w:r>
      <w:r w:rsidR="003214C8">
        <w:tab/>
      </w:r>
      <w:r>
        <w:t>Total variance explained for the PCA on the ABC17, ABC21-L, and ABC17-L Scales.</w:t>
      </w:r>
      <w:bookmarkEnd w:id="230"/>
    </w:p>
    <w:p w14:paraId="4694119A" w14:textId="73B588DF" w:rsidR="009D2E1A" w:rsidRDefault="009D2E1A" w:rsidP="009D2E1A">
      <w:pPr>
        <w:pStyle w:val="Heading4"/>
        <w:rPr>
          <w:rFonts w:eastAsia="Times New Roman"/>
          <w:lang w:eastAsia="en-GB"/>
        </w:rPr>
      </w:pPr>
      <w:r>
        <w:rPr>
          <w:rFonts w:eastAsia="Times New Roman"/>
          <w:lang w:eastAsia="en-GB"/>
        </w:rPr>
        <w:t>ABC Factors</w:t>
      </w:r>
    </w:p>
    <w:p w14:paraId="5A6EE3E5" w14:textId="620DD227" w:rsidR="00E736B2" w:rsidRDefault="009D2E1A" w:rsidP="000F3AC8">
      <w:pPr>
        <w:rPr>
          <w:rFonts w:eastAsia="Times New Roman"/>
          <w:lang w:eastAsia="en-GB"/>
        </w:rPr>
        <w:sectPr w:rsidR="00E736B2" w:rsidSect="00A2665A">
          <w:type w:val="continuous"/>
          <w:pgSz w:w="11906" w:h="16838"/>
          <w:pgMar w:top="720" w:right="964" w:bottom="720" w:left="2268" w:header="708" w:footer="708" w:gutter="0"/>
          <w:cols w:space="708"/>
          <w:docGrid w:linePitch="360"/>
        </w:sectPr>
      </w:pPr>
      <w:r w:rsidRPr="009D2E1A">
        <w:rPr>
          <w:rFonts w:eastAsia="Times New Roman"/>
          <w:lang w:eastAsia="en-GB"/>
        </w:rPr>
        <w:t>Subsequent to the three-factor solutions of dimension reduction processes on the ABC Scales,</w:t>
      </w:r>
      <w:r w:rsidR="00172042">
        <w:rPr>
          <w:rFonts w:eastAsia="Times New Roman"/>
          <w:lang w:eastAsia="en-GB"/>
        </w:rPr>
        <w:t xml:space="preserve"> </w:t>
      </w:r>
      <w:r w:rsidRPr="009D2E1A">
        <w:rPr>
          <w:rFonts w:eastAsia="Times New Roman"/>
          <w:lang w:eastAsia="en-GB"/>
        </w:rPr>
        <w:t xml:space="preserve">factors were designated thematically according to their dimensional composition. Although the groupings of dimensions into factors varied slightly across the four versions </w:t>
      </w:r>
    </w:p>
    <w:p w14:paraId="353B97B0" w14:textId="6D5C674D" w:rsidR="00E736B2" w:rsidRPr="00E736B2" w:rsidRDefault="009D2E1A" w:rsidP="007C33FD">
      <w:pPr>
        <w:spacing w:after="0"/>
      </w:pPr>
      <w:r w:rsidRPr="009D2E1A">
        <w:rPr>
          <w:rFonts w:eastAsia="Times New Roman"/>
          <w:lang w:eastAsia="en-GB"/>
        </w:rPr>
        <w:lastRenderedPageBreak/>
        <w:t>of the ABC Scales, common themes emerged which enabled consistent factor names to be assigned as: Factor 1, Study Efficacy; Factor 2, Engagement; Factor 3, Organization and Planning (Table 2</w:t>
      </w:r>
      <w:r w:rsidR="002652B3">
        <w:rPr>
          <w:rFonts w:eastAsia="Times New Roman"/>
          <w:lang w:eastAsia="en-GB"/>
        </w:rPr>
        <w:t>5</w:t>
      </w:r>
      <w:r w:rsidRPr="009D2E1A">
        <w:rPr>
          <w:rFonts w:eastAsia="Times New Roman"/>
          <w:lang w:eastAsia="en-GB"/>
        </w:rPr>
        <w:t>).</w:t>
      </w:r>
      <w:r w:rsidR="00E736B2">
        <w:t xml:space="preserve"> </w:t>
      </w:r>
      <w:r w:rsidRPr="009D2E1A">
        <w:rPr>
          <w:rFonts w:eastAsia="Times New Roman"/>
          <w:lang w:eastAsia="en-GB"/>
        </w:rPr>
        <w:t>Thus, with dimensions assigned to factors, the dimension reduction process for the ABC Scales was completed, permitting comparisons in ABC Factor levels to be made across the research groups and subgroups (</w:t>
      </w:r>
      <w:r w:rsidR="000B4328">
        <w:rPr>
          <w:rFonts w:eastAsia="Times New Roman"/>
          <w:lang w:eastAsia="en-GB"/>
        </w:rPr>
        <w:t>S</w:t>
      </w:r>
      <w:r w:rsidRPr="009D2E1A">
        <w:rPr>
          <w:rFonts w:eastAsia="Times New Roman"/>
          <w:lang w:eastAsia="en-GB"/>
        </w:rPr>
        <w:t>ection 4.6).</w:t>
      </w:r>
    </w:p>
    <w:tbl>
      <w:tblPr>
        <w:tblStyle w:val="GridTable5Dark-Accent1"/>
        <w:tblW w:w="0" w:type="auto"/>
        <w:tblLook w:val="04A0" w:firstRow="1" w:lastRow="0" w:firstColumn="1" w:lastColumn="0" w:noHBand="0" w:noVBand="1"/>
      </w:tblPr>
      <w:tblGrid>
        <w:gridCol w:w="5893"/>
        <w:gridCol w:w="1785"/>
        <w:gridCol w:w="1786"/>
        <w:gridCol w:w="1786"/>
        <w:gridCol w:w="1786"/>
      </w:tblGrid>
      <w:tr w:rsidR="00E736B2" w:rsidRPr="008211B8" w14:paraId="3323D508" w14:textId="77777777" w:rsidTr="00632E0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701C0717" w14:textId="77777777" w:rsidR="00E736B2" w:rsidRPr="008211B8" w:rsidRDefault="00E736B2" w:rsidP="00225D1C">
            <w:pPr>
              <w:spacing w:before="0" w:after="0" w:line="240" w:lineRule="auto"/>
              <w:jc w:val="center"/>
              <w:rPr>
                <w:rFonts w:ascii="Gill Sans MT" w:hAnsi="Gill Sans MT"/>
                <w:b w:val="0"/>
                <w:bCs w:val="0"/>
              </w:rPr>
            </w:pPr>
            <w:r>
              <w:rPr>
                <w:rFonts w:ascii="Gill Sans MT" w:hAnsi="Gill Sans MT"/>
                <w:b w:val="0"/>
                <w:bCs w:val="0"/>
              </w:rPr>
              <w:t>ABC Scale Item</w:t>
            </w:r>
          </w:p>
        </w:tc>
        <w:tc>
          <w:tcPr>
            <w:tcW w:w="1785" w:type="dxa"/>
            <w:vAlign w:val="center"/>
          </w:tcPr>
          <w:p w14:paraId="7E48F3AA" w14:textId="77777777" w:rsidR="00E736B2" w:rsidRPr="008211B8" w:rsidRDefault="00E736B2" w:rsidP="00225D1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ABC21-L Factor 1</w:t>
            </w:r>
          </w:p>
        </w:tc>
        <w:tc>
          <w:tcPr>
            <w:tcW w:w="1786" w:type="dxa"/>
            <w:vAlign w:val="center"/>
          </w:tcPr>
          <w:p w14:paraId="4FB8B9C4" w14:textId="77777777" w:rsidR="00E736B2" w:rsidRPr="008211B8" w:rsidRDefault="00E736B2" w:rsidP="00225D1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ABC21-L Factor 2</w:t>
            </w:r>
          </w:p>
        </w:tc>
        <w:tc>
          <w:tcPr>
            <w:tcW w:w="1786" w:type="dxa"/>
            <w:vAlign w:val="center"/>
          </w:tcPr>
          <w:p w14:paraId="7CBB7B87" w14:textId="77777777" w:rsidR="00E736B2" w:rsidRPr="008211B8" w:rsidRDefault="00E736B2" w:rsidP="00225D1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ABC21-L Factor 3</w:t>
            </w:r>
          </w:p>
        </w:tc>
        <w:tc>
          <w:tcPr>
            <w:tcW w:w="1786" w:type="dxa"/>
            <w:vAlign w:val="center"/>
          </w:tcPr>
          <w:p w14:paraId="3F7ED664" w14:textId="77777777" w:rsidR="00E736B2" w:rsidRPr="008211B8" w:rsidRDefault="00E736B2" w:rsidP="00225D1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ABC17-L Factor 1</w:t>
            </w:r>
          </w:p>
        </w:tc>
      </w:tr>
      <w:tr w:rsidR="00E736B2" w:rsidRPr="008211B8" w14:paraId="12678F2C" w14:textId="77777777" w:rsidTr="007C33F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4DF2D67E" w14:textId="2A76C4B7" w:rsidR="00E736B2" w:rsidRPr="007C33FD" w:rsidRDefault="00E736B2" w:rsidP="00E736B2">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01: study effectively in independent study</w:t>
            </w:r>
          </w:p>
        </w:tc>
        <w:tc>
          <w:tcPr>
            <w:tcW w:w="1785" w:type="dxa"/>
            <w:shd w:val="clear" w:color="auto" w:fill="E2EFD9" w:themeFill="accent6" w:themeFillTint="33"/>
            <w:vAlign w:val="center"/>
          </w:tcPr>
          <w:p w14:paraId="781B85E6" w14:textId="6A126B25" w:rsidR="00E736B2" w:rsidRPr="00E42D33" w:rsidRDefault="00E736B2"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E2EFD9" w:themeFill="accent6" w:themeFillTint="33"/>
            <w:vAlign w:val="center"/>
          </w:tcPr>
          <w:p w14:paraId="52ECB87F" w14:textId="5FA56027" w:rsidR="00E736B2" w:rsidRPr="00E42D33" w:rsidRDefault="00E736B2"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E2EFD9" w:themeFill="accent6" w:themeFillTint="33"/>
            <w:vAlign w:val="center"/>
          </w:tcPr>
          <w:p w14:paraId="5E6EC85C" w14:textId="6666AE1A" w:rsidR="00E736B2" w:rsidRPr="00E42D33" w:rsidRDefault="00E736B2"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E2EFD9" w:themeFill="accent6" w:themeFillTint="33"/>
            <w:vAlign w:val="center"/>
          </w:tcPr>
          <w:p w14:paraId="5B0964A9" w14:textId="0C3217E8" w:rsidR="00E736B2" w:rsidRPr="00E42D33" w:rsidRDefault="00E736B2"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r>
      <w:tr w:rsidR="00E736B2" w:rsidRPr="008211B8" w14:paraId="6A8E02F7" w14:textId="77777777" w:rsidTr="007C33FD">
        <w:trPr>
          <w:trHeight w:val="28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6D1ECCC7" w14:textId="66E1DC8C" w:rsidR="00E736B2" w:rsidRPr="007C33FD" w:rsidRDefault="00E736B2" w:rsidP="00E736B2">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02: produce best work in exams</w:t>
            </w:r>
          </w:p>
        </w:tc>
        <w:tc>
          <w:tcPr>
            <w:tcW w:w="1785" w:type="dxa"/>
            <w:shd w:val="clear" w:color="auto" w:fill="FFF2CC" w:themeFill="accent4" w:themeFillTint="33"/>
            <w:vAlign w:val="center"/>
          </w:tcPr>
          <w:p w14:paraId="51A2CD87" w14:textId="78CBC771" w:rsidR="00E736B2" w:rsidRPr="00E42D33" w:rsidRDefault="00E736B2"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c>
          <w:tcPr>
            <w:tcW w:w="1786" w:type="dxa"/>
            <w:shd w:val="clear" w:color="auto" w:fill="FFF2CC" w:themeFill="accent4" w:themeFillTint="33"/>
            <w:vAlign w:val="center"/>
          </w:tcPr>
          <w:p w14:paraId="6DB388C9" w14:textId="3CAF21AD" w:rsidR="00E736B2" w:rsidRPr="00E42D33" w:rsidRDefault="00E736B2"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c>
          <w:tcPr>
            <w:tcW w:w="1786" w:type="dxa"/>
            <w:shd w:val="clear" w:color="auto" w:fill="FFF2CC" w:themeFill="accent4" w:themeFillTint="33"/>
            <w:vAlign w:val="center"/>
          </w:tcPr>
          <w:p w14:paraId="1B937192" w14:textId="25ABCBC8" w:rsidR="00E736B2" w:rsidRPr="00E42D33" w:rsidRDefault="00E736B2"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c>
          <w:tcPr>
            <w:tcW w:w="1786" w:type="dxa"/>
            <w:shd w:val="clear" w:color="auto" w:fill="FFF2CC" w:themeFill="accent4" w:themeFillTint="33"/>
            <w:vAlign w:val="center"/>
          </w:tcPr>
          <w:p w14:paraId="0278ACE8" w14:textId="4AB57AA4" w:rsidR="00E736B2" w:rsidRPr="00E42D33" w:rsidRDefault="00E736B2"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r>
      <w:tr w:rsidR="00E736B2" w:rsidRPr="008211B8" w14:paraId="44E12F20" w14:textId="77777777" w:rsidTr="007C33F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038C52BD" w14:textId="61607635" w:rsidR="00E736B2" w:rsidRPr="007C33FD" w:rsidRDefault="00E736B2" w:rsidP="00E736B2">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03: respond to lecturers questions in a full lecture theatre</w:t>
            </w:r>
          </w:p>
        </w:tc>
        <w:tc>
          <w:tcPr>
            <w:tcW w:w="1785" w:type="dxa"/>
            <w:shd w:val="clear" w:color="auto" w:fill="FFF2CC" w:themeFill="accent4" w:themeFillTint="33"/>
            <w:vAlign w:val="center"/>
          </w:tcPr>
          <w:p w14:paraId="394EC3EC" w14:textId="2F2ECE41" w:rsidR="00E736B2" w:rsidRPr="00E42D33" w:rsidRDefault="00E736B2"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c>
          <w:tcPr>
            <w:tcW w:w="1786" w:type="dxa"/>
            <w:shd w:val="clear" w:color="auto" w:fill="FFF2CC" w:themeFill="accent4" w:themeFillTint="33"/>
            <w:vAlign w:val="center"/>
          </w:tcPr>
          <w:p w14:paraId="1DBF1578" w14:textId="31AB63F0" w:rsidR="00E736B2" w:rsidRPr="00E42D33" w:rsidRDefault="00E736B2"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c>
          <w:tcPr>
            <w:tcW w:w="1786" w:type="dxa"/>
            <w:shd w:val="clear" w:color="auto" w:fill="FFF2CC" w:themeFill="accent4" w:themeFillTint="33"/>
            <w:vAlign w:val="center"/>
          </w:tcPr>
          <w:p w14:paraId="46A7632D" w14:textId="1725BD3D" w:rsidR="00E736B2" w:rsidRPr="00E42D33" w:rsidRDefault="00E736B2"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c>
          <w:tcPr>
            <w:tcW w:w="1786" w:type="dxa"/>
            <w:shd w:val="clear" w:color="auto" w:fill="auto"/>
            <w:vAlign w:val="center"/>
          </w:tcPr>
          <w:p w14:paraId="1E94933C" w14:textId="1DD998D7" w:rsidR="00E736B2" w:rsidRPr="00E42D33" w:rsidRDefault="00E736B2"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x</w:t>
            </w:r>
          </w:p>
        </w:tc>
      </w:tr>
      <w:tr w:rsidR="00E736B2" w:rsidRPr="008211B8" w14:paraId="33E9C540" w14:textId="77777777" w:rsidTr="007C33FD">
        <w:trPr>
          <w:trHeight w:val="28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10C961DB" w14:textId="77DA844B" w:rsidR="00E736B2" w:rsidRPr="007C33FD" w:rsidRDefault="00E736B2" w:rsidP="00E736B2">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04: manage workload to meet deadlines</w:t>
            </w:r>
          </w:p>
        </w:tc>
        <w:tc>
          <w:tcPr>
            <w:tcW w:w="1785" w:type="dxa"/>
            <w:shd w:val="clear" w:color="auto" w:fill="E2EFD9" w:themeFill="accent6" w:themeFillTint="33"/>
            <w:vAlign w:val="center"/>
          </w:tcPr>
          <w:p w14:paraId="18BBC423" w14:textId="32A983B1" w:rsidR="00E736B2" w:rsidRPr="00E42D33" w:rsidRDefault="00E42D33"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E2EFD9" w:themeFill="accent6" w:themeFillTint="33"/>
            <w:vAlign w:val="center"/>
          </w:tcPr>
          <w:p w14:paraId="76602151" w14:textId="25077E8A" w:rsidR="00E736B2" w:rsidRPr="00E42D33" w:rsidRDefault="00E736B2"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E2EFD9" w:themeFill="accent6" w:themeFillTint="33"/>
            <w:vAlign w:val="center"/>
          </w:tcPr>
          <w:p w14:paraId="60EB1FE1" w14:textId="2B8E4847" w:rsidR="00E736B2" w:rsidRPr="00E42D33" w:rsidRDefault="00E736B2"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auto"/>
            <w:vAlign w:val="center"/>
          </w:tcPr>
          <w:p w14:paraId="3732D387" w14:textId="0C77A4F6" w:rsidR="00E736B2" w:rsidRPr="00E42D33" w:rsidRDefault="00E736B2"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x</w:t>
            </w:r>
          </w:p>
        </w:tc>
      </w:tr>
      <w:tr w:rsidR="00E736B2" w:rsidRPr="008211B8" w14:paraId="43782A00" w14:textId="77777777" w:rsidTr="007C33F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00B05480" w14:textId="5CBBD9A3" w:rsidR="00E736B2" w:rsidRPr="007C33FD" w:rsidRDefault="00E736B2" w:rsidP="00E736B2">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05: present to a small group of peers</w:t>
            </w:r>
          </w:p>
        </w:tc>
        <w:tc>
          <w:tcPr>
            <w:tcW w:w="1785" w:type="dxa"/>
            <w:shd w:val="clear" w:color="auto" w:fill="FFF2CC" w:themeFill="accent4" w:themeFillTint="33"/>
            <w:vAlign w:val="center"/>
          </w:tcPr>
          <w:p w14:paraId="07A655A5" w14:textId="65002AAF" w:rsidR="00E736B2" w:rsidRPr="00E42D33" w:rsidRDefault="00E736B2"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c>
          <w:tcPr>
            <w:tcW w:w="1786" w:type="dxa"/>
            <w:shd w:val="clear" w:color="auto" w:fill="FFF2CC" w:themeFill="accent4" w:themeFillTint="33"/>
            <w:vAlign w:val="center"/>
          </w:tcPr>
          <w:p w14:paraId="133055B0" w14:textId="52727A0D" w:rsidR="00E736B2" w:rsidRPr="00E42D33" w:rsidRDefault="00E736B2"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c>
          <w:tcPr>
            <w:tcW w:w="1786" w:type="dxa"/>
            <w:shd w:val="clear" w:color="auto" w:fill="FFF2CC" w:themeFill="accent4" w:themeFillTint="33"/>
            <w:vAlign w:val="center"/>
          </w:tcPr>
          <w:p w14:paraId="40540F80" w14:textId="0CC135F1" w:rsidR="00E736B2" w:rsidRPr="00E42D33" w:rsidRDefault="00E736B2"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c>
          <w:tcPr>
            <w:tcW w:w="1786" w:type="dxa"/>
            <w:shd w:val="clear" w:color="auto" w:fill="FFF2CC" w:themeFill="accent4" w:themeFillTint="33"/>
            <w:vAlign w:val="center"/>
          </w:tcPr>
          <w:p w14:paraId="73E3796D" w14:textId="6B3F23A2" w:rsidR="00E736B2" w:rsidRPr="00E42D33" w:rsidRDefault="00E736B2"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r>
      <w:tr w:rsidR="00E736B2" w:rsidRPr="008211B8" w14:paraId="3C96F400" w14:textId="77777777" w:rsidTr="007C33FD">
        <w:trPr>
          <w:trHeight w:val="28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73F0195E" w14:textId="56BCAED9" w:rsidR="00E736B2" w:rsidRPr="007C33FD" w:rsidRDefault="00E736B2" w:rsidP="00E736B2">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06: attend most taught sessions</w:t>
            </w:r>
          </w:p>
        </w:tc>
        <w:tc>
          <w:tcPr>
            <w:tcW w:w="1785" w:type="dxa"/>
            <w:vAlign w:val="center"/>
          </w:tcPr>
          <w:p w14:paraId="5D0A140C" w14:textId="7046E9D2" w:rsidR="00E736B2" w:rsidRPr="00E42D33" w:rsidRDefault="00E736B2"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F3 org &amp; planning</w:t>
            </w:r>
          </w:p>
        </w:tc>
        <w:tc>
          <w:tcPr>
            <w:tcW w:w="1786" w:type="dxa"/>
            <w:vAlign w:val="center"/>
          </w:tcPr>
          <w:p w14:paraId="66AFF596" w14:textId="3DC460DB" w:rsidR="00E736B2" w:rsidRPr="00E42D33" w:rsidRDefault="00E42D33"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F3 org &amp; planning</w:t>
            </w:r>
          </w:p>
        </w:tc>
        <w:tc>
          <w:tcPr>
            <w:tcW w:w="1786" w:type="dxa"/>
            <w:vAlign w:val="center"/>
          </w:tcPr>
          <w:p w14:paraId="076D648C" w14:textId="45C6F0B9" w:rsidR="00E736B2" w:rsidRPr="00E42D33" w:rsidRDefault="00E42D33"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F3 org &amp; planning</w:t>
            </w:r>
          </w:p>
        </w:tc>
        <w:tc>
          <w:tcPr>
            <w:tcW w:w="1786" w:type="dxa"/>
            <w:vAlign w:val="center"/>
          </w:tcPr>
          <w:p w14:paraId="0AB6F54D" w14:textId="2607EF36" w:rsidR="00E736B2" w:rsidRPr="00E42D33" w:rsidRDefault="00E42D33"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F3 org &amp; planning</w:t>
            </w:r>
          </w:p>
        </w:tc>
      </w:tr>
      <w:tr w:rsidR="00E736B2" w:rsidRPr="008211B8" w14:paraId="2AF7D196" w14:textId="77777777" w:rsidTr="007C33F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061B6EB5" w14:textId="69BE0CAB" w:rsidR="00E736B2" w:rsidRPr="007C33FD" w:rsidRDefault="00E736B2" w:rsidP="00E736B2">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07: attain good grades</w:t>
            </w:r>
          </w:p>
        </w:tc>
        <w:tc>
          <w:tcPr>
            <w:tcW w:w="1785" w:type="dxa"/>
            <w:shd w:val="clear" w:color="auto" w:fill="E2EFD9" w:themeFill="accent6" w:themeFillTint="33"/>
            <w:vAlign w:val="center"/>
          </w:tcPr>
          <w:p w14:paraId="6572CCE6" w14:textId="6733CE89" w:rsidR="00E736B2" w:rsidRPr="00E42D33" w:rsidRDefault="00E736B2"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E2EFD9" w:themeFill="accent6" w:themeFillTint="33"/>
            <w:vAlign w:val="center"/>
          </w:tcPr>
          <w:p w14:paraId="002B87C6" w14:textId="498750A2" w:rsidR="00E736B2" w:rsidRPr="00E42D33" w:rsidRDefault="00E736B2"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E2EFD9" w:themeFill="accent6" w:themeFillTint="33"/>
            <w:vAlign w:val="center"/>
          </w:tcPr>
          <w:p w14:paraId="21045FD8" w14:textId="672D4226" w:rsidR="00E736B2" w:rsidRPr="00E42D33" w:rsidRDefault="00E736B2"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E2EFD9" w:themeFill="accent6" w:themeFillTint="33"/>
            <w:vAlign w:val="center"/>
          </w:tcPr>
          <w:p w14:paraId="3FDD9BB1" w14:textId="4E4F89D7" w:rsidR="00E736B2" w:rsidRPr="00E42D33" w:rsidRDefault="00E736B2"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r>
      <w:tr w:rsidR="00E42D33" w:rsidRPr="008211B8" w14:paraId="548DA5E7" w14:textId="77777777" w:rsidTr="007C33FD">
        <w:trPr>
          <w:trHeight w:val="28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0030246A" w14:textId="427C10B0" w:rsidR="00E736B2" w:rsidRPr="007C33FD" w:rsidRDefault="00E736B2" w:rsidP="00E736B2">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08: debate academically with peers</w:t>
            </w:r>
          </w:p>
        </w:tc>
        <w:tc>
          <w:tcPr>
            <w:tcW w:w="1785" w:type="dxa"/>
            <w:shd w:val="clear" w:color="auto" w:fill="FFF2CC" w:themeFill="accent4" w:themeFillTint="33"/>
            <w:vAlign w:val="center"/>
          </w:tcPr>
          <w:p w14:paraId="51F19D78" w14:textId="5C67D55F" w:rsidR="00E736B2" w:rsidRPr="00E42D33" w:rsidRDefault="00E736B2"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c>
          <w:tcPr>
            <w:tcW w:w="1786" w:type="dxa"/>
            <w:shd w:val="clear" w:color="auto" w:fill="FFF2CC" w:themeFill="accent4" w:themeFillTint="33"/>
            <w:vAlign w:val="center"/>
          </w:tcPr>
          <w:p w14:paraId="3D32EFD1" w14:textId="1671764E" w:rsidR="00E736B2" w:rsidRPr="00E42D33" w:rsidRDefault="00E736B2"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c>
          <w:tcPr>
            <w:tcW w:w="1786" w:type="dxa"/>
            <w:shd w:val="clear" w:color="auto" w:fill="FFF2CC" w:themeFill="accent4" w:themeFillTint="33"/>
            <w:vAlign w:val="center"/>
          </w:tcPr>
          <w:p w14:paraId="66270A60" w14:textId="19D44B2E" w:rsidR="00E736B2" w:rsidRPr="00E42D33" w:rsidRDefault="00E736B2"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c>
          <w:tcPr>
            <w:tcW w:w="1786" w:type="dxa"/>
            <w:shd w:val="clear" w:color="auto" w:fill="FFF2CC" w:themeFill="accent4" w:themeFillTint="33"/>
            <w:vAlign w:val="center"/>
          </w:tcPr>
          <w:p w14:paraId="02C602D5" w14:textId="0054EA13" w:rsidR="00E736B2" w:rsidRPr="00E42D33" w:rsidRDefault="00E736B2"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r>
      <w:tr w:rsidR="00E736B2" w:rsidRPr="008211B8" w14:paraId="298A3FA3" w14:textId="77777777" w:rsidTr="007C33F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592281C8" w14:textId="4073EA9B" w:rsidR="00E736B2" w:rsidRPr="007C33FD" w:rsidRDefault="00E736B2" w:rsidP="00E736B2">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09: ask lecturers questions in one-to-one settings</w:t>
            </w:r>
          </w:p>
        </w:tc>
        <w:tc>
          <w:tcPr>
            <w:tcW w:w="1785" w:type="dxa"/>
            <w:shd w:val="clear" w:color="auto" w:fill="FFF2CC" w:themeFill="accent4" w:themeFillTint="33"/>
            <w:vAlign w:val="center"/>
          </w:tcPr>
          <w:p w14:paraId="1BD9C0F5" w14:textId="54A47D85" w:rsidR="00E736B2" w:rsidRPr="00E42D33" w:rsidRDefault="00E736B2"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c>
          <w:tcPr>
            <w:tcW w:w="1786" w:type="dxa"/>
            <w:shd w:val="clear" w:color="auto" w:fill="auto"/>
            <w:vAlign w:val="center"/>
          </w:tcPr>
          <w:p w14:paraId="0BCC2EAE" w14:textId="45702E03" w:rsidR="00E736B2" w:rsidRPr="00E42D33" w:rsidRDefault="00E736B2"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x</w:t>
            </w:r>
          </w:p>
        </w:tc>
        <w:tc>
          <w:tcPr>
            <w:tcW w:w="1786" w:type="dxa"/>
            <w:shd w:val="clear" w:color="auto" w:fill="FFF2CC" w:themeFill="accent4" w:themeFillTint="33"/>
            <w:vAlign w:val="center"/>
          </w:tcPr>
          <w:p w14:paraId="33277B1D" w14:textId="7BA1F105" w:rsidR="00E736B2" w:rsidRPr="00E42D33" w:rsidRDefault="00E736B2"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c>
          <w:tcPr>
            <w:tcW w:w="1786" w:type="dxa"/>
            <w:shd w:val="clear" w:color="auto" w:fill="FFF2CC" w:themeFill="accent4" w:themeFillTint="33"/>
            <w:vAlign w:val="center"/>
          </w:tcPr>
          <w:p w14:paraId="0CAAE054" w14:textId="0EA8350C" w:rsidR="00E736B2" w:rsidRPr="00E42D33" w:rsidRDefault="00E736B2"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r>
      <w:tr w:rsidR="00E736B2" w:rsidRPr="008211B8" w14:paraId="4B92EDA1" w14:textId="77777777" w:rsidTr="007C33FD">
        <w:trPr>
          <w:trHeight w:val="28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37B8270F" w14:textId="4AD231EC" w:rsidR="00E736B2" w:rsidRPr="007C33FD" w:rsidRDefault="00E736B2" w:rsidP="00E736B2">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10: ask lecturers questions during a lecture</w:t>
            </w:r>
          </w:p>
        </w:tc>
        <w:tc>
          <w:tcPr>
            <w:tcW w:w="1785" w:type="dxa"/>
            <w:shd w:val="clear" w:color="auto" w:fill="FFF2CC" w:themeFill="accent4" w:themeFillTint="33"/>
            <w:vAlign w:val="center"/>
          </w:tcPr>
          <w:p w14:paraId="2EBF31EF" w14:textId="6607B3F2" w:rsidR="00E736B2" w:rsidRPr="00E42D33" w:rsidRDefault="00E736B2"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c>
          <w:tcPr>
            <w:tcW w:w="1786" w:type="dxa"/>
            <w:shd w:val="clear" w:color="auto" w:fill="FFF2CC" w:themeFill="accent4" w:themeFillTint="33"/>
            <w:vAlign w:val="center"/>
          </w:tcPr>
          <w:p w14:paraId="77EB5C3D" w14:textId="508F39A8" w:rsidR="00E736B2" w:rsidRPr="00E42D33" w:rsidRDefault="00E736B2"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c>
          <w:tcPr>
            <w:tcW w:w="1786" w:type="dxa"/>
            <w:shd w:val="clear" w:color="auto" w:fill="auto"/>
            <w:vAlign w:val="center"/>
          </w:tcPr>
          <w:p w14:paraId="1B3E75C4" w14:textId="21A3CDB5" w:rsidR="00E736B2" w:rsidRPr="00E42D33" w:rsidRDefault="00E736B2"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x</w:t>
            </w:r>
          </w:p>
        </w:tc>
        <w:tc>
          <w:tcPr>
            <w:tcW w:w="1786" w:type="dxa"/>
            <w:shd w:val="clear" w:color="auto" w:fill="FFF2CC" w:themeFill="accent4" w:themeFillTint="33"/>
            <w:vAlign w:val="center"/>
          </w:tcPr>
          <w:p w14:paraId="46389F5E" w14:textId="24174CE8" w:rsidR="00E736B2" w:rsidRPr="00E42D33" w:rsidRDefault="00E736B2"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r>
      <w:tr w:rsidR="00E736B2" w:rsidRPr="008211B8" w14:paraId="6963C2FE" w14:textId="77777777" w:rsidTr="007C33F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5EB31F50" w14:textId="39ABB550" w:rsidR="00E736B2" w:rsidRPr="007C33FD" w:rsidRDefault="00E736B2" w:rsidP="00E736B2">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11: understand material discussed with lecturers</w:t>
            </w:r>
          </w:p>
        </w:tc>
        <w:tc>
          <w:tcPr>
            <w:tcW w:w="1785" w:type="dxa"/>
            <w:shd w:val="clear" w:color="auto" w:fill="FFF2CC" w:themeFill="accent4" w:themeFillTint="33"/>
            <w:vAlign w:val="center"/>
          </w:tcPr>
          <w:p w14:paraId="18C53A7F" w14:textId="2CEE23F1" w:rsidR="00E736B2" w:rsidRPr="00E42D33" w:rsidRDefault="00E736B2"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c>
          <w:tcPr>
            <w:tcW w:w="1786" w:type="dxa"/>
            <w:shd w:val="clear" w:color="auto" w:fill="auto"/>
            <w:vAlign w:val="center"/>
          </w:tcPr>
          <w:p w14:paraId="6161EC55" w14:textId="46E5AF37" w:rsidR="00E736B2" w:rsidRPr="00E42D33" w:rsidRDefault="00E736B2"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x</w:t>
            </w:r>
          </w:p>
        </w:tc>
        <w:tc>
          <w:tcPr>
            <w:tcW w:w="1786" w:type="dxa"/>
            <w:shd w:val="clear" w:color="auto" w:fill="FFF2CC" w:themeFill="accent4" w:themeFillTint="33"/>
            <w:vAlign w:val="center"/>
          </w:tcPr>
          <w:p w14:paraId="04B45CB0" w14:textId="747FA293" w:rsidR="00E736B2" w:rsidRPr="00E42D33" w:rsidRDefault="00E736B2"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c>
          <w:tcPr>
            <w:tcW w:w="1786" w:type="dxa"/>
            <w:shd w:val="clear" w:color="auto" w:fill="auto"/>
            <w:vAlign w:val="center"/>
          </w:tcPr>
          <w:p w14:paraId="16547D51" w14:textId="5F8CDA2F" w:rsidR="00E736B2" w:rsidRPr="00E42D33" w:rsidRDefault="00E736B2"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x</w:t>
            </w:r>
          </w:p>
        </w:tc>
      </w:tr>
      <w:tr w:rsidR="00E736B2" w:rsidRPr="008211B8" w14:paraId="62A796DC" w14:textId="77777777" w:rsidTr="007C33FD">
        <w:trPr>
          <w:trHeight w:val="28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333C6BE8" w14:textId="4CAA9460" w:rsidR="00E736B2" w:rsidRPr="007C33FD" w:rsidRDefault="00E736B2" w:rsidP="00E736B2">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12: follow themes and debates in lectures</w:t>
            </w:r>
          </w:p>
        </w:tc>
        <w:tc>
          <w:tcPr>
            <w:tcW w:w="1785" w:type="dxa"/>
            <w:shd w:val="clear" w:color="auto" w:fill="FFF2CC" w:themeFill="accent4" w:themeFillTint="33"/>
            <w:vAlign w:val="center"/>
          </w:tcPr>
          <w:p w14:paraId="300470C2" w14:textId="399B35C9" w:rsidR="00E736B2" w:rsidRPr="00E42D33" w:rsidRDefault="00E736B2"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c>
          <w:tcPr>
            <w:tcW w:w="1786" w:type="dxa"/>
            <w:shd w:val="clear" w:color="auto" w:fill="auto"/>
            <w:vAlign w:val="center"/>
          </w:tcPr>
          <w:p w14:paraId="35669546" w14:textId="126B2B67" w:rsidR="00E736B2" w:rsidRPr="00E42D33" w:rsidRDefault="00E736B2"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x</w:t>
            </w:r>
          </w:p>
        </w:tc>
        <w:tc>
          <w:tcPr>
            <w:tcW w:w="1786" w:type="dxa"/>
            <w:shd w:val="clear" w:color="auto" w:fill="FFF2CC" w:themeFill="accent4" w:themeFillTint="33"/>
            <w:vAlign w:val="center"/>
          </w:tcPr>
          <w:p w14:paraId="3B796D41" w14:textId="346CB78E" w:rsidR="00E736B2" w:rsidRPr="00E42D33" w:rsidRDefault="00E736B2"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c>
          <w:tcPr>
            <w:tcW w:w="1786" w:type="dxa"/>
            <w:shd w:val="clear" w:color="auto" w:fill="FFF2CC" w:themeFill="accent4" w:themeFillTint="33"/>
            <w:vAlign w:val="center"/>
          </w:tcPr>
          <w:p w14:paraId="3C6133C0" w14:textId="49CA91B6" w:rsidR="00E736B2" w:rsidRPr="00E42D33" w:rsidRDefault="00E736B2"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r>
      <w:tr w:rsidR="00E736B2" w:rsidRPr="008211B8" w14:paraId="54320FDF" w14:textId="77777777" w:rsidTr="007C33F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52536D82" w14:textId="21057008" w:rsidR="00E736B2" w:rsidRPr="007C33FD" w:rsidRDefault="00E736B2" w:rsidP="00E736B2">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13: prepare thoroughly for tutorials</w:t>
            </w:r>
          </w:p>
        </w:tc>
        <w:tc>
          <w:tcPr>
            <w:tcW w:w="1785" w:type="dxa"/>
            <w:shd w:val="clear" w:color="auto" w:fill="D9E2F3" w:themeFill="accent1" w:themeFillTint="33"/>
            <w:vAlign w:val="center"/>
          </w:tcPr>
          <w:p w14:paraId="659CEA2B" w14:textId="33A11655" w:rsidR="00E736B2" w:rsidRPr="00E42D33" w:rsidRDefault="00E42D33"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F3 org &amp; planning</w:t>
            </w:r>
          </w:p>
        </w:tc>
        <w:tc>
          <w:tcPr>
            <w:tcW w:w="1786" w:type="dxa"/>
            <w:shd w:val="clear" w:color="auto" w:fill="auto"/>
            <w:vAlign w:val="center"/>
          </w:tcPr>
          <w:p w14:paraId="4FD05A92" w14:textId="1863B118" w:rsidR="00E736B2" w:rsidRPr="00E42D33" w:rsidRDefault="00E736B2"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x</w:t>
            </w:r>
          </w:p>
        </w:tc>
        <w:tc>
          <w:tcPr>
            <w:tcW w:w="1786" w:type="dxa"/>
            <w:shd w:val="clear" w:color="auto" w:fill="D9E2F3" w:themeFill="accent1" w:themeFillTint="33"/>
            <w:vAlign w:val="center"/>
          </w:tcPr>
          <w:p w14:paraId="072F82E9" w14:textId="34DE4D9B" w:rsidR="00E736B2" w:rsidRPr="00E42D33" w:rsidRDefault="00E42D33"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F3 org &amp; planning</w:t>
            </w:r>
          </w:p>
        </w:tc>
        <w:tc>
          <w:tcPr>
            <w:tcW w:w="1786" w:type="dxa"/>
            <w:shd w:val="clear" w:color="auto" w:fill="auto"/>
            <w:vAlign w:val="center"/>
          </w:tcPr>
          <w:p w14:paraId="44BDDF63" w14:textId="2BFB50AA" w:rsidR="00E736B2" w:rsidRPr="00E42D33" w:rsidRDefault="00E736B2"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r>
      <w:tr w:rsidR="00E736B2" w:rsidRPr="008211B8" w14:paraId="77F85C79" w14:textId="77777777" w:rsidTr="007C33FD">
        <w:trPr>
          <w:trHeight w:val="28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1F97D3CD" w14:textId="7939C7E0" w:rsidR="00E736B2" w:rsidRPr="007C33FD" w:rsidRDefault="00E736B2" w:rsidP="00E736B2">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14: read recommended background material</w:t>
            </w:r>
          </w:p>
        </w:tc>
        <w:tc>
          <w:tcPr>
            <w:tcW w:w="1785" w:type="dxa"/>
            <w:vAlign w:val="center"/>
          </w:tcPr>
          <w:p w14:paraId="1EA527A2" w14:textId="1FC3B047" w:rsidR="00E736B2" w:rsidRPr="00E42D33" w:rsidRDefault="00E42D33"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F3 org &amp; planning</w:t>
            </w:r>
          </w:p>
        </w:tc>
        <w:tc>
          <w:tcPr>
            <w:tcW w:w="1786" w:type="dxa"/>
            <w:shd w:val="clear" w:color="auto" w:fill="auto"/>
            <w:vAlign w:val="center"/>
          </w:tcPr>
          <w:p w14:paraId="40EE2241" w14:textId="66572935" w:rsidR="00E736B2" w:rsidRPr="00E42D33" w:rsidRDefault="00E736B2"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x</w:t>
            </w:r>
          </w:p>
        </w:tc>
        <w:tc>
          <w:tcPr>
            <w:tcW w:w="1786" w:type="dxa"/>
            <w:vAlign w:val="center"/>
          </w:tcPr>
          <w:p w14:paraId="0AA4FE7E" w14:textId="6313E44F" w:rsidR="00E736B2" w:rsidRPr="00E42D33" w:rsidRDefault="00E42D33"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F3 org &amp; planning</w:t>
            </w:r>
          </w:p>
        </w:tc>
        <w:tc>
          <w:tcPr>
            <w:tcW w:w="1786" w:type="dxa"/>
            <w:shd w:val="clear" w:color="auto" w:fill="auto"/>
            <w:vAlign w:val="center"/>
          </w:tcPr>
          <w:p w14:paraId="76C3EA4F" w14:textId="544045B3" w:rsidR="00E736B2" w:rsidRPr="00E42D33" w:rsidRDefault="00E736B2"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x</w:t>
            </w:r>
          </w:p>
        </w:tc>
      </w:tr>
      <w:tr w:rsidR="00E736B2" w:rsidRPr="008211B8" w14:paraId="7414F8F1" w14:textId="77777777" w:rsidTr="007C33F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0E009103" w14:textId="0008060D" w:rsidR="00E736B2" w:rsidRPr="007C33FD" w:rsidRDefault="00E736B2" w:rsidP="00E736B2">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15: produce coursework at the required standard</w:t>
            </w:r>
          </w:p>
        </w:tc>
        <w:tc>
          <w:tcPr>
            <w:tcW w:w="1785" w:type="dxa"/>
            <w:shd w:val="clear" w:color="auto" w:fill="E2EFD9" w:themeFill="accent6" w:themeFillTint="33"/>
            <w:vAlign w:val="center"/>
          </w:tcPr>
          <w:p w14:paraId="46C7C7BA" w14:textId="40BEB639" w:rsidR="00E736B2" w:rsidRPr="00E42D33" w:rsidRDefault="00E736B2"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E2EFD9" w:themeFill="accent6" w:themeFillTint="33"/>
            <w:vAlign w:val="center"/>
          </w:tcPr>
          <w:p w14:paraId="794607C7" w14:textId="6F618C82" w:rsidR="00E736B2" w:rsidRPr="00E42D33" w:rsidRDefault="00E736B2"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auto"/>
            <w:vAlign w:val="center"/>
          </w:tcPr>
          <w:p w14:paraId="0EA55C00" w14:textId="0C585556" w:rsidR="00E736B2" w:rsidRPr="00E42D33" w:rsidRDefault="00E736B2"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x</w:t>
            </w:r>
          </w:p>
        </w:tc>
        <w:tc>
          <w:tcPr>
            <w:tcW w:w="1786" w:type="dxa"/>
            <w:shd w:val="clear" w:color="auto" w:fill="auto"/>
            <w:vAlign w:val="center"/>
          </w:tcPr>
          <w:p w14:paraId="78C72578" w14:textId="33CE6C54" w:rsidR="00E736B2" w:rsidRPr="00E42D33" w:rsidRDefault="00E736B2"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x</w:t>
            </w:r>
          </w:p>
        </w:tc>
      </w:tr>
      <w:tr w:rsidR="00E736B2" w:rsidRPr="008211B8" w14:paraId="283BD6FF" w14:textId="77777777" w:rsidTr="007C33FD">
        <w:trPr>
          <w:trHeight w:val="28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639F389A" w14:textId="3F50DAE6" w:rsidR="00E736B2" w:rsidRPr="007C33FD" w:rsidRDefault="00E736B2" w:rsidP="00E736B2">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16: write in an appropriate styles</w:t>
            </w:r>
          </w:p>
        </w:tc>
        <w:tc>
          <w:tcPr>
            <w:tcW w:w="1785" w:type="dxa"/>
            <w:shd w:val="clear" w:color="auto" w:fill="E2EFD9" w:themeFill="accent6" w:themeFillTint="33"/>
            <w:vAlign w:val="center"/>
          </w:tcPr>
          <w:p w14:paraId="6E4B457B" w14:textId="111EB32D" w:rsidR="00E736B2" w:rsidRPr="00E42D33" w:rsidRDefault="00E736B2"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E2EFD9" w:themeFill="accent6" w:themeFillTint="33"/>
            <w:vAlign w:val="center"/>
          </w:tcPr>
          <w:p w14:paraId="58B58235" w14:textId="61CC84F6" w:rsidR="00E736B2" w:rsidRPr="00E42D33" w:rsidRDefault="00E736B2"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E2EFD9" w:themeFill="accent6" w:themeFillTint="33"/>
            <w:vAlign w:val="center"/>
          </w:tcPr>
          <w:p w14:paraId="46511547" w14:textId="7E15B35F" w:rsidR="00E736B2" w:rsidRPr="00E42D33" w:rsidRDefault="00E736B2"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E2EFD9" w:themeFill="accent6" w:themeFillTint="33"/>
            <w:vAlign w:val="center"/>
          </w:tcPr>
          <w:p w14:paraId="2FAA1F75" w14:textId="218F33D5" w:rsidR="00E736B2" w:rsidRPr="00E42D33" w:rsidRDefault="00E736B2"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r>
      <w:tr w:rsidR="00E736B2" w:rsidRPr="008211B8" w14:paraId="37966541" w14:textId="77777777" w:rsidTr="007C33F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1AB3C004" w14:textId="1BEA7E87" w:rsidR="00E736B2" w:rsidRPr="007C33FD" w:rsidRDefault="00E736B2" w:rsidP="00E736B2">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17: ask for help if you need it</w:t>
            </w:r>
          </w:p>
        </w:tc>
        <w:tc>
          <w:tcPr>
            <w:tcW w:w="1785" w:type="dxa"/>
            <w:shd w:val="clear" w:color="auto" w:fill="FFF2CC" w:themeFill="accent4" w:themeFillTint="33"/>
            <w:vAlign w:val="center"/>
          </w:tcPr>
          <w:p w14:paraId="7CDA28F3" w14:textId="0DC430A6" w:rsidR="00E736B2" w:rsidRPr="00E42D33" w:rsidRDefault="00E736B2"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c>
          <w:tcPr>
            <w:tcW w:w="1786" w:type="dxa"/>
            <w:shd w:val="clear" w:color="auto" w:fill="auto"/>
            <w:vAlign w:val="center"/>
          </w:tcPr>
          <w:p w14:paraId="5861E7C4" w14:textId="3A8B019C" w:rsidR="00E736B2" w:rsidRPr="00E42D33" w:rsidRDefault="00E736B2"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x</w:t>
            </w:r>
          </w:p>
        </w:tc>
        <w:tc>
          <w:tcPr>
            <w:tcW w:w="1786" w:type="dxa"/>
            <w:shd w:val="clear" w:color="auto" w:fill="FFF2CC" w:themeFill="accent4" w:themeFillTint="33"/>
            <w:vAlign w:val="center"/>
          </w:tcPr>
          <w:p w14:paraId="3F051CD9" w14:textId="01C98515" w:rsidR="00E736B2" w:rsidRPr="00E42D33" w:rsidRDefault="00E736B2"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c>
          <w:tcPr>
            <w:tcW w:w="1786" w:type="dxa"/>
            <w:shd w:val="clear" w:color="auto" w:fill="FFF2CC" w:themeFill="accent4" w:themeFillTint="33"/>
            <w:vAlign w:val="center"/>
          </w:tcPr>
          <w:p w14:paraId="42309815" w14:textId="2B032E14" w:rsidR="00E736B2" w:rsidRPr="00E42D33" w:rsidRDefault="00E736B2"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r>
      <w:tr w:rsidR="00E42D33" w:rsidRPr="008211B8" w14:paraId="04A37E01" w14:textId="77777777" w:rsidTr="007C33FD">
        <w:trPr>
          <w:trHeight w:val="28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1FB7502C" w14:textId="2DF0882C" w:rsidR="00E736B2" w:rsidRPr="007C33FD" w:rsidRDefault="00E736B2" w:rsidP="00E736B2">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18: be on time for lectures</w:t>
            </w:r>
          </w:p>
        </w:tc>
        <w:tc>
          <w:tcPr>
            <w:tcW w:w="1785" w:type="dxa"/>
            <w:vAlign w:val="center"/>
          </w:tcPr>
          <w:p w14:paraId="568B6E7E" w14:textId="258F1708" w:rsidR="00E736B2" w:rsidRPr="00E42D33" w:rsidRDefault="00E42D33"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F3 org &amp; planning</w:t>
            </w:r>
          </w:p>
        </w:tc>
        <w:tc>
          <w:tcPr>
            <w:tcW w:w="1786" w:type="dxa"/>
            <w:vAlign w:val="center"/>
          </w:tcPr>
          <w:p w14:paraId="3E1AAEB1" w14:textId="5B0AE666" w:rsidR="00E736B2" w:rsidRPr="00E42D33" w:rsidRDefault="00E42D33"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F3 org &amp; planning</w:t>
            </w:r>
          </w:p>
        </w:tc>
        <w:tc>
          <w:tcPr>
            <w:tcW w:w="1786" w:type="dxa"/>
            <w:vAlign w:val="center"/>
          </w:tcPr>
          <w:p w14:paraId="20AC8AC1" w14:textId="3398AEE4" w:rsidR="00E736B2" w:rsidRPr="00E42D33" w:rsidRDefault="00E42D33"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F3 org &amp; planning</w:t>
            </w:r>
          </w:p>
        </w:tc>
        <w:tc>
          <w:tcPr>
            <w:tcW w:w="1786" w:type="dxa"/>
            <w:vAlign w:val="center"/>
          </w:tcPr>
          <w:p w14:paraId="1653C869" w14:textId="1419C61B" w:rsidR="00E736B2" w:rsidRPr="00E42D33" w:rsidRDefault="00E42D33"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F3 org &amp; planning</w:t>
            </w:r>
          </w:p>
        </w:tc>
      </w:tr>
      <w:tr w:rsidR="00E736B2" w:rsidRPr="008211B8" w14:paraId="7C9B3B0B" w14:textId="77777777" w:rsidTr="007C33F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0F25AA8F" w14:textId="14EB462A" w:rsidR="00E736B2" w:rsidRPr="007C33FD" w:rsidRDefault="00E736B2" w:rsidP="00E736B2">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19: make the most of university study opportunities</w:t>
            </w:r>
          </w:p>
        </w:tc>
        <w:tc>
          <w:tcPr>
            <w:tcW w:w="1785" w:type="dxa"/>
            <w:shd w:val="clear" w:color="auto" w:fill="D9E2F3" w:themeFill="accent1" w:themeFillTint="33"/>
            <w:vAlign w:val="center"/>
          </w:tcPr>
          <w:p w14:paraId="330CDA49" w14:textId="4A6F14F6" w:rsidR="00E736B2" w:rsidRPr="00E42D33" w:rsidRDefault="00E42D33"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F3 org &amp; planning</w:t>
            </w:r>
          </w:p>
        </w:tc>
        <w:tc>
          <w:tcPr>
            <w:tcW w:w="1786" w:type="dxa"/>
            <w:shd w:val="clear" w:color="auto" w:fill="auto"/>
            <w:vAlign w:val="center"/>
          </w:tcPr>
          <w:p w14:paraId="0F1EEE0D" w14:textId="438D2380" w:rsidR="00E736B2" w:rsidRPr="00E42D33" w:rsidRDefault="00E736B2"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x</w:t>
            </w:r>
          </w:p>
        </w:tc>
        <w:tc>
          <w:tcPr>
            <w:tcW w:w="1786" w:type="dxa"/>
            <w:shd w:val="clear" w:color="auto" w:fill="D9E2F3" w:themeFill="accent1" w:themeFillTint="33"/>
            <w:vAlign w:val="center"/>
          </w:tcPr>
          <w:p w14:paraId="309F1FCC" w14:textId="029F8A01" w:rsidR="00E736B2" w:rsidRPr="00E42D33" w:rsidRDefault="00E42D33"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F3 org &amp; planning</w:t>
            </w:r>
          </w:p>
        </w:tc>
        <w:tc>
          <w:tcPr>
            <w:tcW w:w="1786" w:type="dxa"/>
            <w:shd w:val="clear" w:color="auto" w:fill="E2EFD9" w:themeFill="accent6" w:themeFillTint="33"/>
            <w:vAlign w:val="center"/>
          </w:tcPr>
          <w:p w14:paraId="63939BFD" w14:textId="109FBDC3" w:rsidR="00E736B2" w:rsidRPr="00E42D33" w:rsidRDefault="00E736B2"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r>
      <w:tr w:rsidR="00E42D33" w:rsidRPr="008211B8" w14:paraId="0DD2478A" w14:textId="77777777" w:rsidTr="007C33FD">
        <w:trPr>
          <w:trHeight w:val="28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32B2B3D9" w14:textId="65D57DCF" w:rsidR="00E736B2" w:rsidRPr="007C33FD" w:rsidRDefault="00E736B2" w:rsidP="00E736B2">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20: pass assessment at the first attempt</w:t>
            </w:r>
          </w:p>
        </w:tc>
        <w:tc>
          <w:tcPr>
            <w:tcW w:w="1785" w:type="dxa"/>
            <w:shd w:val="clear" w:color="auto" w:fill="E2EFD9" w:themeFill="accent6" w:themeFillTint="33"/>
            <w:vAlign w:val="center"/>
          </w:tcPr>
          <w:p w14:paraId="0CAA4741" w14:textId="5B3FAABE" w:rsidR="00E736B2" w:rsidRPr="00E42D33" w:rsidRDefault="00E736B2"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E2EFD9" w:themeFill="accent6" w:themeFillTint="33"/>
            <w:vAlign w:val="center"/>
          </w:tcPr>
          <w:p w14:paraId="7B7C3DA9" w14:textId="3486311D" w:rsidR="00E736B2" w:rsidRPr="00E42D33" w:rsidRDefault="00E736B2"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E2EFD9" w:themeFill="accent6" w:themeFillTint="33"/>
            <w:vAlign w:val="center"/>
          </w:tcPr>
          <w:p w14:paraId="68566D4F" w14:textId="1B16E334" w:rsidR="00E736B2" w:rsidRPr="00E42D33" w:rsidRDefault="00E736B2"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auto"/>
            <w:vAlign w:val="center"/>
          </w:tcPr>
          <w:p w14:paraId="56AC65B6" w14:textId="5817082C" w:rsidR="00E736B2" w:rsidRPr="00E42D33" w:rsidRDefault="00E736B2"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x</w:t>
            </w:r>
          </w:p>
        </w:tc>
      </w:tr>
      <w:tr w:rsidR="00E42D33" w:rsidRPr="008211B8" w14:paraId="1540591C" w14:textId="77777777" w:rsidTr="007C33F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570F311A" w14:textId="4C4387AF" w:rsidR="00E736B2" w:rsidRPr="007C33FD" w:rsidRDefault="00E736B2" w:rsidP="00E736B2">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21: plan appropriate revision schedules</w:t>
            </w:r>
          </w:p>
        </w:tc>
        <w:tc>
          <w:tcPr>
            <w:tcW w:w="1785" w:type="dxa"/>
            <w:shd w:val="clear" w:color="auto" w:fill="D9E2F3" w:themeFill="accent1" w:themeFillTint="33"/>
            <w:vAlign w:val="center"/>
          </w:tcPr>
          <w:p w14:paraId="7CDBA695" w14:textId="7525845F" w:rsidR="00E736B2" w:rsidRPr="00E42D33" w:rsidRDefault="00E42D33"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F3 org &amp; planning</w:t>
            </w:r>
          </w:p>
        </w:tc>
        <w:tc>
          <w:tcPr>
            <w:tcW w:w="1786" w:type="dxa"/>
            <w:shd w:val="clear" w:color="auto" w:fill="E2EFD9" w:themeFill="accent6" w:themeFillTint="33"/>
            <w:vAlign w:val="center"/>
          </w:tcPr>
          <w:p w14:paraId="119290CD" w14:textId="792D6C3B" w:rsidR="00E736B2" w:rsidRPr="00E42D33" w:rsidRDefault="00E736B2"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auto"/>
            <w:vAlign w:val="center"/>
          </w:tcPr>
          <w:p w14:paraId="3EC9C6E3" w14:textId="5E9E1954" w:rsidR="00E736B2" w:rsidRPr="00E42D33" w:rsidRDefault="00E736B2"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x</w:t>
            </w:r>
          </w:p>
        </w:tc>
        <w:tc>
          <w:tcPr>
            <w:tcW w:w="1786" w:type="dxa"/>
            <w:shd w:val="clear" w:color="auto" w:fill="E2EFD9" w:themeFill="accent6" w:themeFillTint="33"/>
            <w:vAlign w:val="center"/>
          </w:tcPr>
          <w:p w14:paraId="5DDFD811" w14:textId="723E9C21" w:rsidR="00E736B2" w:rsidRPr="00E42D33" w:rsidRDefault="00E736B2"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r>
      <w:tr w:rsidR="00E42D33" w:rsidRPr="008211B8" w14:paraId="7A5C7F3B" w14:textId="77777777" w:rsidTr="007C33FD">
        <w:trPr>
          <w:trHeight w:val="28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60A7510D" w14:textId="535F2987" w:rsidR="00E736B2" w:rsidRPr="007C33FD" w:rsidRDefault="00E736B2" w:rsidP="00E736B2">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22: remain adequately motivated throughout university</w:t>
            </w:r>
          </w:p>
        </w:tc>
        <w:tc>
          <w:tcPr>
            <w:tcW w:w="1785" w:type="dxa"/>
            <w:shd w:val="clear" w:color="auto" w:fill="E2EFD9" w:themeFill="accent6" w:themeFillTint="33"/>
            <w:vAlign w:val="center"/>
          </w:tcPr>
          <w:p w14:paraId="0DDD3D50" w14:textId="66F89E6A" w:rsidR="00E736B2" w:rsidRPr="00E42D33" w:rsidRDefault="00E736B2"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E2EFD9" w:themeFill="accent6" w:themeFillTint="33"/>
            <w:vAlign w:val="center"/>
          </w:tcPr>
          <w:p w14:paraId="7B85D484" w14:textId="6AE22F3B" w:rsidR="00E736B2" w:rsidRPr="00E42D33" w:rsidRDefault="00E736B2"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E2EFD9" w:themeFill="accent6" w:themeFillTint="33"/>
            <w:vAlign w:val="center"/>
          </w:tcPr>
          <w:p w14:paraId="5836BD78" w14:textId="023AEBC4" w:rsidR="00E736B2" w:rsidRPr="00E42D33" w:rsidRDefault="00E736B2"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auto"/>
            <w:vAlign w:val="center"/>
          </w:tcPr>
          <w:p w14:paraId="470F85A0" w14:textId="29735F19" w:rsidR="00E736B2" w:rsidRPr="00E42D33" w:rsidRDefault="00E736B2"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x</w:t>
            </w:r>
          </w:p>
        </w:tc>
      </w:tr>
      <w:tr w:rsidR="00E42D33" w:rsidRPr="008211B8" w14:paraId="67D8F535" w14:textId="77777777" w:rsidTr="007C33F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4989F3BE" w14:textId="18AA6E4B" w:rsidR="00E736B2" w:rsidRPr="007C33FD" w:rsidRDefault="00E736B2" w:rsidP="00E736B2">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23: produce best work in coursework assignments</w:t>
            </w:r>
          </w:p>
        </w:tc>
        <w:tc>
          <w:tcPr>
            <w:tcW w:w="1785" w:type="dxa"/>
            <w:shd w:val="clear" w:color="auto" w:fill="E2EFD9" w:themeFill="accent6" w:themeFillTint="33"/>
            <w:vAlign w:val="center"/>
          </w:tcPr>
          <w:p w14:paraId="4C589CDC" w14:textId="4A1411F5" w:rsidR="00E736B2" w:rsidRPr="00E42D33" w:rsidRDefault="00E736B2"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E2EFD9" w:themeFill="accent6" w:themeFillTint="33"/>
            <w:vAlign w:val="center"/>
          </w:tcPr>
          <w:p w14:paraId="7E867FC8" w14:textId="7F01C69B" w:rsidR="00E736B2" w:rsidRPr="00E42D33" w:rsidRDefault="00E736B2"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E2EFD9" w:themeFill="accent6" w:themeFillTint="33"/>
            <w:vAlign w:val="center"/>
          </w:tcPr>
          <w:p w14:paraId="08E11006" w14:textId="022D2A03" w:rsidR="00E736B2" w:rsidRPr="00E42D33" w:rsidRDefault="00E736B2"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E2EFD9" w:themeFill="accent6" w:themeFillTint="33"/>
            <w:vAlign w:val="center"/>
          </w:tcPr>
          <w:p w14:paraId="3D306D1A" w14:textId="19B178C1" w:rsidR="00E736B2" w:rsidRPr="00E42D33" w:rsidRDefault="00E736B2" w:rsidP="00E736B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r>
      <w:tr w:rsidR="00E42D33" w:rsidRPr="008211B8" w14:paraId="31910CCA" w14:textId="77777777" w:rsidTr="007C33FD">
        <w:trPr>
          <w:trHeight w:val="28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3A5DB66D" w14:textId="3F5339E5" w:rsidR="00E736B2" w:rsidRPr="007C33FD" w:rsidRDefault="00E736B2" w:rsidP="00E736B2">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24: attend tutorials</w:t>
            </w:r>
          </w:p>
        </w:tc>
        <w:tc>
          <w:tcPr>
            <w:tcW w:w="1785" w:type="dxa"/>
            <w:vAlign w:val="center"/>
          </w:tcPr>
          <w:p w14:paraId="382C3396" w14:textId="25A767C8" w:rsidR="00E736B2" w:rsidRPr="00E42D33" w:rsidRDefault="00E42D33"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F3 org &amp; planning</w:t>
            </w:r>
          </w:p>
        </w:tc>
        <w:tc>
          <w:tcPr>
            <w:tcW w:w="1786" w:type="dxa"/>
            <w:vAlign w:val="center"/>
          </w:tcPr>
          <w:p w14:paraId="12C3DFFB" w14:textId="52894303" w:rsidR="00E736B2" w:rsidRPr="00E42D33" w:rsidRDefault="00E42D33"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F3 org &amp; planning</w:t>
            </w:r>
          </w:p>
        </w:tc>
        <w:tc>
          <w:tcPr>
            <w:tcW w:w="1786" w:type="dxa"/>
            <w:vAlign w:val="center"/>
          </w:tcPr>
          <w:p w14:paraId="7F745587" w14:textId="0805A498" w:rsidR="00E736B2" w:rsidRPr="00E42D33" w:rsidRDefault="00E42D33"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F3 org &amp; planning</w:t>
            </w:r>
          </w:p>
        </w:tc>
        <w:tc>
          <w:tcPr>
            <w:tcW w:w="1786" w:type="dxa"/>
            <w:vAlign w:val="center"/>
          </w:tcPr>
          <w:p w14:paraId="2D0228D6" w14:textId="107CF3C0" w:rsidR="00E736B2" w:rsidRPr="00E42D33" w:rsidRDefault="00E42D33" w:rsidP="00E736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F3 org &amp; planning</w:t>
            </w:r>
          </w:p>
        </w:tc>
      </w:tr>
    </w:tbl>
    <w:p w14:paraId="383A8784" w14:textId="08313967" w:rsidR="007C33FD" w:rsidRDefault="007C33FD" w:rsidP="00990233">
      <w:pPr>
        <w:pStyle w:val="Tables"/>
      </w:pPr>
      <w:bookmarkStart w:id="231" w:name="_Toc57033204"/>
      <w:r>
        <w:t>Table 2</w:t>
      </w:r>
      <w:r w:rsidR="002652B3">
        <w:t>5</w:t>
      </w:r>
      <w:r>
        <w:t>:</w:t>
      </w:r>
      <w:r w:rsidR="003214C8">
        <w:tab/>
      </w:r>
      <w:r>
        <w:t>Total variance explained for the PCA on the ABC17, ABC21-L, and ABC17-L Scales.</w:t>
      </w:r>
      <w:bookmarkEnd w:id="231"/>
    </w:p>
    <w:p w14:paraId="2B1EDCA3" w14:textId="756816B2" w:rsidR="00E736B2" w:rsidRDefault="00E736B2" w:rsidP="009D2E1A">
      <w:pPr>
        <w:rPr>
          <w:rFonts w:eastAsia="Times New Roman"/>
          <w:lang w:eastAsia="en-GB"/>
        </w:rPr>
        <w:sectPr w:rsidR="00E736B2" w:rsidSect="00A2665A">
          <w:type w:val="continuous"/>
          <w:pgSz w:w="16838" w:h="11906" w:orient="landscape"/>
          <w:pgMar w:top="964" w:right="720" w:bottom="921" w:left="2988" w:header="708" w:footer="708" w:gutter="0"/>
          <w:cols w:space="708"/>
          <w:docGrid w:linePitch="360"/>
        </w:sectPr>
      </w:pPr>
    </w:p>
    <w:p w14:paraId="617EFF8B" w14:textId="3E87F63A" w:rsidR="007C33FD" w:rsidRPr="00537A60" w:rsidRDefault="007C33FD" w:rsidP="007C33FD">
      <w:pPr>
        <w:pStyle w:val="Heading3"/>
      </w:pPr>
      <w:bookmarkStart w:id="232" w:name="_Toc57035933"/>
      <w:r>
        <w:lastRenderedPageBreak/>
        <w:t>I</w:t>
      </w:r>
      <w:r w:rsidR="00CA48C2">
        <w:t>V</w:t>
      </w:r>
      <w:r w:rsidR="004D5123">
        <w:tab/>
      </w:r>
      <w:r>
        <w:t>PCA on Dyslexia Index</w:t>
      </w:r>
      <w:bookmarkEnd w:id="232"/>
    </w:p>
    <w:p w14:paraId="601E730D" w14:textId="77777777" w:rsidR="007C33FD" w:rsidRDefault="007C33FD" w:rsidP="007C33FD">
      <w:pPr>
        <w:pStyle w:val="Heading4"/>
      </w:pPr>
    </w:p>
    <w:p w14:paraId="7C915532" w14:textId="7A1B1EAC" w:rsidR="007C33FD" w:rsidRPr="00225D1C" w:rsidRDefault="007C33FD" w:rsidP="000F3AC8">
      <w:pPr>
        <w:rPr>
          <w:rFonts w:eastAsia="Times New Roman"/>
          <w:lang w:eastAsia="en-GB"/>
        </w:rPr>
      </w:pPr>
      <w:r w:rsidRPr="007C33FD">
        <w:rPr>
          <w:rFonts w:eastAsia="Times New Roman"/>
          <w:lang w:eastAsia="en-GB"/>
        </w:rPr>
        <w:t>Parallel analysis simulations provided helpful insight into the possible sub-scale structure for the ABC Scale. However</w:t>
      </w:r>
      <w:r w:rsidR="00632E07">
        <w:rPr>
          <w:rFonts w:eastAsia="Times New Roman"/>
          <w:lang w:eastAsia="en-GB"/>
        </w:rPr>
        <w:t>,</w:t>
      </w:r>
      <w:r w:rsidR="00172042">
        <w:rPr>
          <w:rFonts w:eastAsia="Times New Roman"/>
          <w:lang w:eastAsia="en-GB"/>
        </w:rPr>
        <w:t xml:space="preserve"> </w:t>
      </w:r>
      <w:r w:rsidRPr="007C33FD">
        <w:rPr>
          <w:rFonts w:eastAsia="Times New Roman"/>
          <w:lang w:eastAsia="en-GB"/>
        </w:rPr>
        <w:t xml:space="preserve">when the approach was applied to the Dx Profiler Scales, Dx20 and Dx16, outcomes were mixed leading to </w:t>
      </w:r>
      <w:r w:rsidR="004D5123">
        <w:rPr>
          <w:rFonts w:eastAsia="Times New Roman"/>
          <w:lang w:eastAsia="en-GB"/>
        </w:rPr>
        <w:t xml:space="preserve">an unconvincing level of </w:t>
      </w:r>
      <w:r w:rsidRPr="007C33FD">
        <w:rPr>
          <w:rFonts w:eastAsia="Times New Roman"/>
          <w:lang w:eastAsia="en-GB"/>
        </w:rPr>
        <w:t>confidence that any meaningful sub-scale structure could be determined</w:t>
      </w:r>
      <w:r w:rsidR="004D5123">
        <w:rPr>
          <w:rFonts w:eastAsia="Times New Roman"/>
          <w:lang w:eastAsia="en-GB"/>
        </w:rPr>
        <w:t>, if based on the data collected in this study</w:t>
      </w:r>
      <w:r w:rsidRPr="007C33FD">
        <w:rPr>
          <w:rFonts w:eastAsia="Times New Roman"/>
          <w:lang w:eastAsia="en-GB"/>
        </w:rPr>
        <w:t xml:space="preserve">. Certainly </w:t>
      </w:r>
      <w:r w:rsidR="00632E07">
        <w:rPr>
          <w:rFonts w:eastAsia="Times New Roman"/>
          <w:lang w:eastAsia="en-GB"/>
        </w:rPr>
        <w:t>f</w:t>
      </w:r>
      <w:r w:rsidRPr="007C33FD">
        <w:rPr>
          <w:rFonts w:eastAsia="Times New Roman"/>
          <w:lang w:eastAsia="en-GB"/>
        </w:rPr>
        <w:t>or the Dx16 Scale, it seemed likely that this was best considered</w:t>
      </w:r>
      <w:r w:rsidR="00172042">
        <w:rPr>
          <w:rFonts w:eastAsia="Times New Roman"/>
          <w:lang w:eastAsia="en-GB"/>
        </w:rPr>
        <w:t xml:space="preserve"> </w:t>
      </w:r>
      <w:r w:rsidRPr="007C33FD">
        <w:rPr>
          <w:rFonts w:eastAsia="Times New Roman"/>
          <w:lang w:eastAsia="en-GB"/>
        </w:rPr>
        <w:t>as a single-factor scale. The outcomes for the Dx20 Scale indicated that there may be two distinct sub-scales although the rotated component matrix showed that one of these comprised the four dimensions which had been previously identified as troublesome (Dx03, 05, 07, 13) and likely to be redundant according to reliability analysis (sub-section 4.3</w:t>
      </w:r>
      <w:r w:rsidR="000B4328">
        <w:rPr>
          <w:rFonts w:eastAsia="Times New Roman"/>
          <w:lang w:eastAsia="en-GB"/>
        </w:rPr>
        <w:t>/</w:t>
      </w:r>
      <w:r w:rsidRPr="007C33FD">
        <w:rPr>
          <w:rFonts w:eastAsia="Times New Roman"/>
          <w:lang w:eastAsia="en-GB"/>
        </w:rPr>
        <w:t>III</w:t>
      </w:r>
      <w:r w:rsidR="000B4328">
        <w:rPr>
          <w:rFonts w:eastAsia="Times New Roman"/>
          <w:lang w:eastAsia="en-GB"/>
        </w:rPr>
        <w:t>.</w:t>
      </w:r>
      <w:r w:rsidRPr="007C33FD">
        <w:rPr>
          <w:rFonts w:eastAsia="Times New Roman"/>
          <w:lang w:eastAsia="en-GB"/>
        </w:rPr>
        <w:t>1), thus establishing</w:t>
      </w:r>
      <w:r w:rsidR="00172042">
        <w:rPr>
          <w:rFonts w:eastAsia="Times New Roman"/>
          <w:lang w:eastAsia="en-GB"/>
        </w:rPr>
        <w:t xml:space="preserve"> </w:t>
      </w:r>
      <w:r w:rsidRPr="007C33FD">
        <w:rPr>
          <w:rFonts w:eastAsia="Times New Roman"/>
          <w:lang w:eastAsia="en-GB"/>
        </w:rPr>
        <w:t>the Dx16 version of the Profiler. As</w:t>
      </w:r>
      <w:r w:rsidR="00172042">
        <w:rPr>
          <w:rFonts w:eastAsia="Times New Roman"/>
          <w:lang w:eastAsia="en-GB"/>
        </w:rPr>
        <w:t xml:space="preserve"> </w:t>
      </w:r>
      <w:r w:rsidRPr="007C33FD">
        <w:rPr>
          <w:rFonts w:eastAsia="Times New Roman"/>
          <w:lang w:eastAsia="en-GB"/>
        </w:rPr>
        <w:t>the Monte Carlo simulation had indicated</w:t>
      </w:r>
      <w:r w:rsidR="00172042">
        <w:rPr>
          <w:rFonts w:eastAsia="Times New Roman"/>
          <w:lang w:eastAsia="en-GB"/>
        </w:rPr>
        <w:t xml:space="preserve"> </w:t>
      </w:r>
      <w:r w:rsidRPr="007C33FD">
        <w:rPr>
          <w:rFonts w:eastAsia="Times New Roman"/>
          <w:lang w:eastAsia="en-GB"/>
        </w:rPr>
        <w:t xml:space="preserve">a possible borderline third eigenvalue, a three-factor solution </w:t>
      </w:r>
      <w:r w:rsidR="00172042">
        <w:rPr>
          <w:rFonts w:eastAsia="Times New Roman"/>
          <w:lang w:eastAsia="en-GB"/>
        </w:rPr>
        <w:t xml:space="preserve">for the Dx20 Scale </w:t>
      </w:r>
      <w:r w:rsidRPr="007C33FD">
        <w:rPr>
          <w:rFonts w:eastAsia="Times New Roman"/>
          <w:lang w:eastAsia="en-GB"/>
        </w:rPr>
        <w:t>was considered, but the factor loadings were also of dubious merit for identifying a meaningful structure (Table 2</w:t>
      </w:r>
      <w:r w:rsidR="002652B3">
        <w:rPr>
          <w:rFonts w:eastAsia="Times New Roman"/>
          <w:lang w:eastAsia="en-GB"/>
        </w:rPr>
        <w:t>6</w:t>
      </w:r>
      <w:r w:rsidRPr="007C33FD">
        <w:rPr>
          <w:rFonts w:eastAsia="Times New Roman"/>
          <w:lang w:eastAsia="en-GB"/>
        </w:rPr>
        <w:t>).</w:t>
      </w:r>
    </w:p>
    <w:p w14:paraId="4ACD16FB" w14:textId="77777777" w:rsidR="00225D1C" w:rsidRDefault="00225D1C" w:rsidP="00225D1C">
      <w:pPr>
        <w:pStyle w:val="Heading4"/>
        <w:rPr>
          <w:rFonts w:eastAsia="Times New Roman"/>
          <w:lang w:eastAsia="en-GB"/>
        </w:rPr>
      </w:pPr>
      <w:r>
        <w:rPr>
          <w:rFonts w:eastAsia="Times New Roman"/>
          <w:lang w:eastAsia="en-GB"/>
        </w:rPr>
        <w:t>Proportion of variance explained</w:t>
      </w:r>
    </w:p>
    <w:p w14:paraId="38F771BA" w14:textId="3F1B1A1B" w:rsidR="00225D1C" w:rsidRDefault="00225D1C" w:rsidP="00225D1C">
      <w:pPr>
        <w:pStyle w:val="Heading5"/>
        <w:rPr>
          <w:lang w:eastAsia="en-GB"/>
        </w:rPr>
      </w:pPr>
      <w:r>
        <w:rPr>
          <w:lang w:eastAsia="en-GB"/>
        </w:rPr>
        <w:t xml:space="preserve">Dx20 </w:t>
      </w:r>
      <w:r w:rsidR="00632E07">
        <w:rPr>
          <w:lang w:eastAsia="en-GB"/>
        </w:rPr>
        <w:t xml:space="preserve"> </w:t>
      </w:r>
      <w:r>
        <w:rPr>
          <w:lang w:eastAsia="en-GB"/>
        </w:rPr>
        <w:t>Scale</w:t>
      </w:r>
    </w:p>
    <w:p w14:paraId="1C2CD936" w14:textId="3FA3EBD7" w:rsidR="00225D1C" w:rsidRPr="00225D1C" w:rsidRDefault="00225D1C" w:rsidP="000F3AC8">
      <w:pPr>
        <w:rPr>
          <w:rFonts w:eastAsia="Times New Roman"/>
          <w:lang w:eastAsia="en-GB"/>
        </w:rPr>
      </w:pPr>
      <w:r w:rsidRPr="000F438F">
        <w:rPr>
          <w:rFonts w:eastAsia="Times New Roman"/>
          <w:lang w:eastAsia="en-GB"/>
        </w:rPr>
        <w:t>The</w:t>
      </w:r>
      <w:r>
        <w:rPr>
          <w:rFonts w:eastAsia="Times New Roman"/>
          <w:lang w:eastAsia="en-GB"/>
        </w:rPr>
        <w:t xml:space="preserve"> table of proportions </w:t>
      </w:r>
      <w:r w:rsidRPr="007A6726">
        <w:rPr>
          <w:rFonts w:eastAsia="Times New Roman"/>
          <w:lang w:eastAsia="en-GB"/>
        </w:rPr>
        <w:t>of variance explained by the eigenvalues generated through the PCA on the Dx20 Scale indicated</w:t>
      </w:r>
      <w:r>
        <w:rPr>
          <w:rFonts w:eastAsia="Times New Roman"/>
          <w:lang w:eastAsia="en-GB"/>
        </w:rPr>
        <w:t xml:space="preserve"> </w:t>
      </w:r>
      <w:r w:rsidRPr="007A6726">
        <w:rPr>
          <w:rFonts w:eastAsia="Times New Roman"/>
          <w:lang w:eastAsia="en-GB"/>
        </w:rPr>
        <w:t>that in the absence of testing the dimension reduction outcome by applying a parallel analysis a four, or possibly five-factor solution may have been adopted as a sub-scale structure (Table 2</w:t>
      </w:r>
      <w:r w:rsidR="002652B3">
        <w:rPr>
          <w:rFonts w:eastAsia="Times New Roman"/>
          <w:lang w:eastAsia="en-GB"/>
        </w:rPr>
        <w:t>6</w:t>
      </w:r>
      <w:r w:rsidRPr="007A6726">
        <w:rPr>
          <w:rFonts w:eastAsia="Times New Roman"/>
          <w:lang w:eastAsia="en-GB"/>
        </w:rPr>
        <w:t>) according to the eigenvalues &gt; 1 criterion for retaining factors. Conversely, the scree plot (Fig</w:t>
      </w:r>
      <w:r w:rsidR="003214C8">
        <w:rPr>
          <w:rFonts w:eastAsia="Times New Roman"/>
          <w:lang w:eastAsia="en-GB"/>
        </w:rPr>
        <w:t xml:space="preserve">ure </w:t>
      </w:r>
      <w:r w:rsidR="009F5F43">
        <w:rPr>
          <w:rFonts w:eastAsia="Times New Roman"/>
          <w:lang w:eastAsia="en-GB"/>
        </w:rPr>
        <w:t>20</w:t>
      </w:r>
      <w:r w:rsidRPr="007A6726">
        <w:rPr>
          <w:rFonts w:eastAsia="Times New Roman"/>
          <w:lang w:eastAsia="en-GB"/>
        </w:rPr>
        <w:t>) shows</w:t>
      </w:r>
      <w:r>
        <w:rPr>
          <w:rFonts w:eastAsia="Times New Roman"/>
          <w:lang w:eastAsia="en-GB"/>
        </w:rPr>
        <w:t xml:space="preserve"> </w:t>
      </w:r>
      <w:r w:rsidRPr="007A6726">
        <w:rPr>
          <w:rFonts w:eastAsia="Times New Roman"/>
          <w:lang w:eastAsia="en-GB"/>
        </w:rPr>
        <w:t>no substantial change in gradient beyond the second component, conventionally taken as an indicator for the number of factors to retain when this additional criterion is used. Hence, evidence to support further examination of a possible sub-scale structure for the Dx Profiler (in either version) was sparse or at best indeterminate, suggesting that using</w:t>
      </w:r>
      <w:r>
        <w:rPr>
          <w:rFonts w:eastAsia="Times New Roman"/>
          <w:lang w:eastAsia="en-GB"/>
        </w:rPr>
        <w:t xml:space="preserve"> </w:t>
      </w:r>
      <w:r w:rsidRPr="007A6726">
        <w:rPr>
          <w:rFonts w:eastAsia="Times New Roman"/>
          <w:lang w:eastAsia="en-GB"/>
        </w:rPr>
        <w:t>the Dx20 and the Dx16 Profiler Scales as single-factor scales would be a more prudent</w:t>
      </w:r>
      <w:r>
        <w:rPr>
          <w:rFonts w:eastAsia="Times New Roman"/>
          <w:lang w:eastAsia="en-GB"/>
        </w:rPr>
        <w:t xml:space="preserve"> </w:t>
      </w:r>
      <w:r w:rsidRPr="007A6726">
        <w:rPr>
          <w:rFonts w:eastAsia="Times New Roman"/>
          <w:lang w:eastAsia="en-GB"/>
        </w:rPr>
        <w:t>approach</w:t>
      </w:r>
      <w:r>
        <w:rPr>
          <w:rFonts w:eastAsia="Times New Roman"/>
          <w:lang w:eastAsia="en-GB"/>
        </w:rPr>
        <w:t xml:space="preserve"> </w:t>
      </w:r>
      <w:r w:rsidRPr="007A6726">
        <w:rPr>
          <w:rFonts w:eastAsia="Times New Roman"/>
          <w:lang w:eastAsia="en-GB"/>
        </w:rPr>
        <w:t>for further analysis of the data in this current study.</w:t>
      </w:r>
    </w:p>
    <w:p w14:paraId="442FFD8F" w14:textId="1B8C75FD" w:rsidR="00EF56B9" w:rsidRPr="00225D1C" w:rsidRDefault="00225D1C" w:rsidP="00225D1C">
      <w:pPr>
        <w:rPr>
          <w:rFonts w:eastAsia="Times New Roman"/>
          <w:lang w:eastAsia="en-GB"/>
        </w:rPr>
      </w:pPr>
      <w:r w:rsidRPr="00225D1C">
        <w:rPr>
          <w:rFonts w:eastAsia="Times New Roman"/>
          <w:lang w:eastAsia="en-GB"/>
        </w:rPr>
        <w:t>However, it is possible to speculate that were more data available to contribute to the dimension reduction process, a more robust three-factor solution may have been the outcome</w:t>
      </w:r>
      <w:r w:rsidR="00304DFF">
        <w:rPr>
          <w:rFonts w:eastAsia="Times New Roman"/>
          <w:lang w:eastAsia="en-GB"/>
        </w:rPr>
        <w:t>, at least for the Dx20 Scale</w:t>
      </w:r>
      <w:r w:rsidRPr="00225D1C">
        <w:rPr>
          <w:rFonts w:eastAsia="Times New Roman"/>
          <w:lang w:eastAsia="en-GB"/>
        </w:rPr>
        <w:t>. Hints of this</w:t>
      </w:r>
      <w:r w:rsidR="00304DFF">
        <w:rPr>
          <w:rFonts w:eastAsia="Times New Roman"/>
          <w:lang w:eastAsia="en-GB"/>
        </w:rPr>
        <w:t xml:space="preserve"> </w:t>
      </w:r>
      <w:r w:rsidRPr="00225D1C">
        <w:rPr>
          <w:rFonts w:eastAsia="Times New Roman"/>
          <w:lang w:eastAsia="en-GB"/>
        </w:rPr>
        <w:t>were present in the distribution of factor loadings</w:t>
      </w:r>
      <w:r w:rsidR="00643B4B">
        <w:rPr>
          <w:rFonts w:eastAsia="Times New Roman"/>
          <w:lang w:eastAsia="en-GB"/>
        </w:rPr>
        <w:t xml:space="preserve"> (Table 2</w:t>
      </w:r>
      <w:r w:rsidR="00D65330">
        <w:rPr>
          <w:rFonts w:eastAsia="Times New Roman"/>
          <w:lang w:eastAsia="en-GB"/>
        </w:rPr>
        <w:t>7</w:t>
      </w:r>
      <w:r w:rsidR="00643B4B">
        <w:rPr>
          <w:rFonts w:eastAsia="Times New Roman"/>
          <w:lang w:eastAsia="en-GB"/>
        </w:rPr>
        <w:t>)</w:t>
      </w:r>
      <w:r w:rsidRPr="00225D1C">
        <w:rPr>
          <w:rFonts w:eastAsia="Times New Roman"/>
          <w:lang w:eastAsia="en-GB"/>
        </w:rPr>
        <w:t>, notable when dimensions are grouped factorially (Table 2</w:t>
      </w:r>
      <w:r w:rsidR="00D65330">
        <w:rPr>
          <w:rFonts w:eastAsia="Times New Roman"/>
          <w:lang w:eastAsia="en-GB"/>
        </w:rPr>
        <w:t>8</w:t>
      </w:r>
      <w:r w:rsidRPr="00225D1C">
        <w:rPr>
          <w:rFonts w:eastAsia="Times New Roman"/>
          <w:lang w:eastAsia="en-GB"/>
        </w:rPr>
        <w:t xml:space="preserve">), with suggestions for possible theme-based, factor names. </w:t>
      </w:r>
      <w:r w:rsidR="00304DFF">
        <w:rPr>
          <w:rFonts w:eastAsia="Times New Roman"/>
          <w:lang w:eastAsia="en-GB"/>
        </w:rPr>
        <w:t>Were it possible to adopt it, s</w:t>
      </w:r>
      <w:r w:rsidRPr="00225D1C">
        <w:rPr>
          <w:rFonts w:eastAsia="Times New Roman"/>
          <w:lang w:eastAsia="en-GB"/>
        </w:rPr>
        <w:t>uch a structure would</w:t>
      </w:r>
      <w:r w:rsidR="00304DFF">
        <w:rPr>
          <w:rFonts w:eastAsia="Times New Roman"/>
          <w:lang w:eastAsia="en-GB"/>
        </w:rPr>
        <w:t xml:space="preserve"> </w:t>
      </w:r>
      <w:r w:rsidRPr="00225D1C">
        <w:rPr>
          <w:rFonts w:eastAsia="Times New Roman"/>
          <w:lang w:eastAsia="en-GB"/>
        </w:rPr>
        <w:t>demonstrate a neat alignment</w:t>
      </w:r>
      <w:r w:rsidR="00304DFF">
        <w:rPr>
          <w:rFonts w:eastAsia="Times New Roman"/>
          <w:lang w:eastAsia="en-GB"/>
        </w:rPr>
        <w:t xml:space="preserve"> </w:t>
      </w:r>
      <w:r w:rsidRPr="00225D1C">
        <w:rPr>
          <w:rFonts w:eastAsia="Times New Roman"/>
          <w:lang w:eastAsia="en-GB"/>
        </w:rPr>
        <w:t>with components drawn from the BDA definition of dyslexia, identified above (sub-section 3.3(III</w:t>
      </w:r>
      <w:r w:rsidR="00643B4B">
        <w:rPr>
          <w:rFonts w:eastAsia="Times New Roman"/>
          <w:lang w:eastAsia="en-GB"/>
        </w:rPr>
        <w:t>.2(2.2</w:t>
      </w:r>
      <w:r w:rsidRPr="00225D1C">
        <w:rPr>
          <w:rFonts w:eastAsia="Times New Roman"/>
          <w:lang w:eastAsia="en-GB"/>
        </w:rPr>
        <w:t>)</w:t>
      </w:r>
      <w:r w:rsidR="00643B4B">
        <w:rPr>
          <w:rFonts w:eastAsia="Times New Roman"/>
          <w:lang w:eastAsia="en-GB"/>
        </w:rPr>
        <w:t>)</w:t>
      </w:r>
      <w:r w:rsidRPr="00225D1C">
        <w:rPr>
          <w:rFonts w:eastAsia="Times New Roman"/>
          <w:lang w:eastAsia="en-GB"/>
        </w:rPr>
        <w:t>. </w:t>
      </w:r>
    </w:p>
    <w:tbl>
      <w:tblPr>
        <w:tblStyle w:val="GridTable5Dark-Accent1"/>
        <w:tblW w:w="0" w:type="auto"/>
        <w:tblLook w:val="04A0" w:firstRow="1" w:lastRow="0" w:firstColumn="1" w:lastColumn="0" w:noHBand="0" w:noVBand="1"/>
      </w:tblPr>
      <w:tblGrid>
        <w:gridCol w:w="2166"/>
        <w:gridCol w:w="2166"/>
        <w:gridCol w:w="2166"/>
        <w:gridCol w:w="2166"/>
      </w:tblGrid>
      <w:tr w:rsidR="00EF56B9" w:rsidRPr="008211B8" w14:paraId="4E193D15" w14:textId="77777777" w:rsidTr="00265FF5">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166" w:type="dxa"/>
            <w:vAlign w:val="center"/>
          </w:tcPr>
          <w:p w14:paraId="001F3CA2" w14:textId="77777777" w:rsidR="00EF56B9" w:rsidRPr="008211B8" w:rsidRDefault="00EF56B9" w:rsidP="00265FF5">
            <w:pPr>
              <w:spacing w:before="0" w:after="0" w:line="240" w:lineRule="auto"/>
              <w:jc w:val="center"/>
              <w:rPr>
                <w:rFonts w:ascii="Gill Sans MT" w:hAnsi="Gill Sans MT"/>
                <w:b w:val="0"/>
                <w:bCs w:val="0"/>
              </w:rPr>
            </w:pPr>
            <w:r>
              <w:rPr>
                <w:rFonts w:ascii="Gill Sans MT" w:hAnsi="Gill Sans MT"/>
                <w:b w:val="0"/>
                <w:bCs w:val="0"/>
              </w:rPr>
              <w:lastRenderedPageBreak/>
              <w:t>Dx20 Component</w:t>
            </w:r>
          </w:p>
        </w:tc>
        <w:tc>
          <w:tcPr>
            <w:tcW w:w="2166" w:type="dxa"/>
            <w:vAlign w:val="center"/>
          </w:tcPr>
          <w:p w14:paraId="4965B29F" w14:textId="77777777" w:rsidR="00EF56B9" w:rsidRPr="008211B8" w:rsidRDefault="00EF56B9" w:rsidP="00265FF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Eigenvalue</w:t>
            </w:r>
          </w:p>
        </w:tc>
        <w:tc>
          <w:tcPr>
            <w:tcW w:w="2166" w:type="dxa"/>
            <w:vAlign w:val="center"/>
          </w:tcPr>
          <w:p w14:paraId="5D825833" w14:textId="77777777" w:rsidR="00EF56B9" w:rsidRPr="008211B8" w:rsidRDefault="00EF56B9" w:rsidP="00265FF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 of variance</w:t>
            </w:r>
          </w:p>
        </w:tc>
        <w:tc>
          <w:tcPr>
            <w:tcW w:w="2166" w:type="dxa"/>
            <w:vAlign w:val="center"/>
          </w:tcPr>
          <w:p w14:paraId="6C7E8DF7" w14:textId="77777777" w:rsidR="00EF56B9" w:rsidRPr="008211B8" w:rsidRDefault="00EF56B9" w:rsidP="00265FF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Cumulative % of variance</w:t>
            </w:r>
          </w:p>
        </w:tc>
      </w:tr>
      <w:tr w:rsidR="00EF56B9" w:rsidRPr="008211B8" w14:paraId="64583F99" w14:textId="77777777" w:rsidTr="00265FF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39492E50" w14:textId="77777777" w:rsidR="00EF56B9" w:rsidRPr="008211B8" w:rsidRDefault="00EF56B9" w:rsidP="00265FF5">
            <w:pPr>
              <w:spacing w:before="0" w:after="0" w:line="240" w:lineRule="auto"/>
              <w:jc w:val="center"/>
              <w:rPr>
                <w:rFonts w:ascii="Gill Sans MT" w:hAnsi="Gill Sans MT"/>
                <w:b w:val="0"/>
                <w:bCs w:val="0"/>
              </w:rPr>
            </w:pPr>
            <w:r>
              <w:rPr>
                <w:rFonts w:ascii="Gill Sans MT" w:hAnsi="Gill Sans MT"/>
                <w:b w:val="0"/>
                <w:bCs w:val="0"/>
              </w:rPr>
              <w:t>1</w:t>
            </w:r>
          </w:p>
        </w:tc>
        <w:tc>
          <w:tcPr>
            <w:tcW w:w="2166" w:type="dxa"/>
            <w:vAlign w:val="center"/>
          </w:tcPr>
          <w:p w14:paraId="47828B2E" w14:textId="77777777" w:rsidR="00EF56B9" w:rsidRPr="008211B8" w:rsidRDefault="00EF56B9" w:rsidP="00265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6.336</w:t>
            </w:r>
          </w:p>
        </w:tc>
        <w:tc>
          <w:tcPr>
            <w:tcW w:w="2166" w:type="dxa"/>
            <w:vAlign w:val="center"/>
          </w:tcPr>
          <w:p w14:paraId="76222E90" w14:textId="77777777" w:rsidR="00EF56B9" w:rsidRPr="008211B8" w:rsidRDefault="00EF56B9" w:rsidP="00265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31.682</w:t>
            </w:r>
          </w:p>
        </w:tc>
        <w:tc>
          <w:tcPr>
            <w:tcW w:w="2166" w:type="dxa"/>
            <w:vAlign w:val="center"/>
          </w:tcPr>
          <w:p w14:paraId="186135C3" w14:textId="77777777" w:rsidR="00EF56B9" w:rsidRPr="008211B8" w:rsidRDefault="00EF56B9" w:rsidP="00265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31.682</w:t>
            </w:r>
          </w:p>
        </w:tc>
      </w:tr>
      <w:tr w:rsidR="00EF56B9" w:rsidRPr="008211B8" w14:paraId="63CB2A3D" w14:textId="77777777" w:rsidTr="00265FF5">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288CAE8B" w14:textId="77777777" w:rsidR="00EF56B9" w:rsidRPr="008211B8" w:rsidRDefault="00EF56B9" w:rsidP="00265FF5">
            <w:pPr>
              <w:spacing w:before="0" w:after="0" w:line="240" w:lineRule="auto"/>
              <w:jc w:val="center"/>
              <w:rPr>
                <w:rFonts w:ascii="Gill Sans MT" w:hAnsi="Gill Sans MT"/>
                <w:b w:val="0"/>
                <w:bCs w:val="0"/>
              </w:rPr>
            </w:pPr>
            <w:r>
              <w:rPr>
                <w:rFonts w:ascii="Gill Sans MT" w:hAnsi="Gill Sans MT"/>
                <w:b w:val="0"/>
                <w:bCs w:val="0"/>
              </w:rPr>
              <w:t>2</w:t>
            </w:r>
          </w:p>
        </w:tc>
        <w:tc>
          <w:tcPr>
            <w:tcW w:w="2166" w:type="dxa"/>
            <w:vAlign w:val="center"/>
          </w:tcPr>
          <w:p w14:paraId="3810DBCB" w14:textId="77777777" w:rsidR="00EF56B9" w:rsidRPr="008211B8" w:rsidRDefault="00EF56B9" w:rsidP="00265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1.970</w:t>
            </w:r>
          </w:p>
        </w:tc>
        <w:tc>
          <w:tcPr>
            <w:tcW w:w="2166" w:type="dxa"/>
            <w:vAlign w:val="center"/>
          </w:tcPr>
          <w:p w14:paraId="79CCD7A7" w14:textId="77777777" w:rsidR="00EF56B9" w:rsidRPr="008211B8" w:rsidRDefault="00EF56B9" w:rsidP="00265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9.851</w:t>
            </w:r>
          </w:p>
        </w:tc>
        <w:tc>
          <w:tcPr>
            <w:tcW w:w="2166" w:type="dxa"/>
            <w:vAlign w:val="center"/>
          </w:tcPr>
          <w:p w14:paraId="427A2ADD" w14:textId="77777777" w:rsidR="00EF56B9" w:rsidRPr="008211B8" w:rsidRDefault="00EF56B9" w:rsidP="00265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41.532</w:t>
            </w:r>
          </w:p>
        </w:tc>
      </w:tr>
      <w:tr w:rsidR="00EF56B9" w:rsidRPr="008211B8" w14:paraId="2C40DC77" w14:textId="77777777" w:rsidTr="00265FF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04204AB8" w14:textId="77777777" w:rsidR="00EF56B9" w:rsidRPr="008211B8" w:rsidRDefault="00EF56B9" w:rsidP="00265FF5">
            <w:pPr>
              <w:spacing w:before="0" w:after="0" w:line="240" w:lineRule="auto"/>
              <w:jc w:val="center"/>
              <w:rPr>
                <w:rFonts w:ascii="Gill Sans MT" w:hAnsi="Gill Sans MT"/>
                <w:b w:val="0"/>
                <w:bCs w:val="0"/>
              </w:rPr>
            </w:pPr>
            <w:r>
              <w:rPr>
                <w:rFonts w:ascii="Gill Sans MT" w:hAnsi="Gill Sans MT"/>
                <w:b w:val="0"/>
                <w:bCs w:val="0"/>
              </w:rPr>
              <w:t>3</w:t>
            </w:r>
          </w:p>
        </w:tc>
        <w:tc>
          <w:tcPr>
            <w:tcW w:w="2166" w:type="dxa"/>
            <w:vAlign w:val="center"/>
          </w:tcPr>
          <w:p w14:paraId="65DF1F2D" w14:textId="77777777" w:rsidR="00EF56B9" w:rsidRPr="008211B8" w:rsidRDefault="00EF56B9" w:rsidP="00265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1.522</w:t>
            </w:r>
          </w:p>
        </w:tc>
        <w:tc>
          <w:tcPr>
            <w:tcW w:w="2166" w:type="dxa"/>
            <w:vAlign w:val="center"/>
          </w:tcPr>
          <w:p w14:paraId="3BBBF33D" w14:textId="77777777" w:rsidR="00EF56B9" w:rsidRPr="008211B8" w:rsidRDefault="00EF56B9" w:rsidP="00265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7.607</w:t>
            </w:r>
          </w:p>
        </w:tc>
        <w:tc>
          <w:tcPr>
            <w:tcW w:w="2166" w:type="dxa"/>
            <w:vAlign w:val="center"/>
          </w:tcPr>
          <w:p w14:paraId="346F4899" w14:textId="77777777" w:rsidR="00EF56B9" w:rsidRPr="008211B8" w:rsidRDefault="00EF56B9" w:rsidP="00265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49.109</w:t>
            </w:r>
          </w:p>
        </w:tc>
      </w:tr>
      <w:tr w:rsidR="00EF56B9" w:rsidRPr="008211B8" w14:paraId="1FA4CCA9" w14:textId="77777777" w:rsidTr="00265FF5">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4F5694A0" w14:textId="77777777" w:rsidR="00EF56B9" w:rsidRPr="008211B8" w:rsidRDefault="00EF56B9" w:rsidP="00265FF5">
            <w:pPr>
              <w:spacing w:before="0" w:after="0" w:line="240" w:lineRule="auto"/>
              <w:jc w:val="center"/>
              <w:rPr>
                <w:rFonts w:ascii="Gill Sans MT" w:hAnsi="Gill Sans MT"/>
                <w:b w:val="0"/>
                <w:bCs w:val="0"/>
              </w:rPr>
            </w:pPr>
            <w:r>
              <w:rPr>
                <w:rFonts w:ascii="Gill Sans MT" w:hAnsi="Gill Sans MT"/>
                <w:b w:val="0"/>
                <w:bCs w:val="0"/>
              </w:rPr>
              <w:t>4</w:t>
            </w:r>
          </w:p>
        </w:tc>
        <w:tc>
          <w:tcPr>
            <w:tcW w:w="2166" w:type="dxa"/>
            <w:vAlign w:val="center"/>
          </w:tcPr>
          <w:p w14:paraId="47909E55" w14:textId="77777777" w:rsidR="00EF56B9" w:rsidRPr="008211B8" w:rsidRDefault="00EF56B9" w:rsidP="00265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1.201</w:t>
            </w:r>
          </w:p>
        </w:tc>
        <w:tc>
          <w:tcPr>
            <w:tcW w:w="2166" w:type="dxa"/>
            <w:vAlign w:val="center"/>
          </w:tcPr>
          <w:p w14:paraId="1217056A" w14:textId="77777777" w:rsidR="00EF56B9" w:rsidRPr="008211B8" w:rsidRDefault="00EF56B9" w:rsidP="00265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6.005</w:t>
            </w:r>
          </w:p>
        </w:tc>
        <w:tc>
          <w:tcPr>
            <w:tcW w:w="2166" w:type="dxa"/>
            <w:vAlign w:val="center"/>
          </w:tcPr>
          <w:p w14:paraId="18376184" w14:textId="77777777" w:rsidR="00EF56B9" w:rsidRPr="008211B8" w:rsidRDefault="00EF56B9" w:rsidP="00265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55.144</w:t>
            </w:r>
          </w:p>
        </w:tc>
      </w:tr>
      <w:tr w:rsidR="00EF56B9" w:rsidRPr="008211B8" w14:paraId="44EA0B94" w14:textId="77777777" w:rsidTr="00265FF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104C42B8" w14:textId="77777777" w:rsidR="00EF56B9" w:rsidRPr="008211B8" w:rsidRDefault="00EF56B9" w:rsidP="00265FF5">
            <w:pPr>
              <w:spacing w:before="0" w:after="0" w:line="240" w:lineRule="auto"/>
              <w:jc w:val="center"/>
              <w:rPr>
                <w:rFonts w:ascii="Gill Sans MT" w:hAnsi="Gill Sans MT"/>
                <w:b w:val="0"/>
                <w:bCs w:val="0"/>
              </w:rPr>
            </w:pPr>
            <w:r>
              <w:rPr>
                <w:rFonts w:ascii="Gill Sans MT" w:hAnsi="Gill Sans MT"/>
                <w:b w:val="0"/>
                <w:bCs w:val="0"/>
              </w:rPr>
              <w:t>5</w:t>
            </w:r>
          </w:p>
        </w:tc>
        <w:tc>
          <w:tcPr>
            <w:tcW w:w="2166" w:type="dxa"/>
            <w:vAlign w:val="center"/>
          </w:tcPr>
          <w:p w14:paraId="58A83FB8" w14:textId="77777777" w:rsidR="00EF56B9" w:rsidRPr="008211B8" w:rsidRDefault="00EF56B9" w:rsidP="00265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1.060</w:t>
            </w:r>
          </w:p>
        </w:tc>
        <w:tc>
          <w:tcPr>
            <w:tcW w:w="2166" w:type="dxa"/>
            <w:vAlign w:val="center"/>
          </w:tcPr>
          <w:p w14:paraId="49A15C7F" w14:textId="77777777" w:rsidR="00EF56B9" w:rsidRPr="008211B8" w:rsidRDefault="00EF56B9" w:rsidP="00265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5.300</w:t>
            </w:r>
          </w:p>
        </w:tc>
        <w:tc>
          <w:tcPr>
            <w:tcW w:w="2166" w:type="dxa"/>
            <w:vAlign w:val="center"/>
          </w:tcPr>
          <w:p w14:paraId="4E664821" w14:textId="77777777" w:rsidR="00EF56B9" w:rsidRPr="008211B8" w:rsidRDefault="00EF56B9" w:rsidP="00265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60.444</w:t>
            </w:r>
          </w:p>
        </w:tc>
      </w:tr>
      <w:tr w:rsidR="00EF56B9" w:rsidRPr="008211B8" w14:paraId="2DBB399D" w14:textId="77777777" w:rsidTr="00265FF5">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61CB14B0" w14:textId="77777777" w:rsidR="00EF56B9" w:rsidRPr="008211B8" w:rsidRDefault="00EF56B9" w:rsidP="00265FF5">
            <w:pPr>
              <w:spacing w:before="0" w:after="0" w:line="240" w:lineRule="auto"/>
              <w:jc w:val="center"/>
              <w:rPr>
                <w:rFonts w:ascii="Gill Sans MT" w:hAnsi="Gill Sans MT"/>
                <w:b w:val="0"/>
                <w:bCs w:val="0"/>
              </w:rPr>
            </w:pPr>
            <w:r>
              <w:rPr>
                <w:rFonts w:ascii="Gill Sans MT" w:hAnsi="Gill Sans MT"/>
                <w:b w:val="0"/>
                <w:bCs w:val="0"/>
              </w:rPr>
              <w:t>6</w:t>
            </w:r>
          </w:p>
        </w:tc>
        <w:tc>
          <w:tcPr>
            <w:tcW w:w="2166" w:type="dxa"/>
            <w:vAlign w:val="center"/>
          </w:tcPr>
          <w:p w14:paraId="46E5A1AB" w14:textId="77777777" w:rsidR="00EF56B9" w:rsidRPr="008211B8" w:rsidRDefault="00EF56B9" w:rsidP="00265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0.988</w:t>
            </w:r>
          </w:p>
        </w:tc>
        <w:tc>
          <w:tcPr>
            <w:tcW w:w="2166" w:type="dxa"/>
            <w:vAlign w:val="center"/>
          </w:tcPr>
          <w:p w14:paraId="7277EF04" w14:textId="77777777" w:rsidR="00EF56B9" w:rsidRPr="008211B8" w:rsidRDefault="00EF56B9" w:rsidP="00265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4.939</w:t>
            </w:r>
          </w:p>
        </w:tc>
        <w:tc>
          <w:tcPr>
            <w:tcW w:w="2166" w:type="dxa"/>
            <w:vAlign w:val="center"/>
          </w:tcPr>
          <w:p w14:paraId="7E195ABE" w14:textId="77777777" w:rsidR="00EF56B9" w:rsidRPr="008211B8" w:rsidRDefault="00EF56B9" w:rsidP="00265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65.383</w:t>
            </w:r>
          </w:p>
        </w:tc>
      </w:tr>
      <w:tr w:rsidR="00EF56B9" w:rsidRPr="008211B8" w14:paraId="1992B36E" w14:textId="77777777" w:rsidTr="00265FF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029E08FE" w14:textId="77777777" w:rsidR="00EF56B9" w:rsidRPr="008211B8" w:rsidRDefault="00EF56B9" w:rsidP="00265FF5">
            <w:pPr>
              <w:spacing w:before="0" w:after="0" w:line="240" w:lineRule="auto"/>
              <w:jc w:val="center"/>
              <w:rPr>
                <w:rFonts w:ascii="Gill Sans MT" w:hAnsi="Gill Sans MT"/>
                <w:b w:val="0"/>
                <w:bCs w:val="0"/>
              </w:rPr>
            </w:pPr>
            <w:r>
              <w:rPr>
                <w:rFonts w:ascii="Gill Sans MT" w:hAnsi="Gill Sans MT"/>
                <w:b w:val="0"/>
                <w:bCs w:val="0"/>
              </w:rPr>
              <w:t>7</w:t>
            </w:r>
          </w:p>
        </w:tc>
        <w:tc>
          <w:tcPr>
            <w:tcW w:w="2166" w:type="dxa"/>
            <w:vAlign w:val="center"/>
          </w:tcPr>
          <w:p w14:paraId="03CB9A4B" w14:textId="77777777" w:rsidR="00EF56B9" w:rsidRPr="008211B8" w:rsidRDefault="00EF56B9" w:rsidP="00265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0.801</w:t>
            </w:r>
          </w:p>
        </w:tc>
        <w:tc>
          <w:tcPr>
            <w:tcW w:w="2166" w:type="dxa"/>
            <w:vAlign w:val="center"/>
          </w:tcPr>
          <w:p w14:paraId="34EAF48F" w14:textId="77777777" w:rsidR="00EF56B9" w:rsidRPr="008211B8" w:rsidRDefault="00EF56B9" w:rsidP="00265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4.003</w:t>
            </w:r>
          </w:p>
        </w:tc>
        <w:tc>
          <w:tcPr>
            <w:tcW w:w="2166" w:type="dxa"/>
            <w:vAlign w:val="center"/>
          </w:tcPr>
          <w:p w14:paraId="34B4DD18" w14:textId="77777777" w:rsidR="00EF56B9" w:rsidRPr="008211B8" w:rsidRDefault="00EF56B9" w:rsidP="00265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69.387</w:t>
            </w:r>
          </w:p>
        </w:tc>
      </w:tr>
      <w:tr w:rsidR="00EF56B9" w:rsidRPr="008211B8" w14:paraId="66C9D11B" w14:textId="77777777" w:rsidTr="00265FF5">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2BFA4CA8" w14:textId="77777777" w:rsidR="00EF56B9" w:rsidRPr="008211B8" w:rsidRDefault="00EF56B9" w:rsidP="00265FF5">
            <w:pPr>
              <w:spacing w:before="0" w:after="0" w:line="240" w:lineRule="auto"/>
              <w:jc w:val="center"/>
              <w:rPr>
                <w:rFonts w:ascii="Gill Sans MT" w:hAnsi="Gill Sans MT"/>
                <w:b w:val="0"/>
                <w:bCs w:val="0"/>
              </w:rPr>
            </w:pPr>
            <w:r>
              <w:rPr>
                <w:rFonts w:ascii="Gill Sans MT" w:hAnsi="Gill Sans MT"/>
                <w:b w:val="0"/>
                <w:bCs w:val="0"/>
              </w:rPr>
              <w:t>8</w:t>
            </w:r>
          </w:p>
        </w:tc>
        <w:tc>
          <w:tcPr>
            <w:tcW w:w="2166" w:type="dxa"/>
            <w:vAlign w:val="center"/>
          </w:tcPr>
          <w:p w14:paraId="3C5B8204" w14:textId="77777777" w:rsidR="00EF56B9" w:rsidRPr="008211B8" w:rsidRDefault="00EF56B9" w:rsidP="00265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0.760</w:t>
            </w:r>
          </w:p>
        </w:tc>
        <w:tc>
          <w:tcPr>
            <w:tcW w:w="2166" w:type="dxa"/>
            <w:vAlign w:val="center"/>
          </w:tcPr>
          <w:p w14:paraId="1D979F65" w14:textId="77777777" w:rsidR="00EF56B9" w:rsidRPr="008211B8" w:rsidRDefault="00EF56B9" w:rsidP="00265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3.799</w:t>
            </w:r>
          </w:p>
        </w:tc>
        <w:tc>
          <w:tcPr>
            <w:tcW w:w="2166" w:type="dxa"/>
            <w:vAlign w:val="center"/>
          </w:tcPr>
          <w:p w14:paraId="5CCAAFDE" w14:textId="77777777" w:rsidR="00EF56B9" w:rsidRPr="008211B8" w:rsidRDefault="00EF56B9" w:rsidP="00265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73.185</w:t>
            </w:r>
          </w:p>
        </w:tc>
      </w:tr>
      <w:tr w:rsidR="00EF56B9" w:rsidRPr="008211B8" w14:paraId="5CF55C3F" w14:textId="77777777" w:rsidTr="00265FF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6767E381" w14:textId="77777777" w:rsidR="00EF56B9" w:rsidRDefault="00EF56B9" w:rsidP="00265FF5">
            <w:pPr>
              <w:spacing w:before="0" w:after="0" w:line="240" w:lineRule="auto"/>
              <w:jc w:val="center"/>
              <w:rPr>
                <w:rFonts w:ascii="Gill Sans MT" w:hAnsi="Gill Sans MT"/>
                <w:b w:val="0"/>
                <w:bCs w:val="0"/>
              </w:rPr>
            </w:pPr>
            <w:r>
              <w:rPr>
                <w:rFonts w:ascii="Gill Sans MT" w:hAnsi="Gill Sans MT"/>
                <w:b w:val="0"/>
                <w:bCs w:val="0"/>
              </w:rPr>
              <w:t>9</w:t>
            </w:r>
          </w:p>
        </w:tc>
        <w:tc>
          <w:tcPr>
            <w:tcW w:w="2166" w:type="dxa"/>
            <w:vAlign w:val="center"/>
          </w:tcPr>
          <w:p w14:paraId="178FBEE2" w14:textId="77777777" w:rsidR="00EF56B9" w:rsidRPr="008211B8" w:rsidRDefault="00EF56B9" w:rsidP="00265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0.703</w:t>
            </w:r>
          </w:p>
        </w:tc>
        <w:tc>
          <w:tcPr>
            <w:tcW w:w="2166" w:type="dxa"/>
            <w:vAlign w:val="center"/>
          </w:tcPr>
          <w:p w14:paraId="009A909D" w14:textId="77777777" w:rsidR="00EF56B9" w:rsidRPr="008211B8" w:rsidRDefault="00EF56B9" w:rsidP="00265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3.517</w:t>
            </w:r>
          </w:p>
        </w:tc>
        <w:tc>
          <w:tcPr>
            <w:tcW w:w="2166" w:type="dxa"/>
            <w:vAlign w:val="center"/>
          </w:tcPr>
          <w:p w14:paraId="44AA8677" w14:textId="77777777" w:rsidR="00EF56B9" w:rsidRPr="008211B8" w:rsidRDefault="00EF56B9" w:rsidP="00265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76.702</w:t>
            </w:r>
          </w:p>
        </w:tc>
      </w:tr>
      <w:tr w:rsidR="00EF56B9" w:rsidRPr="008211B8" w14:paraId="4AD42E27" w14:textId="77777777" w:rsidTr="00265FF5">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4BE0BA19" w14:textId="77777777" w:rsidR="00EF56B9" w:rsidRDefault="00EF56B9" w:rsidP="00265FF5">
            <w:pPr>
              <w:spacing w:before="0" w:after="0" w:line="240" w:lineRule="auto"/>
              <w:jc w:val="center"/>
              <w:rPr>
                <w:rFonts w:ascii="Gill Sans MT" w:hAnsi="Gill Sans MT"/>
                <w:b w:val="0"/>
                <w:bCs w:val="0"/>
              </w:rPr>
            </w:pPr>
            <w:r>
              <w:rPr>
                <w:rFonts w:ascii="Gill Sans MT" w:hAnsi="Gill Sans MT"/>
                <w:b w:val="0"/>
                <w:bCs w:val="0"/>
              </w:rPr>
              <w:t>10</w:t>
            </w:r>
          </w:p>
        </w:tc>
        <w:tc>
          <w:tcPr>
            <w:tcW w:w="2166" w:type="dxa"/>
            <w:vAlign w:val="center"/>
          </w:tcPr>
          <w:p w14:paraId="0750296D" w14:textId="77777777" w:rsidR="00EF56B9" w:rsidRPr="008211B8" w:rsidRDefault="00EF56B9" w:rsidP="00265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0.643</w:t>
            </w:r>
          </w:p>
        </w:tc>
        <w:tc>
          <w:tcPr>
            <w:tcW w:w="2166" w:type="dxa"/>
            <w:vAlign w:val="center"/>
          </w:tcPr>
          <w:p w14:paraId="2951F3FF" w14:textId="77777777" w:rsidR="00EF56B9" w:rsidRPr="008211B8" w:rsidRDefault="00EF56B9" w:rsidP="00265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3.217</w:t>
            </w:r>
          </w:p>
        </w:tc>
        <w:tc>
          <w:tcPr>
            <w:tcW w:w="2166" w:type="dxa"/>
            <w:vAlign w:val="center"/>
          </w:tcPr>
          <w:p w14:paraId="480A365B" w14:textId="77777777" w:rsidR="00EF56B9" w:rsidRPr="008211B8" w:rsidRDefault="00EF56B9" w:rsidP="00265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72.919</w:t>
            </w:r>
          </w:p>
        </w:tc>
      </w:tr>
      <w:tr w:rsidR="00EF56B9" w:rsidRPr="008211B8" w14:paraId="4479CEC3" w14:textId="77777777" w:rsidTr="00265FF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48FB79FD" w14:textId="77777777" w:rsidR="00EF56B9" w:rsidRDefault="00EF56B9" w:rsidP="00265FF5">
            <w:pPr>
              <w:spacing w:before="0" w:after="0" w:line="240" w:lineRule="auto"/>
              <w:jc w:val="center"/>
              <w:rPr>
                <w:rFonts w:ascii="Gill Sans MT" w:hAnsi="Gill Sans MT"/>
                <w:b w:val="0"/>
                <w:bCs w:val="0"/>
              </w:rPr>
            </w:pPr>
            <w:r>
              <w:rPr>
                <w:rFonts w:ascii="Gill Sans MT" w:hAnsi="Gill Sans MT"/>
                <w:b w:val="0"/>
                <w:bCs w:val="0"/>
              </w:rPr>
              <w:t>11-20</w:t>
            </w:r>
          </w:p>
        </w:tc>
        <w:tc>
          <w:tcPr>
            <w:tcW w:w="2166" w:type="dxa"/>
            <w:vAlign w:val="center"/>
          </w:tcPr>
          <w:p w14:paraId="7283C75C" w14:textId="77777777" w:rsidR="00EF56B9" w:rsidRPr="008211B8" w:rsidRDefault="00EF56B9" w:rsidP="00265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&lt; 0.621</w:t>
            </w:r>
          </w:p>
        </w:tc>
        <w:tc>
          <w:tcPr>
            <w:tcW w:w="2166" w:type="dxa"/>
            <w:vAlign w:val="center"/>
          </w:tcPr>
          <w:p w14:paraId="4483F634" w14:textId="77777777" w:rsidR="00EF56B9" w:rsidRPr="008211B8" w:rsidRDefault="00EF56B9" w:rsidP="00265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&lt; 3.100</w:t>
            </w:r>
          </w:p>
        </w:tc>
        <w:tc>
          <w:tcPr>
            <w:tcW w:w="2166" w:type="dxa"/>
            <w:vAlign w:val="center"/>
          </w:tcPr>
          <w:p w14:paraId="15890462" w14:textId="77777777" w:rsidR="00EF56B9" w:rsidRPr="008211B8" w:rsidRDefault="00EF56B9" w:rsidP="00265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&gt; 83.0</w:t>
            </w:r>
          </w:p>
        </w:tc>
      </w:tr>
    </w:tbl>
    <w:p w14:paraId="0FFDDA4C" w14:textId="05177C46" w:rsidR="00EF56B9" w:rsidRDefault="00EF56B9" w:rsidP="00EF56B9">
      <w:pPr>
        <w:pStyle w:val="Tables"/>
      </w:pPr>
      <w:bookmarkStart w:id="233" w:name="_Toc57033205"/>
      <w:r>
        <w:t>Table 2</w:t>
      </w:r>
      <w:r w:rsidR="002652B3">
        <w:t>6</w:t>
      </w:r>
      <w:r>
        <w:t>:</w:t>
      </w:r>
      <w:r>
        <w:tab/>
        <w:t>Total variance explained for components generated by PCA on the Dx20 Profiler Scale.</w:t>
      </w:r>
      <w:bookmarkEnd w:id="233"/>
    </w:p>
    <w:p w14:paraId="18AC45B7" w14:textId="77777777" w:rsidR="00EF56B9" w:rsidRDefault="00EF56B9" w:rsidP="00EF56B9"/>
    <w:p w14:paraId="23FB487C" w14:textId="77777777" w:rsidR="00EF56B9" w:rsidRDefault="00EF56B9" w:rsidP="00EF56B9">
      <w:pPr>
        <w:keepNext/>
      </w:pPr>
      <w:r>
        <w:rPr>
          <w:noProof/>
        </w:rPr>
        <w:drawing>
          <wp:inline distT="0" distB="0" distL="0" distR="0" wp14:anchorId="29DDF821" wp14:editId="4384E374">
            <wp:extent cx="5507990" cy="3322320"/>
            <wp:effectExtent l="0" t="0" r="3810" b="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ell phone&#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5507990" cy="3322320"/>
                    </a:xfrm>
                    <a:prstGeom prst="rect">
                      <a:avLst/>
                    </a:prstGeom>
                  </pic:spPr>
                </pic:pic>
              </a:graphicData>
            </a:graphic>
          </wp:inline>
        </w:drawing>
      </w:r>
    </w:p>
    <w:p w14:paraId="7A189010" w14:textId="6C7251C4" w:rsidR="00EF56B9" w:rsidRDefault="00EF56B9" w:rsidP="00EF56B9">
      <w:pPr>
        <w:pStyle w:val="Subtitle"/>
      </w:pPr>
      <w:bookmarkStart w:id="234" w:name="_Toc56495239"/>
      <w:r>
        <w:t xml:space="preserve">Figure </w:t>
      </w:r>
      <w:r w:rsidR="00B568C9">
        <w:fldChar w:fldCharType="begin"/>
      </w:r>
      <w:r w:rsidR="00B568C9">
        <w:instrText xml:space="preserve"> SEQ Figure \* ARABIC </w:instrText>
      </w:r>
      <w:r w:rsidR="00B568C9">
        <w:fldChar w:fldCharType="separate"/>
      </w:r>
      <w:r w:rsidR="005F0AB9">
        <w:rPr>
          <w:noProof/>
        </w:rPr>
        <w:t>20</w:t>
      </w:r>
      <w:r w:rsidR="00B568C9">
        <w:rPr>
          <w:noProof/>
        </w:rPr>
        <w:fldChar w:fldCharType="end"/>
      </w:r>
      <w:r>
        <w:t>:</w:t>
      </w:r>
      <w:r>
        <w:tab/>
      </w:r>
      <w:r w:rsidRPr="007C7A03">
        <w:t>Scree plot of eigenvalues for components (factors) of PCA on the Dx20 Profiler Scale.</w:t>
      </w:r>
      <w:bookmarkEnd w:id="234"/>
    </w:p>
    <w:p w14:paraId="1B5BBFE8" w14:textId="77777777" w:rsidR="00EF56B9" w:rsidRDefault="00EF56B9" w:rsidP="00EF56B9"/>
    <w:p w14:paraId="3F85D3EF" w14:textId="42A161C1" w:rsidR="00225D1C" w:rsidRPr="00225D1C" w:rsidRDefault="00225D1C" w:rsidP="00225D1C">
      <w:pPr>
        <w:rPr>
          <w:rFonts w:eastAsia="Times New Roman"/>
          <w:lang w:eastAsia="en-GB"/>
        </w:rPr>
      </w:pPr>
    </w:p>
    <w:p w14:paraId="1E497579" w14:textId="4F7016F8" w:rsidR="00225D1C" w:rsidRDefault="00225D1C" w:rsidP="000F3AC8">
      <w:pPr>
        <w:sectPr w:rsidR="00225D1C" w:rsidSect="00A2665A">
          <w:type w:val="continuous"/>
          <w:pgSz w:w="11906" w:h="16838"/>
          <w:pgMar w:top="720" w:right="964" w:bottom="720" w:left="2268" w:header="708" w:footer="708" w:gutter="0"/>
          <w:cols w:space="708"/>
          <w:docGrid w:linePitch="360"/>
        </w:sectPr>
      </w:pPr>
    </w:p>
    <w:p w14:paraId="7DAEDB79" w14:textId="77777777" w:rsidR="007C33FD" w:rsidRDefault="007C33FD" w:rsidP="000F3AC8"/>
    <w:tbl>
      <w:tblPr>
        <w:tblStyle w:val="GridTable5Dark-Accent1"/>
        <w:tblW w:w="13887" w:type="dxa"/>
        <w:tblLook w:val="04A0" w:firstRow="1" w:lastRow="0" w:firstColumn="1" w:lastColumn="0" w:noHBand="0" w:noVBand="1"/>
      </w:tblPr>
      <w:tblGrid>
        <w:gridCol w:w="7792"/>
        <w:gridCol w:w="1219"/>
        <w:gridCol w:w="1219"/>
        <w:gridCol w:w="1219"/>
        <w:gridCol w:w="1219"/>
        <w:gridCol w:w="1219"/>
      </w:tblGrid>
      <w:tr w:rsidR="007C33FD" w:rsidRPr="008211B8" w14:paraId="58B6E550" w14:textId="77777777" w:rsidTr="007C33FD">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665963DA" w14:textId="77777777" w:rsidR="007C33FD" w:rsidRPr="008211B8" w:rsidRDefault="007C33FD" w:rsidP="00225D1C">
            <w:pPr>
              <w:spacing w:before="0" w:after="0" w:line="240" w:lineRule="auto"/>
              <w:rPr>
                <w:rFonts w:ascii="Gill Sans MT" w:hAnsi="Gill Sans MT"/>
                <w:b w:val="0"/>
                <w:bCs w:val="0"/>
              </w:rPr>
            </w:pPr>
            <w:r>
              <w:rPr>
                <w:rFonts w:ascii="Gill Sans MT" w:hAnsi="Gill Sans MT"/>
                <w:b w:val="0"/>
                <w:bCs w:val="0"/>
              </w:rPr>
              <w:t>Dx20 Scale Item</w:t>
            </w:r>
          </w:p>
        </w:tc>
        <w:tc>
          <w:tcPr>
            <w:tcW w:w="1219" w:type="dxa"/>
            <w:vAlign w:val="center"/>
          </w:tcPr>
          <w:p w14:paraId="6580593B" w14:textId="77777777" w:rsidR="007C33FD" w:rsidRDefault="007C33FD" w:rsidP="007C33F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b w:val="0"/>
                <w:bCs w:val="0"/>
              </w:rPr>
              <w:t>Factor 1</w:t>
            </w:r>
          </w:p>
          <w:p w14:paraId="0E589D9B" w14:textId="504BA4AC" w:rsidR="007C33FD" w:rsidRPr="008211B8" w:rsidRDefault="007C33FD" w:rsidP="007C33F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(.../2)</w:t>
            </w:r>
          </w:p>
        </w:tc>
        <w:tc>
          <w:tcPr>
            <w:tcW w:w="1219" w:type="dxa"/>
            <w:vAlign w:val="center"/>
          </w:tcPr>
          <w:p w14:paraId="4F889FAC" w14:textId="77777777" w:rsidR="007C33FD" w:rsidRDefault="007C33FD" w:rsidP="007C33F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b w:val="0"/>
                <w:bCs w:val="0"/>
              </w:rPr>
              <w:t>Factor 2</w:t>
            </w:r>
          </w:p>
          <w:p w14:paraId="78A2FD00" w14:textId="6D7C58D5" w:rsidR="007C33FD" w:rsidRPr="008211B8" w:rsidRDefault="007C33FD" w:rsidP="007C33F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(.../2)</w:t>
            </w:r>
          </w:p>
        </w:tc>
        <w:tc>
          <w:tcPr>
            <w:tcW w:w="1219" w:type="dxa"/>
            <w:vAlign w:val="center"/>
          </w:tcPr>
          <w:p w14:paraId="13ABA234" w14:textId="77777777" w:rsidR="007C33FD" w:rsidRDefault="007C33FD" w:rsidP="007C33F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b w:val="0"/>
                <w:bCs w:val="0"/>
              </w:rPr>
              <w:t>Factor 1</w:t>
            </w:r>
          </w:p>
          <w:p w14:paraId="1FD0E3F6" w14:textId="1936A69B" w:rsidR="007C33FD" w:rsidRPr="008211B8" w:rsidRDefault="007C33FD" w:rsidP="007C33F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(.../3)</w:t>
            </w:r>
          </w:p>
        </w:tc>
        <w:tc>
          <w:tcPr>
            <w:tcW w:w="1219" w:type="dxa"/>
            <w:vAlign w:val="center"/>
          </w:tcPr>
          <w:p w14:paraId="753043C2" w14:textId="77777777" w:rsidR="007C33FD" w:rsidRDefault="007C33FD" w:rsidP="007C33F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b w:val="0"/>
                <w:bCs w:val="0"/>
              </w:rPr>
              <w:t>Factor 2</w:t>
            </w:r>
          </w:p>
          <w:p w14:paraId="2BC60AB1" w14:textId="79A3A78F" w:rsidR="007C33FD" w:rsidRPr="008211B8" w:rsidRDefault="007C33FD" w:rsidP="007C33F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(.../3)</w:t>
            </w:r>
          </w:p>
        </w:tc>
        <w:tc>
          <w:tcPr>
            <w:tcW w:w="1219" w:type="dxa"/>
            <w:vAlign w:val="center"/>
          </w:tcPr>
          <w:p w14:paraId="47D2D097" w14:textId="77777777" w:rsidR="007C33FD" w:rsidRDefault="007C33FD" w:rsidP="007C33F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b w:val="0"/>
                <w:bCs w:val="0"/>
              </w:rPr>
              <w:t>Factor 3</w:t>
            </w:r>
          </w:p>
          <w:p w14:paraId="6794F639" w14:textId="5342CCC7" w:rsidR="007C33FD" w:rsidRPr="008211B8" w:rsidRDefault="007C33FD" w:rsidP="007C33F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(.../3)</w:t>
            </w:r>
          </w:p>
        </w:tc>
      </w:tr>
      <w:tr w:rsidR="007C33FD" w:rsidRPr="008211B8" w14:paraId="4C019A94" w14:textId="77777777" w:rsidTr="007C33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7B880A85" w14:textId="77777777" w:rsidR="007C33FD" w:rsidRPr="007C33FD" w:rsidRDefault="007C33FD" w:rsidP="00225D1C">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06: In my</w:t>
            </w:r>
            <w:r>
              <w:rPr>
                <w:rFonts w:ascii="Gill Sans MT" w:hAnsi="Gill Sans MT"/>
                <w:b w:val="0"/>
                <w:bCs w:val="0"/>
                <w:sz w:val="18"/>
                <w:szCs w:val="18"/>
              </w:rPr>
              <w:t xml:space="preserve"> writing, I frequently use the wrong word for my intended meaning</w:t>
            </w:r>
          </w:p>
        </w:tc>
        <w:tc>
          <w:tcPr>
            <w:tcW w:w="1219" w:type="dxa"/>
            <w:vAlign w:val="center"/>
          </w:tcPr>
          <w:p w14:paraId="2D089611" w14:textId="1B031116" w:rsidR="007C33FD" w:rsidRPr="008211B8" w:rsidRDefault="007C33FD"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0.804</w:t>
            </w:r>
          </w:p>
        </w:tc>
        <w:tc>
          <w:tcPr>
            <w:tcW w:w="1219" w:type="dxa"/>
            <w:vAlign w:val="center"/>
          </w:tcPr>
          <w:p w14:paraId="3D71C67E" w14:textId="77777777" w:rsidR="007C33FD" w:rsidRPr="008211B8" w:rsidRDefault="007C33FD"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19" w:type="dxa"/>
            <w:vAlign w:val="center"/>
          </w:tcPr>
          <w:p w14:paraId="50D8B214" w14:textId="36226CC7" w:rsidR="007C33FD" w:rsidRPr="008211B8" w:rsidRDefault="007C33FD"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0.745</w:t>
            </w:r>
          </w:p>
        </w:tc>
        <w:tc>
          <w:tcPr>
            <w:tcW w:w="1219" w:type="dxa"/>
            <w:vAlign w:val="center"/>
          </w:tcPr>
          <w:p w14:paraId="24348F18" w14:textId="63D3D028" w:rsidR="007C33FD" w:rsidRPr="008211B8" w:rsidRDefault="00622927"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0.303</w:t>
            </w:r>
          </w:p>
        </w:tc>
        <w:tc>
          <w:tcPr>
            <w:tcW w:w="1219" w:type="dxa"/>
            <w:vAlign w:val="center"/>
          </w:tcPr>
          <w:p w14:paraId="0F625FCB" w14:textId="0B3A365F" w:rsidR="007C33FD" w:rsidRPr="008211B8" w:rsidRDefault="007C33FD"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7C33FD" w:rsidRPr="008211B8" w14:paraId="7656143C" w14:textId="77777777" w:rsidTr="007C33FD">
        <w:trPr>
          <w:trHeight w:val="340"/>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74940391" w14:textId="6CABF0FD" w:rsidR="007C33FD" w:rsidRPr="007C33FD" w:rsidRDefault="007C33FD" w:rsidP="00225D1C">
            <w:pPr>
              <w:spacing w:before="0" w:after="0" w:line="240" w:lineRule="auto"/>
              <w:rPr>
                <w:rFonts w:ascii="Gill Sans MT" w:hAnsi="Gill Sans MT"/>
                <w:b w:val="0"/>
                <w:bCs w:val="0"/>
                <w:sz w:val="18"/>
                <w:szCs w:val="18"/>
              </w:rPr>
            </w:pPr>
            <w:r>
              <w:rPr>
                <w:rFonts w:ascii="Gill Sans MT" w:hAnsi="Gill Sans MT"/>
                <w:b w:val="0"/>
                <w:bCs w:val="0"/>
                <w:sz w:val="18"/>
                <w:szCs w:val="18"/>
              </w:rPr>
              <w:t>09: I have difficulty putting my writing ideas into a sensible order</w:t>
            </w:r>
          </w:p>
        </w:tc>
        <w:tc>
          <w:tcPr>
            <w:tcW w:w="1219" w:type="dxa"/>
            <w:vAlign w:val="center"/>
          </w:tcPr>
          <w:p w14:paraId="6D59CFC7" w14:textId="511FB83D" w:rsidR="007C33FD" w:rsidRPr="008211B8" w:rsidRDefault="007C33F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0.742</w:t>
            </w:r>
          </w:p>
        </w:tc>
        <w:tc>
          <w:tcPr>
            <w:tcW w:w="1219" w:type="dxa"/>
            <w:vAlign w:val="center"/>
          </w:tcPr>
          <w:p w14:paraId="2984FA1C" w14:textId="77777777" w:rsidR="007C33FD" w:rsidRPr="008211B8" w:rsidRDefault="007C33F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19" w:type="dxa"/>
            <w:vAlign w:val="center"/>
          </w:tcPr>
          <w:p w14:paraId="6D7BBE8A" w14:textId="02C1ED43" w:rsidR="007C33FD" w:rsidRPr="008211B8" w:rsidRDefault="007C33F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0.611</w:t>
            </w:r>
          </w:p>
        </w:tc>
        <w:tc>
          <w:tcPr>
            <w:tcW w:w="1219" w:type="dxa"/>
            <w:vAlign w:val="center"/>
          </w:tcPr>
          <w:p w14:paraId="3F49A114" w14:textId="65775893" w:rsidR="007C33FD" w:rsidRPr="008211B8" w:rsidRDefault="007C33F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0.325</w:t>
            </w:r>
          </w:p>
        </w:tc>
        <w:tc>
          <w:tcPr>
            <w:tcW w:w="1219" w:type="dxa"/>
            <w:vAlign w:val="center"/>
          </w:tcPr>
          <w:p w14:paraId="06B55A4E" w14:textId="5B310F76" w:rsidR="007C33FD" w:rsidRPr="008211B8" w:rsidRDefault="007C33F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0.402</w:t>
            </w:r>
          </w:p>
        </w:tc>
      </w:tr>
      <w:tr w:rsidR="007C33FD" w:rsidRPr="008211B8" w14:paraId="77D83AFD" w14:textId="77777777" w:rsidTr="007C33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5F5340F3" w14:textId="270C95BF" w:rsidR="007C33FD" w:rsidRPr="007C33FD" w:rsidRDefault="007C33FD" w:rsidP="00225D1C">
            <w:pPr>
              <w:spacing w:before="0" w:after="0" w:line="240" w:lineRule="auto"/>
              <w:rPr>
                <w:rFonts w:ascii="Gill Sans MT" w:hAnsi="Gill Sans MT"/>
                <w:b w:val="0"/>
                <w:bCs w:val="0"/>
                <w:sz w:val="18"/>
                <w:szCs w:val="18"/>
              </w:rPr>
            </w:pPr>
            <w:r>
              <w:rPr>
                <w:rFonts w:ascii="Gill Sans MT" w:hAnsi="Gill Sans MT"/>
                <w:b w:val="0"/>
                <w:bCs w:val="0"/>
                <w:sz w:val="18"/>
                <w:szCs w:val="18"/>
              </w:rPr>
              <w:t>08: When I'm reading, I sometimes read the same line again, or miss out a line altogether</w:t>
            </w:r>
          </w:p>
        </w:tc>
        <w:tc>
          <w:tcPr>
            <w:tcW w:w="1219" w:type="dxa"/>
            <w:vAlign w:val="center"/>
          </w:tcPr>
          <w:p w14:paraId="17EF8D8F" w14:textId="001BFF7A" w:rsidR="007C33FD" w:rsidRPr="008211B8" w:rsidRDefault="007C33FD"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0.735</w:t>
            </w:r>
          </w:p>
        </w:tc>
        <w:tc>
          <w:tcPr>
            <w:tcW w:w="1219" w:type="dxa"/>
            <w:vAlign w:val="center"/>
          </w:tcPr>
          <w:p w14:paraId="5C167446" w14:textId="77777777" w:rsidR="007C33FD" w:rsidRPr="008211B8" w:rsidRDefault="007C33FD"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19" w:type="dxa"/>
            <w:vAlign w:val="center"/>
          </w:tcPr>
          <w:p w14:paraId="64778CA6" w14:textId="7F9CCEBD" w:rsidR="007C33FD" w:rsidRPr="008211B8" w:rsidRDefault="007C33FD"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0.709</w:t>
            </w:r>
          </w:p>
        </w:tc>
        <w:tc>
          <w:tcPr>
            <w:tcW w:w="1219" w:type="dxa"/>
            <w:vAlign w:val="center"/>
          </w:tcPr>
          <w:p w14:paraId="595BB9BC" w14:textId="77777777" w:rsidR="007C33FD" w:rsidRPr="008211B8" w:rsidRDefault="007C33FD"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19" w:type="dxa"/>
            <w:vAlign w:val="center"/>
          </w:tcPr>
          <w:p w14:paraId="2EF13DAF" w14:textId="77777777" w:rsidR="007C33FD" w:rsidRPr="008211B8" w:rsidRDefault="007C33FD"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7C33FD" w:rsidRPr="008211B8" w14:paraId="4E8E4578" w14:textId="77777777" w:rsidTr="007C33FD">
        <w:trPr>
          <w:trHeight w:val="340"/>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3D5BE2A3" w14:textId="4BBD6372" w:rsidR="007C33FD" w:rsidRPr="007C33FD" w:rsidRDefault="007C33FD" w:rsidP="00225D1C">
            <w:pPr>
              <w:spacing w:before="0" w:after="0" w:line="240" w:lineRule="auto"/>
              <w:rPr>
                <w:rFonts w:ascii="Gill Sans MT" w:hAnsi="Gill Sans MT"/>
                <w:b w:val="0"/>
                <w:bCs w:val="0"/>
                <w:sz w:val="18"/>
                <w:szCs w:val="18"/>
              </w:rPr>
            </w:pPr>
            <w:r>
              <w:rPr>
                <w:rFonts w:ascii="Gill Sans MT" w:hAnsi="Gill Sans MT"/>
                <w:b w:val="0"/>
                <w:bCs w:val="0"/>
                <w:sz w:val="18"/>
                <w:szCs w:val="18"/>
              </w:rPr>
              <w:t>01: When I was learning to read at school, I often felt I was slower than others in my class</w:t>
            </w:r>
          </w:p>
        </w:tc>
        <w:tc>
          <w:tcPr>
            <w:tcW w:w="1219" w:type="dxa"/>
            <w:vAlign w:val="center"/>
          </w:tcPr>
          <w:p w14:paraId="09126242" w14:textId="2E880F0E" w:rsidR="007C33FD" w:rsidRPr="008211B8" w:rsidRDefault="007C33F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0.696</w:t>
            </w:r>
          </w:p>
        </w:tc>
        <w:tc>
          <w:tcPr>
            <w:tcW w:w="1219" w:type="dxa"/>
            <w:vAlign w:val="center"/>
          </w:tcPr>
          <w:p w14:paraId="215025B1" w14:textId="77777777" w:rsidR="007C33FD" w:rsidRPr="008211B8" w:rsidRDefault="007C33F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19" w:type="dxa"/>
            <w:vAlign w:val="center"/>
          </w:tcPr>
          <w:p w14:paraId="1AC2B51F" w14:textId="47C60398" w:rsidR="007C33FD" w:rsidRPr="008211B8" w:rsidRDefault="007C33F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0.678</w:t>
            </w:r>
          </w:p>
        </w:tc>
        <w:tc>
          <w:tcPr>
            <w:tcW w:w="1219" w:type="dxa"/>
            <w:vAlign w:val="center"/>
          </w:tcPr>
          <w:p w14:paraId="3AAB141E" w14:textId="77777777" w:rsidR="007C33FD" w:rsidRPr="008211B8" w:rsidRDefault="007C33F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19" w:type="dxa"/>
            <w:vAlign w:val="center"/>
          </w:tcPr>
          <w:p w14:paraId="502FA308" w14:textId="77777777" w:rsidR="007C33FD" w:rsidRPr="008211B8" w:rsidRDefault="007C33F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7C33FD" w:rsidRPr="008211B8" w14:paraId="676C364E" w14:textId="77777777" w:rsidTr="007C33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430BE516" w14:textId="377827EC" w:rsidR="007C33FD" w:rsidRPr="007C33FD" w:rsidRDefault="007C33FD" w:rsidP="00225D1C">
            <w:pPr>
              <w:spacing w:before="0" w:after="0" w:line="240" w:lineRule="auto"/>
              <w:rPr>
                <w:rFonts w:ascii="Gill Sans MT" w:hAnsi="Gill Sans MT"/>
                <w:b w:val="0"/>
                <w:bCs w:val="0"/>
                <w:sz w:val="18"/>
                <w:szCs w:val="18"/>
              </w:rPr>
            </w:pPr>
            <w:r>
              <w:rPr>
                <w:rFonts w:ascii="Gill Sans MT" w:hAnsi="Gill Sans MT"/>
                <w:b w:val="0"/>
                <w:bCs w:val="0"/>
                <w:sz w:val="18"/>
                <w:szCs w:val="18"/>
              </w:rPr>
              <w:t>19: I get in a muddle when I'm searching for learning resources or information</w:t>
            </w:r>
          </w:p>
        </w:tc>
        <w:tc>
          <w:tcPr>
            <w:tcW w:w="1219" w:type="dxa"/>
            <w:vAlign w:val="center"/>
          </w:tcPr>
          <w:p w14:paraId="3A604453" w14:textId="62F1673E" w:rsidR="007C33FD" w:rsidRPr="008211B8" w:rsidRDefault="007C33FD"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0.689</w:t>
            </w:r>
          </w:p>
        </w:tc>
        <w:tc>
          <w:tcPr>
            <w:tcW w:w="1219" w:type="dxa"/>
            <w:vAlign w:val="center"/>
          </w:tcPr>
          <w:p w14:paraId="1A29FAFF" w14:textId="77777777" w:rsidR="007C33FD" w:rsidRPr="008211B8" w:rsidRDefault="007C33FD"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19" w:type="dxa"/>
            <w:vAlign w:val="center"/>
          </w:tcPr>
          <w:p w14:paraId="578ED01E" w14:textId="4F9C852E" w:rsidR="007C33FD" w:rsidRPr="008211B8" w:rsidRDefault="007C33FD"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0.6</w:t>
            </w:r>
            <w:r w:rsidR="0010541D">
              <w:rPr>
                <w:rFonts w:ascii="Gill Sans MT" w:hAnsi="Gill Sans MT"/>
                <w:sz w:val="18"/>
                <w:szCs w:val="18"/>
              </w:rPr>
              <w:t>20</w:t>
            </w:r>
          </w:p>
        </w:tc>
        <w:tc>
          <w:tcPr>
            <w:tcW w:w="1219" w:type="dxa"/>
            <w:vAlign w:val="center"/>
          </w:tcPr>
          <w:p w14:paraId="1CD2F3AE" w14:textId="77777777" w:rsidR="007C33FD" w:rsidRPr="008211B8" w:rsidRDefault="007C33FD"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19" w:type="dxa"/>
            <w:vAlign w:val="center"/>
          </w:tcPr>
          <w:p w14:paraId="63DB1973" w14:textId="07EF2503" w:rsidR="007C33FD" w:rsidRPr="008211B8" w:rsidRDefault="0010541D"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0.371</w:t>
            </w:r>
          </w:p>
        </w:tc>
      </w:tr>
      <w:tr w:rsidR="007C33FD" w:rsidRPr="008211B8" w14:paraId="1183CE60" w14:textId="77777777" w:rsidTr="007C33FD">
        <w:trPr>
          <w:trHeight w:val="340"/>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3D6C2CE5" w14:textId="63D5F2E0" w:rsidR="007C33FD" w:rsidRPr="007C33FD" w:rsidRDefault="007C33FD" w:rsidP="00225D1C">
            <w:pPr>
              <w:spacing w:before="0" w:after="0" w:line="240" w:lineRule="auto"/>
              <w:rPr>
                <w:rFonts w:ascii="Gill Sans MT" w:hAnsi="Gill Sans MT"/>
                <w:b w:val="0"/>
                <w:bCs w:val="0"/>
                <w:sz w:val="18"/>
                <w:szCs w:val="18"/>
              </w:rPr>
            </w:pPr>
            <w:r>
              <w:rPr>
                <w:rFonts w:ascii="Gill Sans MT" w:hAnsi="Gill Sans MT"/>
                <w:b w:val="0"/>
                <w:bCs w:val="0"/>
                <w:sz w:val="18"/>
                <w:szCs w:val="18"/>
              </w:rPr>
              <w:t>10: In my writing at school, I often mixed up similar letters, like 'b' and 'd', or 'p' and 'q'</w:t>
            </w:r>
          </w:p>
        </w:tc>
        <w:tc>
          <w:tcPr>
            <w:tcW w:w="1219" w:type="dxa"/>
            <w:vAlign w:val="center"/>
          </w:tcPr>
          <w:p w14:paraId="7A032FDE" w14:textId="0FB42EF7" w:rsidR="007C33FD" w:rsidRPr="008211B8" w:rsidRDefault="007C33F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0.684</w:t>
            </w:r>
          </w:p>
        </w:tc>
        <w:tc>
          <w:tcPr>
            <w:tcW w:w="1219" w:type="dxa"/>
            <w:vAlign w:val="center"/>
          </w:tcPr>
          <w:p w14:paraId="67506051" w14:textId="77777777" w:rsidR="007C33FD" w:rsidRPr="008211B8" w:rsidRDefault="007C33F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19" w:type="dxa"/>
            <w:vAlign w:val="center"/>
          </w:tcPr>
          <w:p w14:paraId="118BE942" w14:textId="2A9E94E1" w:rsidR="007C33FD" w:rsidRPr="008211B8" w:rsidRDefault="007C33F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0.700</w:t>
            </w:r>
          </w:p>
        </w:tc>
        <w:tc>
          <w:tcPr>
            <w:tcW w:w="1219" w:type="dxa"/>
            <w:vAlign w:val="center"/>
          </w:tcPr>
          <w:p w14:paraId="3F8036AF" w14:textId="77777777" w:rsidR="007C33FD" w:rsidRPr="008211B8" w:rsidRDefault="007C33F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19" w:type="dxa"/>
            <w:vAlign w:val="center"/>
          </w:tcPr>
          <w:p w14:paraId="34BEA9C6" w14:textId="77777777" w:rsidR="007C33FD" w:rsidRPr="008211B8" w:rsidRDefault="007C33F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7C33FD" w:rsidRPr="008211B8" w14:paraId="4E8038B6" w14:textId="77777777" w:rsidTr="007C33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0890EA42" w14:textId="5F1E4BF7" w:rsidR="007C33FD" w:rsidRPr="007C33FD" w:rsidRDefault="007C33FD" w:rsidP="00225D1C">
            <w:pPr>
              <w:spacing w:before="0" w:after="0" w:line="240" w:lineRule="auto"/>
              <w:rPr>
                <w:rFonts w:ascii="Gill Sans MT" w:hAnsi="Gill Sans MT"/>
                <w:b w:val="0"/>
                <w:bCs w:val="0"/>
                <w:sz w:val="18"/>
                <w:szCs w:val="18"/>
              </w:rPr>
            </w:pPr>
            <w:r>
              <w:rPr>
                <w:rFonts w:ascii="Gill Sans MT" w:hAnsi="Gill Sans MT"/>
                <w:b w:val="0"/>
                <w:bCs w:val="0"/>
                <w:sz w:val="18"/>
                <w:szCs w:val="18"/>
              </w:rPr>
              <w:t>18: My tutors often tell me that my essays or assignments are confusing to read</w:t>
            </w:r>
          </w:p>
        </w:tc>
        <w:tc>
          <w:tcPr>
            <w:tcW w:w="1219" w:type="dxa"/>
            <w:vAlign w:val="center"/>
          </w:tcPr>
          <w:p w14:paraId="3A778DFD" w14:textId="6541DA08" w:rsidR="007C33FD" w:rsidRPr="008211B8" w:rsidRDefault="007C33FD"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0.675</w:t>
            </w:r>
          </w:p>
        </w:tc>
        <w:tc>
          <w:tcPr>
            <w:tcW w:w="1219" w:type="dxa"/>
            <w:vAlign w:val="center"/>
          </w:tcPr>
          <w:p w14:paraId="178EFC9A" w14:textId="77777777" w:rsidR="007C33FD" w:rsidRPr="008211B8" w:rsidRDefault="007C33FD"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19" w:type="dxa"/>
            <w:vAlign w:val="center"/>
          </w:tcPr>
          <w:p w14:paraId="637D63AE" w14:textId="79EDE47C" w:rsidR="007C33FD" w:rsidRPr="008211B8" w:rsidRDefault="007C33FD"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0.682</w:t>
            </w:r>
          </w:p>
        </w:tc>
        <w:tc>
          <w:tcPr>
            <w:tcW w:w="1219" w:type="dxa"/>
            <w:vAlign w:val="center"/>
          </w:tcPr>
          <w:p w14:paraId="5C65EBD7" w14:textId="77777777" w:rsidR="007C33FD" w:rsidRPr="008211B8" w:rsidRDefault="007C33FD"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19" w:type="dxa"/>
            <w:vAlign w:val="center"/>
          </w:tcPr>
          <w:p w14:paraId="4D158AF2" w14:textId="77777777" w:rsidR="007C33FD" w:rsidRPr="008211B8" w:rsidRDefault="007C33FD"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7C33FD" w:rsidRPr="008211B8" w14:paraId="0CBF82EA" w14:textId="77777777" w:rsidTr="007C33FD">
        <w:trPr>
          <w:trHeight w:val="340"/>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280C6CF2" w14:textId="4A73C108" w:rsidR="007C33FD" w:rsidRPr="007C33FD" w:rsidRDefault="007C33FD" w:rsidP="00225D1C">
            <w:pPr>
              <w:spacing w:before="0" w:after="0" w:line="240" w:lineRule="auto"/>
              <w:rPr>
                <w:rFonts w:ascii="Gill Sans MT" w:hAnsi="Gill Sans MT"/>
                <w:b w:val="0"/>
                <w:bCs w:val="0"/>
                <w:sz w:val="18"/>
                <w:szCs w:val="18"/>
              </w:rPr>
            </w:pPr>
            <w:r>
              <w:rPr>
                <w:rFonts w:ascii="Gill Sans MT" w:hAnsi="Gill Sans MT"/>
                <w:b w:val="0"/>
                <w:bCs w:val="0"/>
                <w:sz w:val="18"/>
                <w:szCs w:val="18"/>
              </w:rPr>
              <w:t>20: I get really anxious when I'm asked to read 'out loud'</w:t>
            </w:r>
          </w:p>
        </w:tc>
        <w:tc>
          <w:tcPr>
            <w:tcW w:w="1219" w:type="dxa"/>
            <w:vAlign w:val="center"/>
          </w:tcPr>
          <w:p w14:paraId="7FBC36AF" w14:textId="2DE03CFC" w:rsidR="007C33FD" w:rsidRPr="008211B8" w:rsidRDefault="007C33F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0.651</w:t>
            </w:r>
          </w:p>
        </w:tc>
        <w:tc>
          <w:tcPr>
            <w:tcW w:w="1219" w:type="dxa"/>
            <w:vAlign w:val="center"/>
          </w:tcPr>
          <w:p w14:paraId="728ACF4F" w14:textId="77777777" w:rsidR="007C33FD" w:rsidRPr="008211B8" w:rsidRDefault="007C33F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19" w:type="dxa"/>
            <w:vAlign w:val="center"/>
          </w:tcPr>
          <w:p w14:paraId="523FEDBA" w14:textId="05773503" w:rsidR="007C33FD" w:rsidRPr="008211B8" w:rsidRDefault="007C33F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0.725</w:t>
            </w:r>
          </w:p>
        </w:tc>
        <w:tc>
          <w:tcPr>
            <w:tcW w:w="1219" w:type="dxa"/>
            <w:vAlign w:val="center"/>
          </w:tcPr>
          <w:p w14:paraId="798FE54A" w14:textId="77777777" w:rsidR="007C33FD" w:rsidRPr="008211B8" w:rsidRDefault="007C33F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19" w:type="dxa"/>
            <w:vAlign w:val="center"/>
          </w:tcPr>
          <w:p w14:paraId="205C373B" w14:textId="77777777" w:rsidR="007C33FD" w:rsidRPr="008211B8" w:rsidRDefault="007C33F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7C33FD" w:rsidRPr="008211B8" w14:paraId="794C757C" w14:textId="77777777" w:rsidTr="007C33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2A0E127E" w14:textId="21519716" w:rsidR="007C33FD" w:rsidRPr="007C33FD" w:rsidRDefault="007C33FD" w:rsidP="00225D1C">
            <w:pPr>
              <w:spacing w:before="0" w:after="0" w:line="240" w:lineRule="auto"/>
              <w:rPr>
                <w:rFonts w:ascii="Gill Sans MT" w:hAnsi="Gill Sans MT"/>
                <w:b w:val="0"/>
                <w:bCs w:val="0"/>
                <w:sz w:val="18"/>
                <w:szCs w:val="18"/>
              </w:rPr>
            </w:pPr>
            <w:r>
              <w:rPr>
                <w:rFonts w:ascii="Gill Sans MT" w:hAnsi="Gill Sans MT"/>
                <w:b w:val="0"/>
                <w:bCs w:val="0"/>
                <w:sz w:val="18"/>
                <w:szCs w:val="18"/>
              </w:rPr>
              <w:t>02: My spelling is generally good*</w:t>
            </w:r>
          </w:p>
        </w:tc>
        <w:tc>
          <w:tcPr>
            <w:tcW w:w="1219" w:type="dxa"/>
            <w:vAlign w:val="center"/>
          </w:tcPr>
          <w:p w14:paraId="78E82A30" w14:textId="30EA8A11" w:rsidR="007C33FD" w:rsidRPr="008211B8" w:rsidRDefault="007C33FD"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0.619</w:t>
            </w:r>
          </w:p>
        </w:tc>
        <w:tc>
          <w:tcPr>
            <w:tcW w:w="1219" w:type="dxa"/>
            <w:vAlign w:val="center"/>
          </w:tcPr>
          <w:p w14:paraId="7DA75909" w14:textId="77777777" w:rsidR="007C33FD" w:rsidRPr="008211B8" w:rsidRDefault="007C33FD"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19" w:type="dxa"/>
            <w:vAlign w:val="center"/>
          </w:tcPr>
          <w:p w14:paraId="180FBA2A" w14:textId="5897F4FA" w:rsidR="007C33FD" w:rsidRPr="008211B8" w:rsidRDefault="007C33FD"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0.702</w:t>
            </w:r>
          </w:p>
        </w:tc>
        <w:tc>
          <w:tcPr>
            <w:tcW w:w="1219" w:type="dxa"/>
            <w:vAlign w:val="center"/>
          </w:tcPr>
          <w:p w14:paraId="2E659588" w14:textId="77777777" w:rsidR="007C33FD" w:rsidRPr="008211B8" w:rsidRDefault="007C33FD"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19" w:type="dxa"/>
            <w:vAlign w:val="center"/>
          </w:tcPr>
          <w:p w14:paraId="0A2645B2" w14:textId="77777777" w:rsidR="007C33FD" w:rsidRPr="008211B8" w:rsidRDefault="007C33FD"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7C33FD" w:rsidRPr="008211B8" w14:paraId="3BACCD49" w14:textId="77777777" w:rsidTr="007C33FD">
        <w:trPr>
          <w:trHeight w:val="340"/>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0543FC41" w14:textId="4A6E1CCE" w:rsidR="007C33FD" w:rsidRPr="007C33FD" w:rsidRDefault="007C33FD" w:rsidP="00225D1C">
            <w:pPr>
              <w:spacing w:before="0" w:after="0" w:line="240" w:lineRule="auto"/>
              <w:rPr>
                <w:rFonts w:ascii="Gill Sans MT" w:hAnsi="Gill Sans MT"/>
                <w:b w:val="0"/>
                <w:bCs w:val="0"/>
                <w:sz w:val="18"/>
                <w:szCs w:val="18"/>
              </w:rPr>
            </w:pPr>
            <w:r>
              <w:rPr>
                <w:rFonts w:ascii="Gill Sans MT" w:hAnsi="Gill Sans MT"/>
                <w:b w:val="0"/>
                <w:bCs w:val="0"/>
                <w:sz w:val="18"/>
                <w:szCs w:val="18"/>
              </w:rPr>
              <w:t>16: I find it really challenging to follow a list of instructions</w:t>
            </w:r>
          </w:p>
        </w:tc>
        <w:tc>
          <w:tcPr>
            <w:tcW w:w="1219" w:type="dxa"/>
            <w:vAlign w:val="center"/>
          </w:tcPr>
          <w:p w14:paraId="1C30F3CD" w14:textId="079B5AAE" w:rsidR="007C33FD" w:rsidRPr="008211B8" w:rsidRDefault="007C33F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0.586</w:t>
            </w:r>
          </w:p>
        </w:tc>
        <w:tc>
          <w:tcPr>
            <w:tcW w:w="1219" w:type="dxa"/>
            <w:vAlign w:val="center"/>
          </w:tcPr>
          <w:p w14:paraId="1D05BD11" w14:textId="1AB68DEA" w:rsidR="007C33FD" w:rsidRPr="008211B8" w:rsidRDefault="007C33F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0.382</w:t>
            </w:r>
          </w:p>
        </w:tc>
        <w:tc>
          <w:tcPr>
            <w:tcW w:w="1219" w:type="dxa"/>
            <w:vAlign w:val="center"/>
          </w:tcPr>
          <w:p w14:paraId="0032F47F" w14:textId="1BD08B21" w:rsidR="007C33FD" w:rsidRPr="008211B8" w:rsidRDefault="007C33F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0.522</w:t>
            </w:r>
          </w:p>
        </w:tc>
        <w:tc>
          <w:tcPr>
            <w:tcW w:w="1219" w:type="dxa"/>
            <w:vAlign w:val="center"/>
          </w:tcPr>
          <w:p w14:paraId="3DDA4BE8" w14:textId="7ED46743" w:rsidR="007C33FD" w:rsidRPr="008211B8" w:rsidRDefault="007C33F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19" w:type="dxa"/>
            <w:vAlign w:val="center"/>
          </w:tcPr>
          <w:p w14:paraId="7A9EDDB8" w14:textId="0B629206" w:rsidR="007C33FD" w:rsidRPr="008211B8" w:rsidRDefault="0010541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0.488</w:t>
            </w:r>
          </w:p>
        </w:tc>
      </w:tr>
      <w:tr w:rsidR="007C33FD" w:rsidRPr="008211B8" w14:paraId="4963EB75" w14:textId="77777777" w:rsidTr="007C33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6F4C43A8" w14:textId="5A1E84D4" w:rsidR="007C33FD" w:rsidRPr="007C33FD" w:rsidRDefault="007C33FD" w:rsidP="00225D1C">
            <w:pPr>
              <w:spacing w:before="0" w:after="0" w:line="240" w:lineRule="auto"/>
              <w:rPr>
                <w:rFonts w:ascii="Gill Sans MT" w:hAnsi="Gill Sans MT"/>
                <w:b w:val="0"/>
                <w:bCs w:val="0"/>
                <w:sz w:val="18"/>
                <w:szCs w:val="18"/>
              </w:rPr>
            </w:pPr>
            <w:r>
              <w:rPr>
                <w:rFonts w:ascii="Gill Sans MT" w:hAnsi="Gill Sans MT"/>
                <w:b w:val="0"/>
                <w:bCs w:val="0"/>
                <w:sz w:val="18"/>
                <w:szCs w:val="18"/>
              </w:rPr>
              <w:t>11: When I'm planning my work, I use diagrams or mindmaps rather than bullet points or lists</w:t>
            </w:r>
          </w:p>
        </w:tc>
        <w:tc>
          <w:tcPr>
            <w:tcW w:w="1219" w:type="dxa"/>
            <w:vAlign w:val="center"/>
          </w:tcPr>
          <w:p w14:paraId="5BCC7193" w14:textId="162DCB60" w:rsidR="007C33FD" w:rsidRPr="008211B8" w:rsidRDefault="007C33FD"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0.540</w:t>
            </w:r>
          </w:p>
        </w:tc>
        <w:tc>
          <w:tcPr>
            <w:tcW w:w="1219" w:type="dxa"/>
            <w:vAlign w:val="center"/>
          </w:tcPr>
          <w:p w14:paraId="4D2E03D2" w14:textId="77777777" w:rsidR="007C33FD" w:rsidRPr="008211B8" w:rsidRDefault="007C33FD"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19" w:type="dxa"/>
            <w:vAlign w:val="center"/>
          </w:tcPr>
          <w:p w14:paraId="79556CF2" w14:textId="3709C7C5" w:rsidR="007C33FD" w:rsidRPr="008211B8" w:rsidRDefault="007C33FD"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0.399</w:t>
            </w:r>
          </w:p>
        </w:tc>
        <w:tc>
          <w:tcPr>
            <w:tcW w:w="1219" w:type="dxa"/>
            <w:vAlign w:val="center"/>
          </w:tcPr>
          <w:p w14:paraId="5D418210" w14:textId="7D33E7D0" w:rsidR="007C33FD" w:rsidRPr="008211B8" w:rsidRDefault="0010541D"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0.454</w:t>
            </w:r>
          </w:p>
        </w:tc>
        <w:tc>
          <w:tcPr>
            <w:tcW w:w="1219" w:type="dxa"/>
            <w:vAlign w:val="center"/>
          </w:tcPr>
          <w:p w14:paraId="35278D49" w14:textId="407891CA" w:rsidR="007C33FD" w:rsidRPr="008211B8" w:rsidRDefault="007C33FD"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7C33FD" w:rsidRPr="008211B8" w14:paraId="512C06D0" w14:textId="77777777" w:rsidTr="007C33FD">
        <w:trPr>
          <w:trHeight w:val="340"/>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70261683" w14:textId="476A8FA2" w:rsidR="007C33FD" w:rsidRPr="007C33FD" w:rsidRDefault="007C33FD" w:rsidP="00225D1C">
            <w:pPr>
              <w:spacing w:before="0" w:after="0" w:line="240" w:lineRule="auto"/>
              <w:rPr>
                <w:rFonts w:ascii="Gill Sans MT" w:hAnsi="Gill Sans MT"/>
                <w:b w:val="0"/>
                <w:bCs w:val="0"/>
                <w:sz w:val="18"/>
                <w:szCs w:val="18"/>
              </w:rPr>
            </w:pPr>
            <w:r>
              <w:rPr>
                <w:rFonts w:ascii="Gill Sans MT" w:hAnsi="Gill Sans MT"/>
                <w:b w:val="0"/>
                <w:bCs w:val="0"/>
                <w:sz w:val="18"/>
                <w:szCs w:val="18"/>
              </w:rPr>
              <w:t>17: I get my lefts and rights easily mixed up</w:t>
            </w:r>
          </w:p>
        </w:tc>
        <w:tc>
          <w:tcPr>
            <w:tcW w:w="1219" w:type="dxa"/>
            <w:vAlign w:val="center"/>
          </w:tcPr>
          <w:p w14:paraId="003A875F" w14:textId="40718445" w:rsidR="007C33FD" w:rsidRPr="008211B8" w:rsidRDefault="007C33F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0.538</w:t>
            </w:r>
          </w:p>
        </w:tc>
        <w:tc>
          <w:tcPr>
            <w:tcW w:w="1219" w:type="dxa"/>
            <w:vAlign w:val="center"/>
          </w:tcPr>
          <w:p w14:paraId="6067EAA7" w14:textId="77777777" w:rsidR="007C33FD" w:rsidRPr="008211B8" w:rsidRDefault="007C33F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19" w:type="dxa"/>
            <w:vAlign w:val="center"/>
          </w:tcPr>
          <w:p w14:paraId="0DA1E9C8" w14:textId="2AA8A377" w:rsidR="007C33FD" w:rsidRPr="008211B8" w:rsidRDefault="007C33F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0.605</w:t>
            </w:r>
          </w:p>
        </w:tc>
        <w:tc>
          <w:tcPr>
            <w:tcW w:w="1219" w:type="dxa"/>
            <w:vAlign w:val="center"/>
          </w:tcPr>
          <w:p w14:paraId="179248BE" w14:textId="77777777" w:rsidR="007C33FD" w:rsidRPr="008211B8" w:rsidRDefault="007C33F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19" w:type="dxa"/>
            <w:vAlign w:val="center"/>
          </w:tcPr>
          <w:p w14:paraId="61FD6582" w14:textId="77777777" w:rsidR="007C33FD" w:rsidRPr="008211B8" w:rsidRDefault="007C33F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7C33FD" w:rsidRPr="008211B8" w14:paraId="412DF70F" w14:textId="77777777" w:rsidTr="007C33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73485FBA" w14:textId="26CE23A6" w:rsidR="007C33FD" w:rsidRPr="007C33FD" w:rsidRDefault="007C33FD" w:rsidP="00225D1C">
            <w:pPr>
              <w:spacing w:before="0" w:after="0" w:line="240" w:lineRule="auto"/>
              <w:rPr>
                <w:rFonts w:ascii="Gill Sans MT" w:hAnsi="Gill Sans MT"/>
                <w:b w:val="0"/>
                <w:bCs w:val="0"/>
                <w:sz w:val="18"/>
                <w:szCs w:val="18"/>
              </w:rPr>
            </w:pPr>
            <w:r>
              <w:rPr>
                <w:rFonts w:ascii="Gill Sans MT" w:hAnsi="Gill Sans MT"/>
                <w:b w:val="0"/>
                <w:bCs w:val="0"/>
                <w:sz w:val="18"/>
                <w:szCs w:val="18"/>
              </w:rPr>
              <w:t>04: I can explain things to people much more easily verbally, than in my writing</w:t>
            </w:r>
          </w:p>
        </w:tc>
        <w:tc>
          <w:tcPr>
            <w:tcW w:w="1219" w:type="dxa"/>
            <w:vAlign w:val="center"/>
          </w:tcPr>
          <w:p w14:paraId="3A8D64DF" w14:textId="6E6D8335" w:rsidR="007C33FD" w:rsidRPr="008211B8" w:rsidRDefault="007C33FD"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0.529</w:t>
            </w:r>
          </w:p>
        </w:tc>
        <w:tc>
          <w:tcPr>
            <w:tcW w:w="1219" w:type="dxa"/>
            <w:vAlign w:val="center"/>
          </w:tcPr>
          <w:p w14:paraId="5D63940E" w14:textId="77777777" w:rsidR="007C33FD" w:rsidRPr="008211B8" w:rsidRDefault="007C33FD"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19" w:type="dxa"/>
            <w:vAlign w:val="center"/>
          </w:tcPr>
          <w:p w14:paraId="5033BD25" w14:textId="3758DF7B" w:rsidR="007C33FD" w:rsidRPr="008211B8" w:rsidRDefault="007C33FD"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0.345</w:t>
            </w:r>
          </w:p>
        </w:tc>
        <w:tc>
          <w:tcPr>
            <w:tcW w:w="1219" w:type="dxa"/>
            <w:vAlign w:val="center"/>
          </w:tcPr>
          <w:p w14:paraId="6BEC0908" w14:textId="0D39CB1F" w:rsidR="007C33FD" w:rsidRPr="008211B8" w:rsidRDefault="0010541D"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0.550</w:t>
            </w:r>
          </w:p>
        </w:tc>
        <w:tc>
          <w:tcPr>
            <w:tcW w:w="1219" w:type="dxa"/>
            <w:vAlign w:val="center"/>
          </w:tcPr>
          <w:p w14:paraId="59237AE1" w14:textId="1043A402" w:rsidR="007C33FD" w:rsidRPr="008211B8" w:rsidRDefault="007C33FD"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7C33FD" w:rsidRPr="008211B8" w14:paraId="502B8BE4" w14:textId="77777777" w:rsidTr="007C33FD">
        <w:trPr>
          <w:trHeight w:val="340"/>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163DFF8D" w14:textId="08BF9CD1" w:rsidR="007C33FD" w:rsidRPr="007C33FD" w:rsidRDefault="007C33FD" w:rsidP="00225D1C">
            <w:pPr>
              <w:spacing w:before="0" w:after="0" w:line="240" w:lineRule="auto"/>
              <w:rPr>
                <w:rFonts w:ascii="Gill Sans MT" w:hAnsi="Gill Sans MT"/>
                <w:b w:val="0"/>
                <w:bCs w:val="0"/>
                <w:sz w:val="18"/>
                <w:szCs w:val="18"/>
              </w:rPr>
            </w:pPr>
            <w:r>
              <w:rPr>
                <w:rFonts w:ascii="Gill Sans MT" w:hAnsi="Gill Sans MT"/>
                <w:b w:val="0"/>
                <w:bCs w:val="0"/>
                <w:sz w:val="18"/>
                <w:szCs w:val="18"/>
              </w:rPr>
              <w:t>12: I'm hopeless at remembering things like telephone numbers</w:t>
            </w:r>
          </w:p>
        </w:tc>
        <w:tc>
          <w:tcPr>
            <w:tcW w:w="1219" w:type="dxa"/>
            <w:vAlign w:val="center"/>
          </w:tcPr>
          <w:p w14:paraId="63818449" w14:textId="53107BDE" w:rsidR="007C33FD" w:rsidRPr="008211B8" w:rsidRDefault="007C33F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0.496</w:t>
            </w:r>
          </w:p>
        </w:tc>
        <w:tc>
          <w:tcPr>
            <w:tcW w:w="1219" w:type="dxa"/>
            <w:vAlign w:val="center"/>
          </w:tcPr>
          <w:p w14:paraId="7ABCC9F8" w14:textId="77777777" w:rsidR="007C33FD" w:rsidRPr="008211B8" w:rsidRDefault="007C33F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19" w:type="dxa"/>
            <w:vAlign w:val="center"/>
          </w:tcPr>
          <w:p w14:paraId="379D2D0D" w14:textId="1751999B" w:rsidR="007C33FD" w:rsidRPr="008211B8" w:rsidRDefault="007C33F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0.511</w:t>
            </w:r>
          </w:p>
        </w:tc>
        <w:tc>
          <w:tcPr>
            <w:tcW w:w="1219" w:type="dxa"/>
            <w:vAlign w:val="center"/>
          </w:tcPr>
          <w:p w14:paraId="23D60C3D" w14:textId="77777777" w:rsidR="007C33FD" w:rsidRPr="008211B8" w:rsidRDefault="007C33F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19" w:type="dxa"/>
            <w:vAlign w:val="center"/>
          </w:tcPr>
          <w:p w14:paraId="65A042B2" w14:textId="77777777" w:rsidR="007C33FD" w:rsidRPr="008211B8" w:rsidRDefault="007C33F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7C33FD" w:rsidRPr="008211B8" w14:paraId="5BE87F91" w14:textId="77777777" w:rsidTr="007C33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18137413" w14:textId="276223D8" w:rsidR="007C33FD" w:rsidRPr="007C33FD" w:rsidRDefault="007C33FD" w:rsidP="00225D1C">
            <w:pPr>
              <w:spacing w:before="0" w:after="0" w:line="240" w:lineRule="auto"/>
              <w:rPr>
                <w:rFonts w:ascii="Gill Sans MT" w:hAnsi="Gill Sans MT"/>
                <w:b w:val="0"/>
                <w:bCs w:val="0"/>
                <w:sz w:val="18"/>
                <w:szCs w:val="18"/>
              </w:rPr>
            </w:pPr>
            <w:r>
              <w:rPr>
                <w:rFonts w:ascii="Gill Sans MT" w:hAnsi="Gill Sans MT"/>
                <w:b w:val="0"/>
                <w:bCs w:val="0"/>
                <w:sz w:val="18"/>
                <w:szCs w:val="18"/>
              </w:rPr>
              <w:t>15: My friends say I often think in unusual or creative ways to solve problems</w:t>
            </w:r>
          </w:p>
        </w:tc>
        <w:tc>
          <w:tcPr>
            <w:tcW w:w="1219" w:type="dxa"/>
            <w:vAlign w:val="center"/>
          </w:tcPr>
          <w:p w14:paraId="3D58CE33" w14:textId="7586528D" w:rsidR="007C33FD" w:rsidRPr="008211B8" w:rsidRDefault="007C33FD"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0.447</w:t>
            </w:r>
          </w:p>
        </w:tc>
        <w:tc>
          <w:tcPr>
            <w:tcW w:w="1219" w:type="dxa"/>
            <w:vAlign w:val="center"/>
          </w:tcPr>
          <w:p w14:paraId="12EB5771" w14:textId="77777777" w:rsidR="007C33FD" w:rsidRPr="008211B8" w:rsidRDefault="007C33FD"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19" w:type="dxa"/>
            <w:vAlign w:val="center"/>
          </w:tcPr>
          <w:p w14:paraId="69864684" w14:textId="1B4BB5B2" w:rsidR="007C33FD" w:rsidRPr="008211B8" w:rsidRDefault="007C33FD"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0.337</w:t>
            </w:r>
          </w:p>
        </w:tc>
        <w:tc>
          <w:tcPr>
            <w:tcW w:w="1219" w:type="dxa"/>
            <w:vAlign w:val="center"/>
          </w:tcPr>
          <w:p w14:paraId="5F4C2632" w14:textId="6936A049" w:rsidR="007C33FD" w:rsidRPr="008211B8" w:rsidRDefault="0010541D"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0.319</w:t>
            </w:r>
          </w:p>
        </w:tc>
        <w:tc>
          <w:tcPr>
            <w:tcW w:w="1219" w:type="dxa"/>
            <w:vAlign w:val="center"/>
          </w:tcPr>
          <w:p w14:paraId="076229C1" w14:textId="6F92AE53" w:rsidR="007C33FD" w:rsidRPr="008211B8" w:rsidRDefault="007C33FD"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7C33FD" w:rsidRPr="008211B8" w14:paraId="51ABE600" w14:textId="77777777" w:rsidTr="007C33FD">
        <w:trPr>
          <w:trHeight w:val="340"/>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4BAD3247" w14:textId="6A4A056D" w:rsidR="007C33FD" w:rsidRPr="007C33FD" w:rsidRDefault="007C33FD" w:rsidP="00225D1C">
            <w:pPr>
              <w:spacing w:before="0" w:after="0" w:line="240" w:lineRule="auto"/>
              <w:rPr>
                <w:rFonts w:ascii="Gill Sans MT" w:hAnsi="Gill Sans MT"/>
                <w:b w:val="0"/>
                <w:bCs w:val="0"/>
                <w:sz w:val="18"/>
                <w:szCs w:val="18"/>
              </w:rPr>
            </w:pPr>
            <w:r>
              <w:rPr>
                <w:rFonts w:ascii="Gill Sans MT" w:hAnsi="Gill Sans MT"/>
                <w:b w:val="0"/>
                <w:bCs w:val="0"/>
                <w:sz w:val="18"/>
                <w:szCs w:val="18"/>
              </w:rPr>
              <w:t>05: I think I'm a highly organized learner*</w:t>
            </w:r>
          </w:p>
        </w:tc>
        <w:tc>
          <w:tcPr>
            <w:tcW w:w="1219" w:type="dxa"/>
            <w:vAlign w:val="center"/>
          </w:tcPr>
          <w:p w14:paraId="4E6EBBA3" w14:textId="77777777" w:rsidR="007C33FD" w:rsidRPr="008211B8" w:rsidRDefault="007C33F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19" w:type="dxa"/>
            <w:vAlign w:val="center"/>
          </w:tcPr>
          <w:p w14:paraId="092140FF" w14:textId="7A276123" w:rsidR="007C33FD" w:rsidRPr="008211B8" w:rsidRDefault="007C33F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0.762</w:t>
            </w:r>
          </w:p>
        </w:tc>
        <w:tc>
          <w:tcPr>
            <w:tcW w:w="1219" w:type="dxa"/>
            <w:vAlign w:val="center"/>
          </w:tcPr>
          <w:p w14:paraId="5BC735E0" w14:textId="77777777" w:rsidR="007C33FD" w:rsidRPr="008211B8" w:rsidRDefault="007C33F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19" w:type="dxa"/>
            <w:vAlign w:val="center"/>
          </w:tcPr>
          <w:p w14:paraId="046AB7E8" w14:textId="343687FB" w:rsidR="007C33FD" w:rsidRPr="008211B8" w:rsidRDefault="007C33F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19" w:type="dxa"/>
            <w:vAlign w:val="center"/>
          </w:tcPr>
          <w:p w14:paraId="0D1DF77B" w14:textId="156C225A" w:rsidR="007C33FD" w:rsidRPr="008211B8" w:rsidRDefault="0010541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0.768</w:t>
            </w:r>
          </w:p>
        </w:tc>
      </w:tr>
      <w:tr w:rsidR="007C33FD" w:rsidRPr="008211B8" w14:paraId="23B5A0B5" w14:textId="77777777" w:rsidTr="007C33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399D26D9" w14:textId="49AE2EEB" w:rsidR="007C33FD" w:rsidRPr="007C33FD" w:rsidRDefault="007C33FD" w:rsidP="00225D1C">
            <w:pPr>
              <w:spacing w:before="0" w:after="0" w:line="240" w:lineRule="auto"/>
              <w:rPr>
                <w:rFonts w:ascii="Gill Sans MT" w:hAnsi="Gill Sans MT"/>
                <w:b w:val="0"/>
                <w:bCs w:val="0"/>
                <w:sz w:val="18"/>
                <w:szCs w:val="18"/>
              </w:rPr>
            </w:pPr>
            <w:r>
              <w:rPr>
                <w:rFonts w:ascii="Gill Sans MT" w:hAnsi="Gill Sans MT"/>
                <w:b w:val="0"/>
                <w:bCs w:val="0"/>
                <w:sz w:val="18"/>
                <w:szCs w:val="18"/>
              </w:rPr>
              <w:t>07: I generally remember appointments and arrive on time*</w:t>
            </w:r>
          </w:p>
        </w:tc>
        <w:tc>
          <w:tcPr>
            <w:tcW w:w="1219" w:type="dxa"/>
            <w:vAlign w:val="center"/>
          </w:tcPr>
          <w:p w14:paraId="5CE81F7B" w14:textId="77777777" w:rsidR="007C33FD" w:rsidRPr="008211B8" w:rsidRDefault="007C33FD"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19" w:type="dxa"/>
            <w:vAlign w:val="center"/>
          </w:tcPr>
          <w:p w14:paraId="500CAAEB" w14:textId="28EE8EA1" w:rsidR="007C33FD" w:rsidRPr="008211B8" w:rsidRDefault="007C33FD"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0.740</w:t>
            </w:r>
          </w:p>
        </w:tc>
        <w:tc>
          <w:tcPr>
            <w:tcW w:w="1219" w:type="dxa"/>
            <w:vAlign w:val="center"/>
          </w:tcPr>
          <w:p w14:paraId="1105CF2B" w14:textId="77777777" w:rsidR="007C33FD" w:rsidRPr="008211B8" w:rsidRDefault="007C33FD"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19" w:type="dxa"/>
            <w:vAlign w:val="center"/>
          </w:tcPr>
          <w:p w14:paraId="26E95746" w14:textId="2EE41570" w:rsidR="007C33FD" w:rsidRPr="008211B8" w:rsidRDefault="00E75DCB"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-0.405</w:t>
            </w:r>
          </w:p>
        </w:tc>
        <w:tc>
          <w:tcPr>
            <w:tcW w:w="1219" w:type="dxa"/>
            <w:vAlign w:val="center"/>
          </w:tcPr>
          <w:p w14:paraId="60C5EA2D" w14:textId="00F10287" w:rsidR="007C33FD" w:rsidRPr="008211B8" w:rsidRDefault="00E75DCB"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0.633</w:t>
            </w:r>
          </w:p>
        </w:tc>
      </w:tr>
      <w:tr w:rsidR="007C33FD" w:rsidRPr="008211B8" w14:paraId="2FE37CAC" w14:textId="77777777" w:rsidTr="007C33FD">
        <w:trPr>
          <w:trHeight w:val="340"/>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1865EBAE" w14:textId="330294D7" w:rsidR="007C33FD" w:rsidRPr="007C33FD" w:rsidRDefault="007C33FD" w:rsidP="00225D1C">
            <w:pPr>
              <w:spacing w:before="0" w:after="0" w:line="240" w:lineRule="auto"/>
              <w:rPr>
                <w:rFonts w:ascii="Gill Sans MT" w:hAnsi="Gill Sans MT"/>
                <w:b w:val="0"/>
                <w:bCs w:val="0"/>
                <w:sz w:val="18"/>
                <w:szCs w:val="18"/>
              </w:rPr>
            </w:pPr>
            <w:r>
              <w:rPr>
                <w:rFonts w:ascii="Gill Sans MT" w:hAnsi="Gill Sans MT"/>
                <w:b w:val="0"/>
                <w:bCs w:val="0"/>
                <w:sz w:val="18"/>
                <w:szCs w:val="18"/>
              </w:rPr>
              <w:t>03: I find it very challenging to manage my time efficiently</w:t>
            </w:r>
          </w:p>
        </w:tc>
        <w:tc>
          <w:tcPr>
            <w:tcW w:w="1219" w:type="dxa"/>
            <w:vAlign w:val="center"/>
          </w:tcPr>
          <w:p w14:paraId="190F2F6E" w14:textId="77777777" w:rsidR="007C33FD" w:rsidRPr="008211B8" w:rsidRDefault="007C33F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19" w:type="dxa"/>
            <w:vAlign w:val="center"/>
          </w:tcPr>
          <w:p w14:paraId="769B51CB" w14:textId="42A20E3B" w:rsidR="007C33FD" w:rsidRPr="008211B8" w:rsidRDefault="007C33F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0.652</w:t>
            </w:r>
          </w:p>
        </w:tc>
        <w:tc>
          <w:tcPr>
            <w:tcW w:w="1219" w:type="dxa"/>
            <w:vAlign w:val="center"/>
          </w:tcPr>
          <w:p w14:paraId="3F9DD9D9" w14:textId="77777777" w:rsidR="007C33FD" w:rsidRPr="008211B8" w:rsidRDefault="007C33F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19" w:type="dxa"/>
            <w:vAlign w:val="center"/>
          </w:tcPr>
          <w:p w14:paraId="25BB3279" w14:textId="464188E5" w:rsidR="007C33FD" w:rsidRPr="008211B8" w:rsidRDefault="007C33F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19" w:type="dxa"/>
            <w:vAlign w:val="center"/>
          </w:tcPr>
          <w:p w14:paraId="198C213A" w14:textId="7944B805" w:rsidR="007C33FD" w:rsidRPr="008211B8" w:rsidRDefault="00E75DCB"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0.790</w:t>
            </w:r>
          </w:p>
        </w:tc>
      </w:tr>
      <w:tr w:rsidR="007C33FD" w:rsidRPr="008211B8" w14:paraId="016EB311" w14:textId="77777777" w:rsidTr="007C33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4CE33A22" w14:textId="564D8485" w:rsidR="007C33FD" w:rsidRPr="007C33FD" w:rsidRDefault="007C33FD" w:rsidP="00225D1C">
            <w:pPr>
              <w:spacing w:before="0" w:after="0" w:line="240" w:lineRule="auto"/>
              <w:rPr>
                <w:rFonts w:ascii="Gill Sans MT" w:hAnsi="Gill Sans MT"/>
                <w:b w:val="0"/>
                <w:bCs w:val="0"/>
                <w:sz w:val="18"/>
                <w:szCs w:val="18"/>
              </w:rPr>
            </w:pPr>
            <w:r>
              <w:rPr>
                <w:rFonts w:ascii="Gill Sans MT" w:hAnsi="Gill Sans MT"/>
                <w:b w:val="0"/>
                <w:bCs w:val="0"/>
                <w:sz w:val="18"/>
                <w:szCs w:val="18"/>
              </w:rPr>
              <w:t>13: I find following directions to get to places quite straightforward</w:t>
            </w:r>
          </w:p>
        </w:tc>
        <w:tc>
          <w:tcPr>
            <w:tcW w:w="1219" w:type="dxa"/>
            <w:vAlign w:val="center"/>
          </w:tcPr>
          <w:p w14:paraId="443A0D7B" w14:textId="77777777" w:rsidR="007C33FD" w:rsidRPr="008211B8" w:rsidRDefault="007C33FD"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19" w:type="dxa"/>
            <w:vAlign w:val="center"/>
          </w:tcPr>
          <w:p w14:paraId="02240D71" w14:textId="10B8D875" w:rsidR="007C33FD" w:rsidRPr="008211B8" w:rsidRDefault="007C33FD"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-0.366</w:t>
            </w:r>
          </w:p>
        </w:tc>
        <w:tc>
          <w:tcPr>
            <w:tcW w:w="1219" w:type="dxa"/>
            <w:vAlign w:val="center"/>
          </w:tcPr>
          <w:p w14:paraId="3C244ECA" w14:textId="77777777" w:rsidR="007C33FD" w:rsidRPr="008211B8" w:rsidRDefault="007C33FD"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19" w:type="dxa"/>
            <w:vAlign w:val="center"/>
          </w:tcPr>
          <w:p w14:paraId="57EF71B4" w14:textId="2B8362DF" w:rsidR="007C33FD" w:rsidRPr="008211B8" w:rsidRDefault="00E75DCB"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0.457</w:t>
            </w:r>
          </w:p>
        </w:tc>
        <w:tc>
          <w:tcPr>
            <w:tcW w:w="1219" w:type="dxa"/>
            <w:vAlign w:val="center"/>
          </w:tcPr>
          <w:p w14:paraId="17E9DA77" w14:textId="6A74C838" w:rsidR="007C33FD" w:rsidRPr="008211B8" w:rsidRDefault="007C33FD" w:rsidP="007C33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7C33FD" w:rsidRPr="008211B8" w14:paraId="1A82DDC2" w14:textId="77777777" w:rsidTr="007C33FD">
        <w:trPr>
          <w:trHeight w:val="340"/>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77325834" w14:textId="63C9A1CE" w:rsidR="007C33FD" w:rsidRDefault="007C33FD" w:rsidP="00225D1C">
            <w:pPr>
              <w:spacing w:before="0" w:after="0" w:line="240" w:lineRule="auto"/>
              <w:rPr>
                <w:rFonts w:ascii="Gill Sans MT" w:hAnsi="Gill Sans MT"/>
                <w:b w:val="0"/>
                <w:bCs w:val="0"/>
                <w:sz w:val="18"/>
                <w:szCs w:val="18"/>
              </w:rPr>
            </w:pPr>
            <w:r>
              <w:rPr>
                <w:rFonts w:ascii="Gill Sans MT" w:hAnsi="Gill Sans MT"/>
                <w:b w:val="0"/>
                <w:bCs w:val="0"/>
                <w:sz w:val="18"/>
                <w:szCs w:val="18"/>
              </w:rPr>
              <w:t>14: I prefer looking at the big picture rather than focusing on details</w:t>
            </w:r>
          </w:p>
        </w:tc>
        <w:tc>
          <w:tcPr>
            <w:tcW w:w="1219" w:type="dxa"/>
            <w:vAlign w:val="center"/>
          </w:tcPr>
          <w:p w14:paraId="616EBC7F" w14:textId="4B21F490" w:rsidR="007C33FD" w:rsidRPr="008211B8" w:rsidRDefault="007C33F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0.279</w:t>
            </w:r>
          </w:p>
        </w:tc>
        <w:tc>
          <w:tcPr>
            <w:tcW w:w="1219" w:type="dxa"/>
            <w:vAlign w:val="center"/>
          </w:tcPr>
          <w:p w14:paraId="70424CD8" w14:textId="6C6CFFAE" w:rsidR="007C33FD" w:rsidRDefault="007C33F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-0.300</w:t>
            </w:r>
          </w:p>
        </w:tc>
        <w:tc>
          <w:tcPr>
            <w:tcW w:w="1219" w:type="dxa"/>
            <w:vAlign w:val="center"/>
          </w:tcPr>
          <w:p w14:paraId="3A8AEC36" w14:textId="77777777" w:rsidR="007C33FD" w:rsidRPr="008211B8" w:rsidRDefault="007C33F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19" w:type="dxa"/>
            <w:vAlign w:val="center"/>
          </w:tcPr>
          <w:p w14:paraId="7E94A343" w14:textId="28BF6F15" w:rsidR="007C33FD" w:rsidRPr="008211B8" w:rsidRDefault="00E75DCB"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0.705</w:t>
            </w:r>
          </w:p>
        </w:tc>
        <w:tc>
          <w:tcPr>
            <w:tcW w:w="1219" w:type="dxa"/>
            <w:vAlign w:val="center"/>
          </w:tcPr>
          <w:p w14:paraId="274844C4" w14:textId="53153CE3" w:rsidR="007C33FD" w:rsidRDefault="007C33FD" w:rsidP="007C33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bl>
    <w:p w14:paraId="558EFBEC" w14:textId="751096D1" w:rsidR="007C33FD" w:rsidRDefault="007C33FD" w:rsidP="00990233">
      <w:pPr>
        <w:pStyle w:val="Tables"/>
      </w:pPr>
      <w:bookmarkStart w:id="235" w:name="_Toc57033206"/>
      <w:r>
        <w:t>Table 2</w:t>
      </w:r>
      <w:r w:rsidR="00D65330">
        <w:t>7</w:t>
      </w:r>
      <w:r>
        <w:t>:</w:t>
      </w:r>
      <w:r w:rsidR="003214C8">
        <w:tab/>
      </w:r>
      <w:r>
        <w:t>Factor leadings for 2-factor, and 3-factor solutions of PCA on the Dx20 Profiler (* dimension with reverse-coded data).</w:t>
      </w:r>
      <w:bookmarkEnd w:id="235"/>
    </w:p>
    <w:p w14:paraId="7AEAFAE8" w14:textId="77777777" w:rsidR="007C33FD" w:rsidRDefault="007C33FD" w:rsidP="007C33FD">
      <w:pPr>
        <w:sectPr w:rsidR="007C33FD" w:rsidSect="00A2665A">
          <w:type w:val="continuous"/>
          <w:pgSz w:w="16838" w:h="11906" w:orient="landscape"/>
          <w:pgMar w:top="964" w:right="720" w:bottom="1019" w:left="2421" w:header="708" w:footer="708" w:gutter="0"/>
          <w:cols w:space="708"/>
          <w:docGrid w:linePitch="360"/>
        </w:sectPr>
      </w:pPr>
    </w:p>
    <w:tbl>
      <w:tblPr>
        <w:tblStyle w:val="GridTable5Dark-Accent1"/>
        <w:tblW w:w="13462" w:type="dxa"/>
        <w:tblLook w:val="04A0" w:firstRow="1" w:lastRow="0" w:firstColumn="1" w:lastColumn="0" w:noHBand="0" w:noVBand="1"/>
      </w:tblPr>
      <w:tblGrid>
        <w:gridCol w:w="7366"/>
        <w:gridCol w:w="2032"/>
        <w:gridCol w:w="2032"/>
        <w:gridCol w:w="2032"/>
      </w:tblGrid>
      <w:tr w:rsidR="004B3AF8" w:rsidRPr="008211B8" w14:paraId="28FC41F1" w14:textId="77777777" w:rsidTr="004B3AF8">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230DB48E" w14:textId="77777777" w:rsidR="004B3AF8" w:rsidRPr="008211B8" w:rsidRDefault="004B3AF8" w:rsidP="00AB6DFA">
            <w:pPr>
              <w:spacing w:before="0" w:after="0" w:line="240" w:lineRule="auto"/>
              <w:rPr>
                <w:rFonts w:ascii="Gill Sans MT" w:hAnsi="Gill Sans MT"/>
                <w:b w:val="0"/>
                <w:bCs w:val="0"/>
              </w:rPr>
            </w:pPr>
            <w:r>
              <w:rPr>
                <w:rFonts w:ascii="Gill Sans MT" w:hAnsi="Gill Sans MT"/>
                <w:b w:val="0"/>
                <w:bCs w:val="0"/>
              </w:rPr>
              <w:lastRenderedPageBreak/>
              <w:t>Dx20 Scale Item</w:t>
            </w:r>
          </w:p>
        </w:tc>
        <w:tc>
          <w:tcPr>
            <w:tcW w:w="2032" w:type="dxa"/>
            <w:vAlign w:val="center"/>
          </w:tcPr>
          <w:p w14:paraId="409E9DD3" w14:textId="77777777" w:rsidR="004B3AF8" w:rsidRDefault="004B3AF8" w:rsidP="00AB6DF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b w:val="0"/>
                <w:bCs w:val="0"/>
              </w:rPr>
              <w:t>Factor 1</w:t>
            </w:r>
          </w:p>
          <w:p w14:paraId="201976DB" w14:textId="27D50D41" w:rsidR="004B3AF8" w:rsidRPr="008211B8" w:rsidRDefault="004B3AF8" w:rsidP="00AB6DF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Language &amp; Literacy</w:t>
            </w:r>
          </w:p>
        </w:tc>
        <w:tc>
          <w:tcPr>
            <w:tcW w:w="2032" w:type="dxa"/>
            <w:vAlign w:val="center"/>
          </w:tcPr>
          <w:p w14:paraId="0BF162D0" w14:textId="77777777" w:rsidR="004B3AF8" w:rsidRDefault="004B3AF8" w:rsidP="00AB6DF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b w:val="0"/>
                <w:bCs w:val="0"/>
              </w:rPr>
              <w:t>Factor 2</w:t>
            </w:r>
          </w:p>
          <w:p w14:paraId="46688254" w14:textId="0FABCF36" w:rsidR="004B3AF8" w:rsidRPr="008211B8" w:rsidRDefault="004B3AF8" w:rsidP="00AB6DF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Thinking &amp; Processing</w:t>
            </w:r>
          </w:p>
        </w:tc>
        <w:tc>
          <w:tcPr>
            <w:tcW w:w="2032" w:type="dxa"/>
            <w:vAlign w:val="center"/>
          </w:tcPr>
          <w:p w14:paraId="325CB645" w14:textId="77777777" w:rsidR="004B3AF8" w:rsidRDefault="004B3AF8" w:rsidP="00AB6DF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b w:val="0"/>
                <w:bCs w:val="0"/>
              </w:rPr>
              <w:t>Factor 3</w:t>
            </w:r>
          </w:p>
          <w:p w14:paraId="29C9422B" w14:textId="05EB3D58" w:rsidR="004B3AF8" w:rsidRPr="008211B8" w:rsidRDefault="004B3AF8" w:rsidP="00AB6DF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Time &amp; Organization</w:t>
            </w:r>
          </w:p>
        </w:tc>
      </w:tr>
      <w:tr w:rsidR="004B3AF8" w:rsidRPr="008211B8" w14:paraId="7672396F" w14:textId="77777777" w:rsidTr="004B3AF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707A779D" w14:textId="77777777" w:rsidR="004B3AF8" w:rsidRPr="007C33FD" w:rsidRDefault="004B3AF8" w:rsidP="00AB6DFA">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06: In my</w:t>
            </w:r>
            <w:r>
              <w:rPr>
                <w:rFonts w:ascii="Gill Sans MT" w:hAnsi="Gill Sans MT"/>
                <w:b w:val="0"/>
                <w:bCs w:val="0"/>
                <w:sz w:val="18"/>
                <w:szCs w:val="18"/>
              </w:rPr>
              <w:t xml:space="preserve"> writing, I frequently use the wrong word for my intended meaning</w:t>
            </w:r>
          </w:p>
        </w:tc>
        <w:tc>
          <w:tcPr>
            <w:tcW w:w="2032" w:type="dxa"/>
            <w:vAlign w:val="center"/>
          </w:tcPr>
          <w:p w14:paraId="5879B36E" w14:textId="77777777" w:rsidR="004B3AF8" w:rsidRPr="008211B8" w:rsidRDefault="004B3AF8" w:rsidP="00AB6DF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0.745</w:t>
            </w:r>
          </w:p>
        </w:tc>
        <w:tc>
          <w:tcPr>
            <w:tcW w:w="2032" w:type="dxa"/>
            <w:vAlign w:val="center"/>
          </w:tcPr>
          <w:p w14:paraId="4FE5766D" w14:textId="331CB66B" w:rsidR="004B3AF8" w:rsidRPr="008211B8" w:rsidRDefault="00622927" w:rsidP="00AB6DF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(0.303)</w:t>
            </w:r>
          </w:p>
        </w:tc>
        <w:tc>
          <w:tcPr>
            <w:tcW w:w="2032" w:type="dxa"/>
            <w:vAlign w:val="center"/>
          </w:tcPr>
          <w:p w14:paraId="30FD09EB" w14:textId="6F8EFEAF" w:rsidR="004B3AF8" w:rsidRPr="008211B8" w:rsidRDefault="004B3AF8" w:rsidP="00AB6DF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4B3AF8" w:rsidRPr="008211B8" w14:paraId="0A6116D6" w14:textId="77777777" w:rsidTr="004B3AF8">
        <w:trPr>
          <w:trHeight w:val="34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6BC8410D" w14:textId="6FC25203" w:rsidR="004B3AF8" w:rsidRPr="007C33FD" w:rsidRDefault="004B3AF8" w:rsidP="004B3AF8">
            <w:pPr>
              <w:spacing w:before="0" w:after="0" w:line="240" w:lineRule="auto"/>
              <w:rPr>
                <w:rFonts w:ascii="Gill Sans MT" w:hAnsi="Gill Sans MT"/>
                <w:b w:val="0"/>
                <w:bCs w:val="0"/>
                <w:sz w:val="18"/>
                <w:szCs w:val="18"/>
              </w:rPr>
            </w:pPr>
            <w:r>
              <w:rPr>
                <w:rFonts w:ascii="Gill Sans MT" w:hAnsi="Gill Sans MT"/>
                <w:b w:val="0"/>
                <w:bCs w:val="0"/>
                <w:sz w:val="18"/>
                <w:szCs w:val="18"/>
              </w:rPr>
              <w:t>20: I get really anxious when I'm asked to read 'out loud'</w:t>
            </w:r>
          </w:p>
        </w:tc>
        <w:tc>
          <w:tcPr>
            <w:tcW w:w="2032" w:type="dxa"/>
            <w:vAlign w:val="center"/>
          </w:tcPr>
          <w:p w14:paraId="7C7475FF" w14:textId="0CD12E76" w:rsidR="004B3AF8" w:rsidRDefault="004B3AF8" w:rsidP="004B3A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0.725</w:t>
            </w:r>
          </w:p>
        </w:tc>
        <w:tc>
          <w:tcPr>
            <w:tcW w:w="2032" w:type="dxa"/>
            <w:vAlign w:val="center"/>
          </w:tcPr>
          <w:p w14:paraId="1ADFB598" w14:textId="77777777" w:rsidR="004B3AF8" w:rsidRPr="008211B8" w:rsidRDefault="004B3AF8" w:rsidP="004B3A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2032" w:type="dxa"/>
            <w:vAlign w:val="center"/>
          </w:tcPr>
          <w:p w14:paraId="134648BC" w14:textId="77777777" w:rsidR="004B3AF8" w:rsidRPr="008211B8" w:rsidRDefault="004B3AF8" w:rsidP="004B3A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4B3AF8" w:rsidRPr="008211B8" w14:paraId="14350D2E" w14:textId="77777777" w:rsidTr="004B3AF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171258F4" w14:textId="53351729" w:rsidR="004B3AF8" w:rsidRPr="007C33FD" w:rsidRDefault="004B3AF8" w:rsidP="004B3AF8">
            <w:pPr>
              <w:spacing w:before="0" w:after="0" w:line="240" w:lineRule="auto"/>
              <w:rPr>
                <w:rFonts w:ascii="Gill Sans MT" w:hAnsi="Gill Sans MT"/>
                <w:b w:val="0"/>
                <w:bCs w:val="0"/>
                <w:sz w:val="18"/>
                <w:szCs w:val="18"/>
              </w:rPr>
            </w:pPr>
            <w:r>
              <w:rPr>
                <w:rFonts w:ascii="Gill Sans MT" w:hAnsi="Gill Sans MT"/>
                <w:b w:val="0"/>
                <w:bCs w:val="0"/>
                <w:sz w:val="18"/>
                <w:szCs w:val="18"/>
              </w:rPr>
              <w:t>08: When I'm reading, I sometimes read the same line again, or miss out a line altogether</w:t>
            </w:r>
          </w:p>
        </w:tc>
        <w:tc>
          <w:tcPr>
            <w:tcW w:w="2032" w:type="dxa"/>
            <w:vAlign w:val="center"/>
          </w:tcPr>
          <w:p w14:paraId="316630DF" w14:textId="36C64F78" w:rsidR="004B3AF8" w:rsidRPr="008211B8" w:rsidRDefault="004B3AF8" w:rsidP="004B3A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0.709</w:t>
            </w:r>
          </w:p>
        </w:tc>
        <w:tc>
          <w:tcPr>
            <w:tcW w:w="2032" w:type="dxa"/>
            <w:vAlign w:val="center"/>
          </w:tcPr>
          <w:p w14:paraId="386DB154" w14:textId="497B5003" w:rsidR="004B3AF8" w:rsidRPr="008211B8" w:rsidRDefault="004B3AF8" w:rsidP="004B3A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2032" w:type="dxa"/>
            <w:vAlign w:val="center"/>
          </w:tcPr>
          <w:p w14:paraId="6338C6F2" w14:textId="7D65E7D2" w:rsidR="004B3AF8" w:rsidRPr="008211B8" w:rsidRDefault="004B3AF8" w:rsidP="004B3A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622927" w:rsidRPr="008211B8" w14:paraId="7B738FE1" w14:textId="77777777" w:rsidTr="004B3AF8">
        <w:trPr>
          <w:trHeight w:val="34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05D83D97" w14:textId="10E88248" w:rsidR="00622927" w:rsidRDefault="00622927" w:rsidP="00622927">
            <w:pPr>
              <w:spacing w:before="0" w:after="0" w:line="240" w:lineRule="auto"/>
              <w:rPr>
                <w:rFonts w:ascii="Gill Sans MT" w:hAnsi="Gill Sans MT"/>
                <w:b w:val="0"/>
                <w:bCs w:val="0"/>
                <w:sz w:val="18"/>
                <w:szCs w:val="18"/>
              </w:rPr>
            </w:pPr>
            <w:r>
              <w:rPr>
                <w:rFonts w:ascii="Gill Sans MT" w:hAnsi="Gill Sans MT"/>
                <w:b w:val="0"/>
                <w:bCs w:val="0"/>
                <w:sz w:val="18"/>
                <w:szCs w:val="18"/>
              </w:rPr>
              <w:t>02: My spelling is generally good*</w:t>
            </w:r>
          </w:p>
        </w:tc>
        <w:tc>
          <w:tcPr>
            <w:tcW w:w="2032" w:type="dxa"/>
            <w:vAlign w:val="center"/>
          </w:tcPr>
          <w:p w14:paraId="53BF86C5" w14:textId="42DAB310" w:rsidR="00622927" w:rsidRDefault="00622927" w:rsidP="006229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0.702</w:t>
            </w:r>
          </w:p>
        </w:tc>
        <w:tc>
          <w:tcPr>
            <w:tcW w:w="2032" w:type="dxa"/>
            <w:vAlign w:val="center"/>
          </w:tcPr>
          <w:p w14:paraId="75A22741" w14:textId="77777777" w:rsidR="00622927" w:rsidRDefault="00622927" w:rsidP="006229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2032" w:type="dxa"/>
            <w:vAlign w:val="center"/>
          </w:tcPr>
          <w:p w14:paraId="68C8D3D5" w14:textId="77777777" w:rsidR="00622927" w:rsidRDefault="00622927" w:rsidP="006229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622927" w:rsidRPr="008211B8" w14:paraId="08F2F82A" w14:textId="77777777" w:rsidTr="004B3AF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557D4CB8" w14:textId="7F12ECC2" w:rsidR="00622927" w:rsidRDefault="00622927" w:rsidP="00622927">
            <w:pPr>
              <w:spacing w:before="0" w:after="0" w:line="240" w:lineRule="auto"/>
              <w:rPr>
                <w:rFonts w:ascii="Gill Sans MT" w:hAnsi="Gill Sans MT"/>
                <w:b w:val="0"/>
                <w:bCs w:val="0"/>
                <w:sz w:val="18"/>
                <w:szCs w:val="18"/>
              </w:rPr>
            </w:pPr>
            <w:r>
              <w:rPr>
                <w:rFonts w:ascii="Gill Sans MT" w:hAnsi="Gill Sans MT"/>
                <w:b w:val="0"/>
                <w:bCs w:val="0"/>
                <w:sz w:val="18"/>
                <w:szCs w:val="18"/>
              </w:rPr>
              <w:t>10: In my writing at school, I often mixed up similar letters, like 'b' and 'd', or 'p' and 'q'</w:t>
            </w:r>
          </w:p>
        </w:tc>
        <w:tc>
          <w:tcPr>
            <w:tcW w:w="2032" w:type="dxa"/>
            <w:vAlign w:val="center"/>
          </w:tcPr>
          <w:p w14:paraId="42F511F9" w14:textId="1411D01B" w:rsidR="00622927" w:rsidRDefault="00622927" w:rsidP="006229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0.700</w:t>
            </w:r>
          </w:p>
        </w:tc>
        <w:tc>
          <w:tcPr>
            <w:tcW w:w="2032" w:type="dxa"/>
            <w:vAlign w:val="center"/>
          </w:tcPr>
          <w:p w14:paraId="4EBF6336" w14:textId="77777777" w:rsidR="00622927" w:rsidRDefault="00622927" w:rsidP="006229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2032" w:type="dxa"/>
            <w:vAlign w:val="center"/>
          </w:tcPr>
          <w:p w14:paraId="1F4DDBB9" w14:textId="77777777" w:rsidR="00622927" w:rsidRDefault="00622927" w:rsidP="006229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622927" w:rsidRPr="008211B8" w14:paraId="3DC71717" w14:textId="77777777" w:rsidTr="004B3AF8">
        <w:trPr>
          <w:trHeight w:val="34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28DC0532" w14:textId="451234C2" w:rsidR="00622927" w:rsidRDefault="00622927" w:rsidP="00622927">
            <w:pPr>
              <w:spacing w:before="0" w:after="0" w:line="240" w:lineRule="auto"/>
              <w:rPr>
                <w:rFonts w:ascii="Gill Sans MT" w:hAnsi="Gill Sans MT"/>
                <w:b w:val="0"/>
                <w:bCs w:val="0"/>
                <w:sz w:val="18"/>
                <w:szCs w:val="18"/>
              </w:rPr>
            </w:pPr>
            <w:r>
              <w:rPr>
                <w:rFonts w:ascii="Gill Sans MT" w:hAnsi="Gill Sans MT"/>
                <w:b w:val="0"/>
                <w:bCs w:val="0"/>
                <w:sz w:val="18"/>
                <w:szCs w:val="18"/>
              </w:rPr>
              <w:t>18: My tutors often tell me that my essays or assignments are confusing to read</w:t>
            </w:r>
          </w:p>
        </w:tc>
        <w:tc>
          <w:tcPr>
            <w:tcW w:w="2032" w:type="dxa"/>
            <w:vAlign w:val="center"/>
          </w:tcPr>
          <w:p w14:paraId="1BC0257C" w14:textId="667ECB38" w:rsidR="00622927" w:rsidRDefault="00622927" w:rsidP="006229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0.682</w:t>
            </w:r>
          </w:p>
        </w:tc>
        <w:tc>
          <w:tcPr>
            <w:tcW w:w="2032" w:type="dxa"/>
            <w:vAlign w:val="center"/>
          </w:tcPr>
          <w:p w14:paraId="356AC31D" w14:textId="77777777" w:rsidR="00622927" w:rsidRDefault="00622927" w:rsidP="006229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2032" w:type="dxa"/>
            <w:vAlign w:val="center"/>
          </w:tcPr>
          <w:p w14:paraId="5BCC0ACC" w14:textId="77777777" w:rsidR="00622927" w:rsidRDefault="00622927" w:rsidP="006229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622927" w:rsidRPr="008211B8" w14:paraId="3C9488C7" w14:textId="77777777" w:rsidTr="004B3AF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52475A54" w14:textId="3FB7487C" w:rsidR="00622927" w:rsidRPr="007C33FD" w:rsidRDefault="00622927" w:rsidP="00622927">
            <w:pPr>
              <w:spacing w:before="0" w:after="0" w:line="240" w:lineRule="auto"/>
              <w:rPr>
                <w:rFonts w:ascii="Gill Sans MT" w:hAnsi="Gill Sans MT"/>
                <w:b w:val="0"/>
                <w:bCs w:val="0"/>
                <w:sz w:val="18"/>
                <w:szCs w:val="18"/>
              </w:rPr>
            </w:pPr>
            <w:r>
              <w:rPr>
                <w:rFonts w:ascii="Gill Sans MT" w:hAnsi="Gill Sans MT"/>
                <w:b w:val="0"/>
                <w:bCs w:val="0"/>
                <w:sz w:val="18"/>
                <w:szCs w:val="18"/>
              </w:rPr>
              <w:t>01: When I was learning to read at school, I often felt I was slower than others in my class</w:t>
            </w:r>
          </w:p>
        </w:tc>
        <w:tc>
          <w:tcPr>
            <w:tcW w:w="2032" w:type="dxa"/>
            <w:vAlign w:val="center"/>
          </w:tcPr>
          <w:p w14:paraId="65ED8A46" w14:textId="75648DE4" w:rsidR="00622927" w:rsidRPr="008211B8" w:rsidRDefault="00622927" w:rsidP="006229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0.678</w:t>
            </w:r>
          </w:p>
        </w:tc>
        <w:tc>
          <w:tcPr>
            <w:tcW w:w="2032" w:type="dxa"/>
            <w:vAlign w:val="center"/>
          </w:tcPr>
          <w:p w14:paraId="64DE89E7" w14:textId="77777777" w:rsidR="00622927" w:rsidRPr="008211B8" w:rsidRDefault="00622927" w:rsidP="006229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2032" w:type="dxa"/>
            <w:vAlign w:val="center"/>
          </w:tcPr>
          <w:p w14:paraId="485D4107" w14:textId="77777777" w:rsidR="00622927" w:rsidRPr="008211B8" w:rsidRDefault="00622927" w:rsidP="006229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622927" w:rsidRPr="008211B8" w14:paraId="2612E069" w14:textId="77777777" w:rsidTr="004B3AF8">
        <w:trPr>
          <w:trHeight w:val="34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29500EF7" w14:textId="06D535BA" w:rsidR="00622927" w:rsidRPr="007C33FD" w:rsidRDefault="00622927" w:rsidP="00622927">
            <w:pPr>
              <w:spacing w:before="0" w:after="0" w:line="240" w:lineRule="auto"/>
              <w:rPr>
                <w:rFonts w:ascii="Gill Sans MT" w:hAnsi="Gill Sans MT"/>
                <w:b w:val="0"/>
                <w:bCs w:val="0"/>
                <w:sz w:val="18"/>
                <w:szCs w:val="18"/>
              </w:rPr>
            </w:pPr>
            <w:r>
              <w:rPr>
                <w:rFonts w:ascii="Gill Sans MT" w:hAnsi="Gill Sans MT"/>
                <w:b w:val="0"/>
                <w:bCs w:val="0"/>
                <w:sz w:val="18"/>
                <w:szCs w:val="18"/>
              </w:rPr>
              <w:t>19: I get in a muddle when I'm searching for learning resources or information</w:t>
            </w:r>
          </w:p>
        </w:tc>
        <w:tc>
          <w:tcPr>
            <w:tcW w:w="2032" w:type="dxa"/>
            <w:vAlign w:val="center"/>
          </w:tcPr>
          <w:p w14:paraId="00EC9247" w14:textId="3C7ADAF1" w:rsidR="00622927" w:rsidRPr="008211B8" w:rsidRDefault="00622927" w:rsidP="006229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0.678</w:t>
            </w:r>
          </w:p>
        </w:tc>
        <w:tc>
          <w:tcPr>
            <w:tcW w:w="2032" w:type="dxa"/>
            <w:vAlign w:val="center"/>
          </w:tcPr>
          <w:p w14:paraId="0EB46000" w14:textId="77777777" w:rsidR="00622927" w:rsidRPr="008211B8" w:rsidRDefault="00622927" w:rsidP="006229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2032" w:type="dxa"/>
            <w:vAlign w:val="center"/>
          </w:tcPr>
          <w:p w14:paraId="38D387F0" w14:textId="77777777" w:rsidR="00622927" w:rsidRPr="008211B8" w:rsidRDefault="00622927" w:rsidP="006229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622927" w:rsidRPr="008211B8" w14:paraId="176D06E8" w14:textId="77777777" w:rsidTr="004B3AF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3D37F29D" w14:textId="7E434FE7" w:rsidR="00622927" w:rsidRPr="007C33FD" w:rsidRDefault="00622927" w:rsidP="00622927">
            <w:pPr>
              <w:spacing w:before="0" w:after="0" w:line="240" w:lineRule="auto"/>
              <w:rPr>
                <w:rFonts w:ascii="Gill Sans MT" w:hAnsi="Gill Sans MT"/>
                <w:b w:val="0"/>
                <w:bCs w:val="0"/>
                <w:sz w:val="18"/>
                <w:szCs w:val="18"/>
              </w:rPr>
            </w:pPr>
            <w:r>
              <w:rPr>
                <w:rFonts w:ascii="Gill Sans MT" w:hAnsi="Gill Sans MT"/>
                <w:b w:val="0"/>
                <w:bCs w:val="0"/>
                <w:sz w:val="18"/>
                <w:szCs w:val="18"/>
              </w:rPr>
              <w:t>09: I have difficulty putting my writing ideas into a sensible order</w:t>
            </w:r>
          </w:p>
        </w:tc>
        <w:tc>
          <w:tcPr>
            <w:tcW w:w="2032" w:type="dxa"/>
            <w:vAlign w:val="center"/>
          </w:tcPr>
          <w:p w14:paraId="3ABBD066" w14:textId="775D5577" w:rsidR="00622927" w:rsidRPr="008211B8" w:rsidRDefault="00622927" w:rsidP="006229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0.611</w:t>
            </w:r>
          </w:p>
        </w:tc>
        <w:tc>
          <w:tcPr>
            <w:tcW w:w="2032" w:type="dxa"/>
            <w:vAlign w:val="center"/>
          </w:tcPr>
          <w:p w14:paraId="5236A9D4" w14:textId="2607E776" w:rsidR="00622927" w:rsidRPr="008211B8" w:rsidRDefault="0010541D" w:rsidP="006229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75DCB">
              <w:rPr>
                <w:rFonts w:ascii="Gill Sans MT" w:hAnsi="Gill Sans MT"/>
                <w:color w:val="7F7F7F" w:themeColor="text1" w:themeTint="80"/>
                <w:sz w:val="18"/>
                <w:szCs w:val="18"/>
              </w:rPr>
              <w:t>(</w:t>
            </w:r>
            <w:r w:rsidR="00622927" w:rsidRPr="00E75DCB">
              <w:rPr>
                <w:rFonts w:ascii="Gill Sans MT" w:hAnsi="Gill Sans MT"/>
                <w:color w:val="7F7F7F" w:themeColor="text1" w:themeTint="80"/>
                <w:sz w:val="18"/>
                <w:szCs w:val="18"/>
              </w:rPr>
              <w:t>0.402)</w:t>
            </w:r>
          </w:p>
        </w:tc>
        <w:tc>
          <w:tcPr>
            <w:tcW w:w="2032" w:type="dxa"/>
            <w:vAlign w:val="center"/>
          </w:tcPr>
          <w:p w14:paraId="161DFC84" w14:textId="72FFDA6B" w:rsidR="00622927" w:rsidRPr="00E75DCB" w:rsidRDefault="00622927" w:rsidP="006229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7F7F7F" w:themeColor="text1" w:themeTint="80"/>
                <w:sz w:val="18"/>
                <w:szCs w:val="18"/>
              </w:rPr>
            </w:pPr>
            <w:r w:rsidRPr="00E75DCB">
              <w:rPr>
                <w:rFonts w:ascii="Gill Sans MT" w:hAnsi="Gill Sans MT"/>
                <w:color w:val="7F7F7F" w:themeColor="text1" w:themeTint="80"/>
                <w:sz w:val="18"/>
                <w:szCs w:val="18"/>
              </w:rPr>
              <w:t>(0.325)</w:t>
            </w:r>
          </w:p>
        </w:tc>
      </w:tr>
      <w:tr w:rsidR="00622927" w:rsidRPr="008211B8" w14:paraId="32BF00F8" w14:textId="77777777" w:rsidTr="004B3AF8">
        <w:trPr>
          <w:trHeight w:val="34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4CAEB98A" w14:textId="3D70525C" w:rsidR="00622927" w:rsidRPr="007C33FD" w:rsidRDefault="00622927" w:rsidP="00622927">
            <w:pPr>
              <w:spacing w:before="0" w:after="0" w:line="240" w:lineRule="auto"/>
              <w:rPr>
                <w:rFonts w:ascii="Gill Sans MT" w:hAnsi="Gill Sans MT"/>
                <w:b w:val="0"/>
                <w:bCs w:val="0"/>
                <w:sz w:val="18"/>
                <w:szCs w:val="18"/>
              </w:rPr>
            </w:pPr>
            <w:r>
              <w:rPr>
                <w:rFonts w:ascii="Gill Sans MT" w:hAnsi="Gill Sans MT"/>
                <w:b w:val="0"/>
                <w:bCs w:val="0"/>
                <w:sz w:val="18"/>
                <w:szCs w:val="18"/>
              </w:rPr>
              <w:t>17: I get my lefts and rights easily mixed up</w:t>
            </w:r>
          </w:p>
        </w:tc>
        <w:tc>
          <w:tcPr>
            <w:tcW w:w="2032" w:type="dxa"/>
            <w:vAlign w:val="center"/>
          </w:tcPr>
          <w:p w14:paraId="64AEBDEB" w14:textId="191466F8" w:rsidR="00622927" w:rsidRPr="008211B8" w:rsidRDefault="00622927" w:rsidP="006229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0.605</w:t>
            </w:r>
          </w:p>
        </w:tc>
        <w:tc>
          <w:tcPr>
            <w:tcW w:w="2032" w:type="dxa"/>
            <w:vAlign w:val="center"/>
          </w:tcPr>
          <w:p w14:paraId="1EB8C97F" w14:textId="3BD0B337" w:rsidR="00622927" w:rsidRPr="008211B8" w:rsidRDefault="00622927" w:rsidP="006229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2032" w:type="dxa"/>
            <w:vAlign w:val="center"/>
          </w:tcPr>
          <w:p w14:paraId="3216E0E8" w14:textId="77777777" w:rsidR="00622927" w:rsidRPr="00E75DCB" w:rsidRDefault="00622927" w:rsidP="006229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18"/>
                <w:szCs w:val="18"/>
              </w:rPr>
            </w:pPr>
          </w:p>
        </w:tc>
      </w:tr>
      <w:tr w:rsidR="00622927" w:rsidRPr="008211B8" w14:paraId="0D20ABEC" w14:textId="77777777" w:rsidTr="004B3AF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6494F804" w14:textId="3EBEFFE0" w:rsidR="00622927" w:rsidRPr="007C33FD" w:rsidRDefault="00622927" w:rsidP="00622927">
            <w:pPr>
              <w:spacing w:before="0" w:after="0" w:line="240" w:lineRule="auto"/>
              <w:rPr>
                <w:rFonts w:ascii="Gill Sans MT" w:hAnsi="Gill Sans MT"/>
                <w:b w:val="0"/>
                <w:bCs w:val="0"/>
                <w:sz w:val="18"/>
                <w:szCs w:val="18"/>
              </w:rPr>
            </w:pPr>
            <w:r>
              <w:rPr>
                <w:rFonts w:ascii="Gill Sans MT" w:hAnsi="Gill Sans MT"/>
                <w:b w:val="0"/>
                <w:bCs w:val="0"/>
                <w:sz w:val="18"/>
                <w:szCs w:val="18"/>
              </w:rPr>
              <w:t>16: I find it really challenging to follow a list of instructions</w:t>
            </w:r>
          </w:p>
        </w:tc>
        <w:tc>
          <w:tcPr>
            <w:tcW w:w="2032" w:type="dxa"/>
            <w:vAlign w:val="center"/>
          </w:tcPr>
          <w:p w14:paraId="1DC03708" w14:textId="406B0EAA" w:rsidR="00622927" w:rsidRPr="008211B8" w:rsidRDefault="00622927" w:rsidP="006229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0.522</w:t>
            </w:r>
          </w:p>
        </w:tc>
        <w:tc>
          <w:tcPr>
            <w:tcW w:w="2032" w:type="dxa"/>
            <w:vAlign w:val="center"/>
          </w:tcPr>
          <w:p w14:paraId="720BEA39" w14:textId="2BF9F8EF" w:rsidR="00622927" w:rsidRPr="008211B8" w:rsidRDefault="00622927" w:rsidP="006229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2032" w:type="dxa"/>
            <w:vAlign w:val="center"/>
          </w:tcPr>
          <w:p w14:paraId="4E256F03" w14:textId="37BCF722" w:rsidR="00622927" w:rsidRPr="00E75DCB" w:rsidRDefault="0010541D" w:rsidP="006229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7F7F7F" w:themeColor="text1" w:themeTint="80"/>
                <w:sz w:val="18"/>
                <w:szCs w:val="18"/>
              </w:rPr>
            </w:pPr>
            <w:r w:rsidRPr="00E75DCB">
              <w:rPr>
                <w:rFonts w:ascii="Gill Sans MT" w:hAnsi="Gill Sans MT"/>
                <w:color w:val="7F7F7F" w:themeColor="text1" w:themeTint="80"/>
                <w:sz w:val="18"/>
                <w:szCs w:val="18"/>
              </w:rPr>
              <w:t>(</w:t>
            </w:r>
            <w:r w:rsidR="00622927" w:rsidRPr="00E75DCB">
              <w:rPr>
                <w:rFonts w:ascii="Gill Sans MT" w:hAnsi="Gill Sans MT"/>
                <w:color w:val="7F7F7F" w:themeColor="text1" w:themeTint="80"/>
                <w:sz w:val="18"/>
                <w:szCs w:val="18"/>
              </w:rPr>
              <w:t>0.488</w:t>
            </w:r>
            <w:r w:rsidRPr="00E75DCB">
              <w:rPr>
                <w:rFonts w:ascii="Gill Sans MT" w:hAnsi="Gill Sans MT"/>
                <w:color w:val="7F7F7F" w:themeColor="text1" w:themeTint="80"/>
                <w:sz w:val="18"/>
                <w:szCs w:val="18"/>
              </w:rPr>
              <w:t>)</w:t>
            </w:r>
          </w:p>
        </w:tc>
      </w:tr>
      <w:tr w:rsidR="00622927" w:rsidRPr="008211B8" w14:paraId="7DC3D19F" w14:textId="77777777" w:rsidTr="004B3AF8">
        <w:trPr>
          <w:trHeight w:val="34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39702A71" w14:textId="3710CC67" w:rsidR="00622927" w:rsidRPr="007C33FD" w:rsidRDefault="00622927" w:rsidP="00622927">
            <w:pPr>
              <w:spacing w:before="0" w:after="0" w:line="240" w:lineRule="auto"/>
              <w:rPr>
                <w:rFonts w:ascii="Gill Sans MT" w:hAnsi="Gill Sans MT"/>
                <w:b w:val="0"/>
                <w:bCs w:val="0"/>
                <w:sz w:val="18"/>
                <w:szCs w:val="18"/>
              </w:rPr>
            </w:pPr>
            <w:r>
              <w:rPr>
                <w:rFonts w:ascii="Gill Sans MT" w:hAnsi="Gill Sans MT"/>
                <w:b w:val="0"/>
                <w:bCs w:val="0"/>
                <w:sz w:val="18"/>
                <w:szCs w:val="18"/>
              </w:rPr>
              <w:t>12: I'm hopeless at remembering things like telephone numbers</w:t>
            </w:r>
          </w:p>
        </w:tc>
        <w:tc>
          <w:tcPr>
            <w:tcW w:w="2032" w:type="dxa"/>
            <w:vAlign w:val="center"/>
          </w:tcPr>
          <w:p w14:paraId="61963D0A" w14:textId="1A7E5BE5" w:rsidR="00622927" w:rsidRPr="008211B8" w:rsidRDefault="00622927" w:rsidP="006229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0.511</w:t>
            </w:r>
          </w:p>
        </w:tc>
        <w:tc>
          <w:tcPr>
            <w:tcW w:w="2032" w:type="dxa"/>
            <w:vAlign w:val="center"/>
          </w:tcPr>
          <w:p w14:paraId="5BB09D5F" w14:textId="1EDD3328" w:rsidR="00622927" w:rsidRPr="008211B8" w:rsidRDefault="00622927" w:rsidP="006229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2032" w:type="dxa"/>
            <w:vAlign w:val="center"/>
          </w:tcPr>
          <w:p w14:paraId="21921F34" w14:textId="4F5F877A" w:rsidR="00622927" w:rsidRPr="008211B8" w:rsidRDefault="00622927" w:rsidP="006229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622927" w:rsidRPr="008211B8" w14:paraId="395AE356" w14:textId="77777777" w:rsidTr="004B3AF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5C4DC8C1" w14:textId="583F2F67" w:rsidR="00622927" w:rsidRPr="007C33FD" w:rsidRDefault="00622927" w:rsidP="00622927">
            <w:pPr>
              <w:spacing w:before="0" w:after="0" w:line="240" w:lineRule="auto"/>
              <w:rPr>
                <w:rFonts w:ascii="Gill Sans MT" w:hAnsi="Gill Sans MT"/>
                <w:b w:val="0"/>
                <w:bCs w:val="0"/>
                <w:sz w:val="18"/>
                <w:szCs w:val="18"/>
              </w:rPr>
            </w:pPr>
            <w:r>
              <w:rPr>
                <w:rFonts w:ascii="Gill Sans MT" w:hAnsi="Gill Sans MT"/>
                <w:b w:val="0"/>
                <w:bCs w:val="0"/>
                <w:sz w:val="18"/>
                <w:szCs w:val="18"/>
              </w:rPr>
              <w:t>14: I prefer looking at the big picture rather than focusing on details</w:t>
            </w:r>
          </w:p>
        </w:tc>
        <w:tc>
          <w:tcPr>
            <w:tcW w:w="2032" w:type="dxa"/>
            <w:vAlign w:val="center"/>
          </w:tcPr>
          <w:p w14:paraId="474EF767" w14:textId="59F8BB61" w:rsidR="00622927" w:rsidRPr="008211B8" w:rsidRDefault="00622927" w:rsidP="006229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2032" w:type="dxa"/>
            <w:vAlign w:val="center"/>
          </w:tcPr>
          <w:p w14:paraId="3B7607EE" w14:textId="5977B5DC" w:rsidR="00622927" w:rsidRPr="008211B8" w:rsidRDefault="0010541D" w:rsidP="006229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0.705</w:t>
            </w:r>
          </w:p>
        </w:tc>
        <w:tc>
          <w:tcPr>
            <w:tcW w:w="2032" w:type="dxa"/>
            <w:vAlign w:val="center"/>
          </w:tcPr>
          <w:p w14:paraId="3A1B0350" w14:textId="49F0610A" w:rsidR="00622927" w:rsidRPr="008211B8" w:rsidRDefault="00622927" w:rsidP="006229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10541D" w:rsidRPr="008211B8" w14:paraId="38ADBC33" w14:textId="77777777" w:rsidTr="004B3AF8">
        <w:trPr>
          <w:trHeight w:val="34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6ED03AD2" w14:textId="2A0B9A5F" w:rsidR="0010541D" w:rsidRPr="007C33FD" w:rsidRDefault="0010541D" w:rsidP="0010541D">
            <w:pPr>
              <w:spacing w:before="0" w:after="0" w:line="240" w:lineRule="auto"/>
              <w:rPr>
                <w:rFonts w:ascii="Gill Sans MT" w:hAnsi="Gill Sans MT"/>
                <w:b w:val="0"/>
                <w:bCs w:val="0"/>
                <w:sz w:val="18"/>
                <w:szCs w:val="18"/>
              </w:rPr>
            </w:pPr>
            <w:r>
              <w:rPr>
                <w:rFonts w:ascii="Gill Sans MT" w:hAnsi="Gill Sans MT"/>
                <w:b w:val="0"/>
                <w:bCs w:val="0"/>
                <w:sz w:val="18"/>
                <w:szCs w:val="18"/>
              </w:rPr>
              <w:t>04: I can explain things to people much more easily verbally, than in my writing</w:t>
            </w:r>
          </w:p>
        </w:tc>
        <w:tc>
          <w:tcPr>
            <w:tcW w:w="2032" w:type="dxa"/>
            <w:vAlign w:val="center"/>
          </w:tcPr>
          <w:p w14:paraId="3B11DA43" w14:textId="79CAE43B" w:rsidR="0010541D" w:rsidRPr="008211B8" w:rsidRDefault="00E75DCB" w:rsidP="0010541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75DCB">
              <w:rPr>
                <w:rFonts w:ascii="Gill Sans MT" w:hAnsi="Gill Sans MT"/>
                <w:color w:val="7F7F7F" w:themeColor="text1" w:themeTint="80"/>
                <w:sz w:val="18"/>
                <w:szCs w:val="18"/>
              </w:rPr>
              <w:t>(</w:t>
            </w:r>
            <w:r w:rsidR="0010541D" w:rsidRPr="00E75DCB">
              <w:rPr>
                <w:rFonts w:ascii="Gill Sans MT" w:hAnsi="Gill Sans MT"/>
                <w:color w:val="7F7F7F" w:themeColor="text1" w:themeTint="80"/>
                <w:sz w:val="18"/>
                <w:szCs w:val="18"/>
              </w:rPr>
              <w:t>0.345</w:t>
            </w:r>
            <w:r w:rsidRPr="00E75DCB">
              <w:rPr>
                <w:rFonts w:ascii="Gill Sans MT" w:hAnsi="Gill Sans MT"/>
                <w:color w:val="7F7F7F" w:themeColor="text1" w:themeTint="80"/>
                <w:sz w:val="18"/>
                <w:szCs w:val="18"/>
              </w:rPr>
              <w:t>)</w:t>
            </w:r>
          </w:p>
        </w:tc>
        <w:tc>
          <w:tcPr>
            <w:tcW w:w="2032" w:type="dxa"/>
            <w:vAlign w:val="center"/>
          </w:tcPr>
          <w:p w14:paraId="36EEFE0E" w14:textId="29003D80" w:rsidR="0010541D" w:rsidRPr="008211B8" w:rsidRDefault="0010541D" w:rsidP="0010541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0.550</w:t>
            </w:r>
          </w:p>
        </w:tc>
        <w:tc>
          <w:tcPr>
            <w:tcW w:w="2032" w:type="dxa"/>
            <w:vAlign w:val="center"/>
          </w:tcPr>
          <w:p w14:paraId="09951E08" w14:textId="0364D80C" w:rsidR="0010541D" w:rsidRPr="008211B8" w:rsidRDefault="0010541D" w:rsidP="0010541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10541D" w:rsidRPr="008211B8" w14:paraId="636285BF" w14:textId="77777777" w:rsidTr="004B3AF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7C19B934" w14:textId="6F3BAA5B" w:rsidR="0010541D" w:rsidRPr="007C33FD" w:rsidRDefault="0010541D" w:rsidP="0010541D">
            <w:pPr>
              <w:spacing w:before="0" w:after="0" w:line="240" w:lineRule="auto"/>
              <w:rPr>
                <w:rFonts w:ascii="Gill Sans MT" w:hAnsi="Gill Sans MT"/>
                <w:b w:val="0"/>
                <w:bCs w:val="0"/>
                <w:sz w:val="18"/>
                <w:szCs w:val="18"/>
              </w:rPr>
            </w:pPr>
            <w:r>
              <w:rPr>
                <w:rFonts w:ascii="Gill Sans MT" w:hAnsi="Gill Sans MT"/>
                <w:b w:val="0"/>
                <w:bCs w:val="0"/>
                <w:sz w:val="18"/>
                <w:szCs w:val="18"/>
              </w:rPr>
              <w:t>13: I find following directions to get to places quite straightforward</w:t>
            </w:r>
          </w:p>
        </w:tc>
        <w:tc>
          <w:tcPr>
            <w:tcW w:w="2032" w:type="dxa"/>
            <w:vAlign w:val="center"/>
          </w:tcPr>
          <w:p w14:paraId="2900C0E1" w14:textId="33E6FB59" w:rsidR="0010541D" w:rsidRPr="008211B8" w:rsidRDefault="0010541D" w:rsidP="0010541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2032" w:type="dxa"/>
            <w:vAlign w:val="center"/>
          </w:tcPr>
          <w:p w14:paraId="1CF430E9" w14:textId="293AEB0F" w:rsidR="0010541D" w:rsidRPr="008211B8" w:rsidRDefault="0010541D" w:rsidP="0010541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0.457</w:t>
            </w:r>
          </w:p>
        </w:tc>
        <w:tc>
          <w:tcPr>
            <w:tcW w:w="2032" w:type="dxa"/>
            <w:vAlign w:val="center"/>
          </w:tcPr>
          <w:p w14:paraId="5F0524D2" w14:textId="4506CB3B" w:rsidR="0010541D" w:rsidRPr="008211B8" w:rsidRDefault="0010541D" w:rsidP="0010541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10541D" w:rsidRPr="008211B8" w14:paraId="73DDCAA9" w14:textId="77777777" w:rsidTr="004B3AF8">
        <w:trPr>
          <w:trHeight w:val="34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55B1DB15" w14:textId="3CECCD89" w:rsidR="0010541D" w:rsidRPr="007C33FD" w:rsidRDefault="0010541D" w:rsidP="0010541D">
            <w:pPr>
              <w:spacing w:before="0" w:after="0" w:line="240" w:lineRule="auto"/>
              <w:rPr>
                <w:rFonts w:ascii="Gill Sans MT" w:hAnsi="Gill Sans MT"/>
                <w:b w:val="0"/>
                <w:bCs w:val="0"/>
                <w:sz w:val="18"/>
                <w:szCs w:val="18"/>
              </w:rPr>
            </w:pPr>
            <w:r>
              <w:rPr>
                <w:rFonts w:ascii="Gill Sans MT" w:hAnsi="Gill Sans MT"/>
                <w:b w:val="0"/>
                <w:bCs w:val="0"/>
                <w:sz w:val="18"/>
                <w:szCs w:val="18"/>
              </w:rPr>
              <w:t>11: When I'm planning my work, I use diagrams or mindmaps rather than bullet points or lists</w:t>
            </w:r>
          </w:p>
        </w:tc>
        <w:tc>
          <w:tcPr>
            <w:tcW w:w="2032" w:type="dxa"/>
            <w:vAlign w:val="center"/>
          </w:tcPr>
          <w:p w14:paraId="3483FC5B" w14:textId="435087FA" w:rsidR="0010541D" w:rsidRPr="008211B8" w:rsidRDefault="00E75DCB" w:rsidP="0010541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75DCB">
              <w:rPr>
                <w:rFonts w:ascii="Gill Sans MT" w:hAnsi="Gill Sans MT"/>
                <w:color w:val="7F7F7F" w:themeColor="text1" w:themeTint="80"/>
                <w:sz w:val="18"/>
                <w:szCs w:val="18"/>
              </w:rPr>
              <w:t>(</w:t>
            </w:r>
            <w:r w:rsidR="0010541D" w:rsidRPr="00E75DCB">
              <w:rPr>
                <w:rFonts w:ascii="Gill Sans MT" w:hAnsi="Gill Sans MT"/>
                <w:color w:val="7F7F7F" w:themeColor="text1" w:themeTint="80"/>
                <w:sz w:val="18"/>
                <w:szCs w:val="18"/>
              </w:rPr>
              <w:t>0.399</w:t>
            </w:r>
            <w:r w:rsidRPr="00E75DCB">
              <w:rPr>
                <w:rFonts w:ascii="Gill Sans MT" w:hAnsi="Gill Sans MT"/>
                <w:color w:val="7F7F7F" w:themeColor="text1" w:themeTint="80"/>
                <w:sz w:val="18"/>
                <w:szCs w:val="18"/>
              </w:rPr>
              <w:t>)</w:t>
            </w:r>
          </w:p>
        </w:tc>
        <w:tc>
          <w:tcPr>
            <w:tcW w:w="2032" w:type="dxa"/>
            <w:vAlign w:val="center"/>
          </w:tcPr>
          <w:p w14:paraId="46750813" w14:textId="225C5047" w:rsidR="0010541D" w:rsidRPr="008211B8" w:rsidRDefault="0010541D" w:rsidP="0010541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0.454</w:t>
            </w:r>
          </w:p>
        </w:tc>
        <w:tc>
          <w:tcPr>
            <w:tcW w:w="2032" w:type="dxa"/>
            <w:vAlign w:val="center"/>
          </w:tcPr>
          <w:p w14:paraId="12C392A7" w14:textId="47523707" w:rsidR="0010541D" w:rsidRPr="008211B8" w:rsidRDefault="0010541D" w:rsidP="0010541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10541D" w:rsidRPr="008211B8" w14:paraId="14E2B6A9" w14:textId="77777777" w:rsidTr="004B3AF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1EB4A5DD" w14:textId="69801638" w:rsidR="0010541D" w:rsidRPr="007C33FD" w:rsidRDefault="0010541D" w:rsidP="0010541D">
            <w:pPr>
              <w:spacing w:before="0" w:after="0" w:line="240" w:lineRule="auto"/>
              <w:rPr>
                <w:rFonts w:ascii="Gill Sans MT" w:hAnsi="Gill Sans MT"/>
                <w:b w:val="0"/>
                <w:bCs w:val="0"/>
                <w:sz w:val="18"/>
                <w:szCs w:val="18"/>
              </w:rPr>
            </w:pPr>
            <w:r>
              <w:rPr>
                <w:rFonts w:ascii="Gill Sans MT" w:hAnsi="Gill Sans MT"/>
                <w:b w:val="0"/>
                <w:bCs w:val="0"/>
                <w:sz w:val="18"/>
                <w:szCs w:val="18"/>
              </w:rPr>
              <w:t>15: My friends say I often think in unusual or creative ways to solve problems</w:t>
            </w:r>
          </w:p>
        </w:tc>
        <w:tc>
          <w:tcPr>
            <w:tcW w:w="2032" w:type="dxa"/>
            <w:vAlign w:val="center"/>
          </w:tcPr>
          <w:p w14:paraId="305BEEE6" w14:textId="7A3A4A35" w:rsidR="0010541D" w:rsidRPr="008211B8" w:rsidRDefault="00E75DCB" w:rsidP="0010541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75DCB">
              <w:rPr>
                <w:rFonts w:ascii="Gill Sans MT" w:hAnsi="Gill Sans MT"/>
                <w:color w:val="7F7F7F" w:themeColor="text1" w:themeTint="80"/>
                <w:sz w:val="18"/>
                <w:szCs w:val="18"/>
              </w:rPr>
              <w:t>(</w:t>
            </w:r>
            <w:r w:rsidR="0010541D" w:rsidRPr="00E75DCB">
              <w:rPr>
                <w:rFonts w:ascii="Gill Sans MT" w:hAnsi="Gill Sans MT"/>
                <w:color w:val="7F7F7F" w:themeColor="text1" w:themeTint="80"/>
                <w:sz w:val="18"/>
                <w:szCs w:val="18"/>
              </w:rPr>
              <w:t>0.337</w:t>
            </w:r>
            <w:r w:rsidRPr="00E75DCB">
              <w:rPr>
                <w:rFonts w:ascii="Gill Sans MT" w:hAnsi="Gill Sans MT"/>
                <w:color w:val="7F7F7F" w:themeColor="text1" w:themeTint="80"/>
                <w:sz w:val="18"/>
                <w:szCs w:val="18"/>
              </w:rPr>
              <w:t>)</w:t>
            </w:r>
          </w:p>
        </w:tc>
        <w:tc>
          <w:tcPr>
            <w:tcW w:w="2032" w:type="dxa"/>
            <w:vAlign w:val="center"/>
          </w:tcPr>
          <w:p w14:paraId="51E8C452" w14:textId="6BCEE579" w:rsidR="0010541D" w:rsidRPr="008211B8" w:rsidRDefault="0010541D" w:rsidP="0010541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0.319</w:t>
            </w:r>
          </w:p>
        </w:tc>
        <w:tc>
          <w:tcPr>
            <w:tcW w:w="2032" w:type="dxa"/>
            <w:vAlign w:val="center"/>
          </w:tcPr>
          <w:p w14:paraId="69C064AA" w14:textId="462A038C" w:rsidR="0010541D" w:rsidRPr="008211B8" w:rsidRDefault="0010541D" w:rsidP="0010541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10541D" w:rsidRPr="008211B8" w14:paraId="3F0EE980" w14:textId="77777777" w:rsidTr="004B3AF8">
        <w:trPr>
          <w:trHeight w:val="34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58863042" w14:textId="589AF8F9" w:rsidR="0010541D" w:rsidRPr="007C33FD" w:rsidRDefault="0010541D" w:rsidP="0010541D">
            <w:pPr>
              <w:spacing w:before="0" w:after="0" w:line="240" w:lineRule="auto"/>
              <w:rPr>
                <w:rFonts w:ascii="Gill Sans MT" w:hAnsi="Gill Sans MT"/>
                <w:b w:val="0"/>
                <w:bCs w:val="0"/>
                <w:sz w:val="18"/>
                <w:szCs w:val="18"/>
              </w:rPr>
            </w:pPr>
            <w:r>
              <w:rPr>
                <w:rFonts w:ascii="Gill Sans MT" w:hAnsi="Gill Sans MT"/>
                <w:b w:val="0"/>
                <w:bCs w:val="0"/>
                <w:sz w:val="18"/>
                <w:szCs w:val="18"/>
              </w:rPr>
              <w:t>03: I find it very challenging to manage my time efficiently</w:t>
            </w:r>
          </w:p>
        </w:tc>
        <w:tc>
          <w:tcPr>
            <w:tcW w:w="2032" w:type="dxa"/>
            <w:vAlign w:val="center"/>
          </w:tcPr>
          <w:p w14:paraId="2AB6CAC7" w14:textId="7B824AC5" w:rsidR="0010541D" w:rsidRPr="008211B8" w:rsidRDefault="0010541D" w:rsidP="0010541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2032" w:type="dxa"/>
            <w:vAlign w:val="center"/>
          </w:tcPr>
          <w:p w14:paraId="418E01D8" w14:textId="3953268E" w:rsidR="0010541D" w:rsidRPr="008211B8" w:rsidRDefault="0010541D" w:rsidP="0010541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2032" w:type="dxa"/>
            <w:vAlign w:val="center"/>
          </w:tcPr>
          <w:p w14:paraId="7FE9953B" w14:textId="62918186" w:rsidR="0010541D" w:rsidRPr="008211B8" w:rsidRDefault="0010541D" w:rsidP="0010541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0.790</w:t>
            </w:r>
          </w:p>
        </w:tc>
      </w:tr>
      <w:tr w:rsidR="0010541D" w:rsidRPr="008211B8" w14:paraId="0F86624C" w14:textId="77777777" w:rsidTr="004B3AF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77AC04B2" w14:textId="77777777" w:rsidR="0010541D" w:rsidRPr="007C33FD" w:rsidRDefault="0010541D" w:rsidP="0010541D">
            <w:pPr>
              <w:spacing w:before="0" w:after="0" w:line="240" w:lineRule="auto"/>
              <w:rPr>
                <w:rFonts w:ascii="Gill Sans MT" w:hAnsi="Gill Sans MT"/>
                <w:b w:val="0"/>
                <w:bCs w:val="0"/>
                <w:sz w:val="18"/>
                <w:szCs w:val="18"/>
              </w:rPr>
            </w:pPr>
            <w:r>
              <w:rPr>
                <w:rFonts w:ascii="Gill Sans MT" w:hAnsi="Gill Sans MT"/>
                <w:b w:val="0"/>
                <w:bCs w:val="0"/>
                <w:sz w:val="18"/>
                <w:szCs w:val="18"/>
              </w:rPr>
              <w:t>05: I think I'm a highly organized learner*</w:t>
            </w:r>
          </w:p>
        </w:tc>
        <w:tc>
          <w:tcPr>
            <w:tcW w:w="2032" w:type="dxa"/>
            <w:vAlign w:val="center"/>
          </w:tcPr>
          <w:p w14:paraId="7D463AB2" w14:textId="77777777" w:rsidR="0010541D" w:rsidRPr="008211B8" w:rsidRDefault="0010541D" w:rsidP="0010541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2032" w:type="dxa"/>
            <w:vAlign w:val="center"/>
          </w:tcPr>
          <w:p w14:paraId="0A46B1AF" w14:textId="6F1247B6" w:rsidR="0010541D" w:rsidRPr="008211B8" w:rsidRDefault="0010541D" w:rsidP="0010541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2032" w:type="dxa"/>
            <w:vAlign w:val="center"/>
          </w:tcPr>
          <w:p w14:paraId="551B3328" w14:textId="73198381" w:rsidR="0010541D" w:rsidRPr="008211B8" w:rsidRDefault="0010541D" w:rsidP="0010541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0.768</w:t>
            </w:r>
          </w:p>
        </w:tc>
      </w:tr>
      <w:tr w:rsidR="0010541D" w:rsidRPr="008211B8" w14:paraId="6D47A933" w14:textId="77777777" w:rsidTr="004B3AF8">
        <w:trPr>
          <w:trHeight w:val="34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3175AC24" w14:textId="77777777" w:rsidR="0010541D" w:rsidRPr="007C33FD" w:rsidRDefault="0010541D" w:rsidP="0010541D">
            <w:pPr>
              <w:spacing w:before="0" w:after="0" w:line="240" w:lineRule="auto"/>
              <w:rPr>
                <w:rFonts w:ascii="Gill Sans MT" w:hAnsi="Gill Sans MT"/>
                <w:b w:val="0"/>
                <w:bCs w:val="0"/>
                <w:sz w:val="18"/>
                <w:szCs w:val="18"/>
              </w:rPr>
            </w:pPr>
            <w:r>
              <w:rPr>
                <w:rFonts w:ascii="Gill Sans MT" w:hAnsi="Gill Sans MT"/>
                <w:b w:val="0"/>
                <w:bCs w:val="0"/>
                <w:sz w:val="18"/>
                <w:szCs w:val="18"/>
              </w:rPr>
              <w:t>07: I generally remember appointments and arrive on time*</w:t>
            </w:r>
          </w:p>
        </w:tc>
        <w:tc>
          <w:tcPr>
            <w:tcW w:w="2032" w:type="dxa"/>
            <w:vAlign w:val="center"/>
          </w:tcPr>
          <w:p w14:paraId="634833A5" w14:textId="77777777" w:rsidR="0010541D" w:rsidRPr="008211B8" w:rsidRDefault="0010541D" w:rsidP="0010541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2032" w:type="dxa"/>
            <w:vAlign w:val="center"/>
          </w:tcPr>
          <w:p w14:paraId="63F2354E" w14:textId="1618513A" w:rsidR="0010541D" w:rsidRPr="008211B8" w:rsidRDefault="0010541D" w:rsidP="0010541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75DCB">
              <w:rPr>
                <w:rFonts w:ascii="Gill Sans MT" w:hAnsi="Gill Sans MT"/>
                <w:color w:val="7F7F7F" w:themeColor="text1" w:themeTint="80"/>
                <w:sz w:val="18"/>
                <w:szCs w:val="18"/>
              </w:rPr>
              <w:t>(-0.405)</w:t>
            </w:r>
          </w:p>
        </w:tc>
        <w:tc>
          <w:tcPr>
            <w:tcW w:w="2032" w:type="dxa"/>
            <w:vAlign w:val="center"/>
          </w:tcPr>
          <w:p w14:paraId="5DF3CE8C" w14:textId="3B327551" w:rsidR="0010541D" w:rsidRPr="008211B8" w:rsidRDefault="0010541D" w:rsidP="0010541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0.633</w:t>
            </w:r>
          </w:p>
        </w:tc>
      </w:tr>
    </w:tbl>
    <w:p w14:paraId="143FF217" w14:textId="2329F774" w:rsidR="00E75DCB" w:rsidRDefault="00E75DCB" w:rsidP="00990233">
      <w:pPr>
        <w:pStyle w:val="Tables"/>
      </w:pPr>
      <w:bookmarkStart w:id="236" w:name="_Toc57033207"/>
      <w:r>
        <w:t>Table 2</w:t>
      </w:r>
      <w:r w:rsidR="00D65330">
        <w:t>8</w:t>
      </w:r>
      <w:r>
        <w:t>:</w:t>
      </w:r>
      <w:r w:rsidR="003214C8">
        <w:tab/>
      </w:r>
      <w:r>
        <w:t>Possible 3 factor sub-scale structure for the Dx20 Profiler (* dimension with reverse-coded data).</w:t>
      </w:r>
      <w:bookmarkEnd w:id="236"/>
    </w:p>
    <w:p w14:paraId="506E067B" w14:textId="77777777" w:rsidR="004B3AF8" w:rsidRDefault="004B3AF8" w:rsidP="004B3AF8">
      <w:pPr>
        <w:sectPr w:rsidR="004B3AF8" w:rsidSect="00A2665A">
          <w:type w:val="continuous"/>
          <w:pgSz w:w="16838" w:h="11906" w:orient="landscape"/>
          <w:pgMar w:top="964" w:right="720" w:bottom="2268" w:left="2421" w:header="708" w:footer="708" w:gutter="0"/>
          <w:cols w:space="708"/>
          <w:docGrid w:linePitch="360"/>
        </w:sectPr>
      </w:pPr>
    </w:p>
    <w:p w14:paraId="040D62CC" w14:textId="69521438" w:rsidR="00DD37E1" w:rsidRPr="00537A60" w:rsidRDefault="00DD37E1" w:rsidP="00DD37E1">
      <w:pPr>
        <w:pStyle w:val="Heading3"/>
      </w:pPr>
      <w:bookmarkStart w:id="237" w:name="_Toc57035934"/>
      <w:bookmarkEnd w:id="218"/>
      <w:r>
        <w:lastRenderedPageBreak/>
        <w:t>V</w:t>
      </w:r>
      <w:r w:rsidR="004D5123">
        <w:tab/>
      </w:r>
      <w:r>
        <w:t>Comparing ABC Factor Means</w:t>
      </w:r>
      <w:bookmarkEnd w:id="237"/>
      <w:r>
        <w:t xml:space="preserve"> </w:t>
      </w:r>
    </w:p>
    <w:p w14:paraId="25DDB5BD" w14:textId="5A2053E6" w:rsidR="00DD37E1" w:rsidRPr="00DD37E1" w:rsidRDefault="00DD37E1" w:rsidP="00382C5B">
      <w:pPr>
        <w:rPr>
          <w:rFonts w:eastAsia="Times New Roman"/>
          <w:lang w:eastAsia="en-GB"/>
        </w:rPr>
      </w:pPr>
      <w:r w:rsidRPr="00DD37E1">
        <w:rPr>
          <w:rFonts w:eastAsia="Times New Roman"/>
          <w:lang w:eastAsia="en-GB"/>
        </w:rPr>
        <w:t>The determination of a possible 3-factor sub-scale structure for the ABC Scales through dimension reduction enabled mean ABC levels to be calculated for each of the three factors.</w:t>
      </w:r>
      <w:r w:rsidR="00382C5B">
        <w:rPr>
          <w:rFonts w:eastAsia="Times New Roman"/>
          <w:lang w:eastAsia="en-GB"/>
        </w:rPr>
        <w:t xml:space="preserve"> </w:t>
      </w:r>
      <w:r w:rsidRPr="00DD37E1">
        <w:rPr>
          <w:rFonts w:eastAsia="Times New Roman"/>
          <w:lang w:eastAsia="en-GB"/>
        </w:rPr>
        <w:t xml:space="preserve">Comparisons </w:t>
      </w:r>
      <w:r w:rsidR="001C0658">
        <w:rPr>
          <w:rFonts w:eastAsia="Times New Roman"/>
          <w:lang w:eastAsia="en-GB"/>
        </w:rPr>
        <w:t>were</w:t>
      </w:r>
      <w:r w:rsidRPr="00DD37E1">
        <w:rPr>
          <w:rFonts w:eastAsia="Times New Roman"/>
          <w:lang w:eastAsia="en-GB"/>
        </w:rPr>
        <w:t xml:space="preserve"> then made between the non-dyslexic and dyslexic</w:t>
      </w:r>
      <w:r w:rsidR="00382C5B">
        <w:rPr>
          <w:rFonts w:eastAsia="Times New Roman"/>
          <w:lang w:eastAsia="en-GB"/>
        </w:rPr>
        <w:t xml:space="preserve"> </w:t>
      </w:r>
      <w:r w:rsidRPr="00DD37E1">
        <w:rPr>
          <w:rFonts w:eastAsia="Times New Roman"/>
          <w:lang w:eastAsia="en-GB"/>
        </w:rPr>
        <w:t>groups,</w:t>
      </w:r>
      <w:r w:rsidR="00382C5B">
        <w:rPr>
          <w:rFonts w:eastAsia="Times New Roman"/>
          <w:lang w:eastAsia="en-GB"/>
        </w:rPr>
        <w:t xml:space="preserve"> </w:t>
      </w:r>
      <w:r w:rsidRPr="00DD37E1">
        <w:rPr>
          <w:rFonts w:eastAsia="Times New Roman"/>
          <w:lang w:eastAsia="en-GB"/>
        </w:rPr>
        <w:t>between the Test</w:t>
      </w:r>
      <w:r w:rsidR="00382C5B">
        <w:rPr>
          <w:rFonts w:eastAsia="Times New Roman"/>
          <w:lang w:eastAsia="en-GB"/>
        </w:rPr>
        <w:t xml:space="preserve"> </w:t>
      </w:r>
      <w:r w:rsidRPr="00DD37E1">
        <w:rPr>
          <w:rFonts w:eastAsia="Times New Roman"/>
          <w:lang w:eastAsia="en-GB"/>
        </w:rPr>
        <w:t>and Base, and between the Test</w:t>
      </w:r>
      <w:r w:rsidR="00382C5B">
        <w:rPr>
          <w:rFonts w:eastAsia="Times New Roman"/>
          <w:lang w:eastAsia="en-GB"/>
        </w:rPr>
        <w:t xml:space="preserve"> </w:t>
      </w:r>
      <w:r w:rsidRPr="00DD37E1">
        <w:rPr>
          <w:rFonts w:eastAsia="Times New Roman"/>
          <w:lang w:eastAsia="en-GB"/>
        </w:rPr>
        <w:t>and Control subgroups. The dataset composition of the sub-groups varied according to whether the Dx20 or Dx16 Profiler Scales were used to determine participants' levels of dyslexia-ness, reflected in variances in raw score differences and effect sizes (below). Outcomes derived from the four versions of the ABC Scales that were used, according to</w:t>
      </w:r>
      <w:r w:rsidR="00382C5B">
        <w:rPr>
          <w:rFonts w:eastAsia="Times New Roman"/>
          <w:lang w:eastAsia="en-GB"/>
        </w:rPr>
        <w:t xml:space="preserve"> </w:t>
      </w:r>
      <w:r w:rsidRPr="00DD37E1">
        <w:rPr>
          <w:rFonts w:eastAsia="Times New Roman"/>
          <w:lang w:eastAsia="en-GB"/>
        </w:rPr>
        <w:t xml:space="preserve">each of the Dx Profilers, revealed </w:t>
      </w:r>
      <w:r w:rsidR="00304DFF">
        <w:rPr>
          <w:rFonts w:eastAsia="Times New Roman"/>
          <w:lang w:eastAsia="en-GB"/>
        </w:rPr>
        <w:t>notable</w:t>
      </w:r>
      <w:r w:rsidRPr="00DD37E1">
        <w:rPr>
          <w:rFonts w:eastAsia="Times New Roman"/>
          <w:lang w:eastAsia="en-GB"/>
        </w:rPr>
        <w:t xml:space="preserve"> differences between within-factor means (Table</w:t>
      </w:r>
      <w:r w:rsidR="00AB6DFA">
        <w:rPr>
          <w:rFonts w:eastAsia="Times New Roman"/>
          <w:lang w:eastAsia="en-GB"/>
        </w:rPr>
        <w:t xml:space="preserve"> </w:t>
      </w:r>
      <w:r w:rsidR="00997D83">
        <w:rPr>
          <w:rFonts w:eastAsia="Times New Roman"/>
          <w:lang w:eastAsia="en-GB"/>
        </w:rPr>
        <w:t>29</w:t>
      </w:r>
      <w:r w:rsidRPr="00DD37E1">
        <w:rPr>
          <w:rFonts w:eastAsia="Times New Roman"/>
          <w:lang w:eastAsia="en-GB"/>
        </w:rPr>
        <w:t>).</w:t>
      </w:r>
    </w:p>
    <w:p w14:paraId="19AB071D" w14:textId="3D47F71F" w:rsidR="00304DFF" w:rsidRPr="00AB6DFA" w:rsidRDefault="00304DFF" w:rsidP="00304DFF">
      <w:r>
        <w:rPr>
          <w:rFonts w:eastAsia="Times New Roman"/>
          <w:lang w:eastAsia="en-GB"/>
        </w:rPr>
        <w:t xml:space="preserve">The results </w:t>
      </w:r>
      <w:r>
        <w:t xml:space="preserve">of interest are the difference in factor mean ABC values between the Base and Control subgroups, and between the Test and Control subgroups (Table </w:t>
      </w:r>
      <w:r w:rsidR="00997D83">
        <w:t>29</w:t>
      </w:r>
      <w:r>
        <w:t xml:space="preserve"> and Figure 2</w:t>
      </w:r>
      <w:r w:rsidR="009F5F43">
        <w:t>1</w:t>
      </w:r>
      <w:r>
        <w:t xml:space="preserve">). With participants' levels of dyslexia-ness gauged by the Dx20 Profiler, and for all ABC Scales' Factor 1: Study Efficacy, and Factor 2: Engagement, differences were substantial between the Base subgroup with low levels of dyslexia-ness (Dx &lt; 400) and the Control subgroup of dyslexic students defined by levels of dyslexia-ness greater than the Dx=614 critical value for the Dx20 Scale. </w:t>
      </w:r>
      <w:r w:rsidRPr="00AB6DFA">
        <w:rPr>
          <w:rFonts w:eastAsia="Times New Roman"/>
          <w:lang w:eastAsia="en-GB"/>
        </w:rPr>
        <w:t>Only for Factor 3: Organization and Planning, were differences less pronounced with outcomes from the ABC17 Scale and the local ABC17-L Scale almost</w:t>
      </w:r>
      <w:r>
        <w:rPr>
          <w:rFonts w:eastAsia="Times New Roman"/>
          <w:lang w:eastAsia="en-GB"/>
        </w:rPr>
        <w:t xml:space="preserve"> </w:t>
      </w:r>
      <w:r w:rsidRPr="00AB6DFA">
        <w:rPr>
          <w:rFonts w:eastAsia="Times New Roman"/>
          <w:lang w:eastAsia="en-GB"/>
        </w:rPr>
        <w:t>negli</w:t>
      </w:r>
      <w:r>
        <w:rPr>
          <w:rFonts w:eastAsia="Times New Roman"/>
          <w:lang w:eastAsia="en-GB"/>
        </w:rPr>
        <w:t>gi</w:t>
      </w:r>
      <w:r w:rsidRPr="00AB6DFA">
        <w:rPr>
          <w:rFonts w:eastAsia="Times New Roman"/>
          <w:lang w:eastAsia="en-GB"/>
        </w:rPr>
        <w:t>ble. This pattern was repeated for mean ABC differences in Factors 1 and 2 between the quasi-dyslexic, Test, subgroup and the Control subgroup, with Factor 3 outcomes returning negative differences - that is, mean ABC values were stronger for the Control subgroup than for the Test subgroup.</w:t>
      </w:r>
      <w:r>
        <w:rPr>
          <w:rFonts w:eastAsia="Times New Roman"/>
          <w:lang w:eastAsia="en-GB"/>
        </w:rPr>
        <w:t xml:space="preserve"> </w:t>
      </w:r>
      <w:r w:rsidRPr="00AB6DFA">
        <w:rPr>
          <w:rFonts w:eastAsia="Times New Roman"/>
          <w:lang w:eastAsia="en-GB"/>
        </w:rPr>
        <w:t>When the sub-groups were defined by outputs from the Dx16 Profiler, a similar pattern emerged (Fig</w:t>
      </w:r>
      <w:r w:rsidR="003214C8">
        <w:rPr>
          <w:rFonts w:eastAsia="Times New Roman"/>
          <w:lang w:eastAsia="en-GB"/>
        </w:rPr>
        <w:t>ure</w:t>
      </w:r>
      <w:r>
        <w:rPr>
          <w:rFonts w:eastAsia="Times New Roman"/>
          <w:lang w:eastAsia="en-GB"/>
        </w:rPr>
        <w:t xml:space="preserve"> </w:t>
      </w:r>
      <w:r w:rsidRPr="00AB6DFA">
        <w:rPr>
          <w:rFonts w:eastAsia="Times New Roman"/>
          <w:lang w:eastAsia="en-GB"/>
        </w:rPr>
        <w:t>2</w:t>
      </w:r>
      <w:r w:rsidR="009F5F43">
        <w:rPr>
          <w:rFonts w:eastAsia="Times New Roman"/>
          <w:lang w:eastAsia="en-GB"/>
        </w:rPr>
        <w:t>2</w:t>
      </w:r>
      <w:r w:rsidRPr="00AB6DFA">
        <w:rPr>
          <w:rFonts w:eastAsia="Times New Roman"/>
          <w:lang w:eastAsia="en-GB"/>
        </w:rPr>
        <w:t>)</w:t>
      </w:r>
      <w:r>
        <w:rPr>
          <w:rFonts w:eastAsia="Times New Roman"/>
          <w:lang w:eastAsia="en-GB"/>
        </w:rPr>
        <w:t>.</w:t>
      </w:r>
    </w:p>
    <w:p w14:paraId="45A4710F" w14:textId="513C99EF" w:rsidR="00697BFF" w:rsidRPr="00304DFF" w:rsidRDefault="00697BFF" w:rsidP="00DD37E1">
      <w:pPr>
        <w:rPr>
          <w:rFonts w:eastAsia="Times New Roman"/>
          <w:lang w:eastAsia="en-GB"/>
        </w:rPr>
        <w:sectPr w:rsidR="00697BFF" w:rsidRPr="00304DFF" w:rsidSect="00A2665A">
          <w:headerReference w:type="default" r:id="rId53"/>
          <w:type w:val="continuous"/>
          <w:pgSz w:w="11906" w:h="16838"/>
          <w:pgMar w:top="720" w:right="964" w:bottom="720" w:left="2268" w:header="708" w:footer="708" w:gutter="0"/>
          <w:cols w:space="708"/>
          <w:docGrid w:linePitch="360"/>
        </w:sectPr>
      </w:pPr>
    </w:p>
    <w:p w14:paraId="5597CECD" w14:textId="77777777" w:rsidR="00697BFF" w:rsidRDefault="00697BFF" w:rsidP="00DD37E1"/>
    <w:tbl>
      <w:tblPr>
        <w:tblStyle w:val="GridTable5Dark-Accent1"/>
        <w:tblW w:w="0" w:type="auto"/>
        <w:tblLayout w:type="fixed"/>
        <w:tblLook w:val="04A0" w:firstRow="1" w:lastRow="0" w:firstColumn="1" w:lastColumn="0" w:noHBand="0" w:noVBand="1"/>
      </w:tblPr>
      <w:tblGrid>
        <w:gridCol w:w="1555"/>
        <w:gridCol w:w="1011"/>
        <w:gridCol w:w="1011"/>
        <w:gridCol w:w="1011"/>
        <w:gridCol w:w="1011"/>
        <w:gridCol w:w="1011"/>
        <w:gridCol w:w="1011"/>
        <w:gridCol w:w="1011"/>
        <w:gridCol w:w="1011"/>
        <w:gridCol w:w="1011"/>
        <w:gridCol w:w="1011"/>
        <w:gridCol w:w="1011"/>
        <w:gridCol w:w="1011"/>
      </w:tblGrid>
      <w:tr w:rsidR="00697BFF" w:rsidRPr="008211B8" w14:paraId="1733C8B0" w14:textId="77777777" w:rsidTr="003E007D">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C6F8B83" w14:textId="2FA08705" w:rsidR="00697BFF" w:rsidRPr="00AB6DFA" w:rsidRDefault="00AB6DFA" w:rsidP="00AB6DFA">
            <w:pPr>
              <w:spacing w:before="0" w:after="0" w:line="240" w:lineRule="auto"/>
              <w:jc w:val="center"/>
              <w:rPr>
                <w:rFonts w:ascii="Gill Sans MT" w:hAnsi="Gill Sans MT"/>
                <w:b w:val="0"/>
                <w:bCs w:val="0"/>
                <w:color w:val="767171" w:themeColor="background2" w:themeShade="80"/>
                <w:sz w:val="24"/>
                <w:szCs w:val="24"/>
              </w:rPr>
            </w:pPr>
            <w:r w:rsidRPr="00AB6DFA">
              <w:rPr>
                <w:rFonts w:ascii="Gill Sans MT" w:hAnsi="Gill Sans MT"/>
                <w:b w:val="0"/>
                <w:bCs w:val="0"/>
                <w:color w:val="D5DCE4" w:themeColor="text2" w:themeTint="33"/>
                <w:sz w:val="24"/>
                <w:szCs w:val="24"/>
              </w:rPr>
              <w:t>Dx20</w:t>
            </w:r>
          </w:p>
        </w:tc>
        <w:tc>
          <w:tcPr>
            <w:tcW w:w="12132" w:type="dxa"/>
            <w:gridSpan w:val="12"/>
            <w:vAlign w:val="center"/>
          </w:tcPr>
          <w:p w14:paraId="4C0C8414" w14:textId="1D128F4A" w:rsidR="00697BFF" w:rsidRPr="008211B8" w:rsidRDefault="00697BFF" w:rsidP="00697BF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ABC factor means according to ABC Scale - Dx20 Profiler Outcomes</w:t>
            </w:r>
          </w:p>
        </w:tc>
      </w:tr>
      <w:tr w:rsidR="00697BFF" w:rsidRPr="008211B8" w14:paraId="374B4B93" w14:textId="77777777" w:rsidTr="003E007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8A6BE1D" w14:textId="19ACB339" w:rsidR="00697BFF" w:rsidRPr="008211B8" w:rsidRDefault="003E007D" w:rsidP="003E007D">
            <w:pPr>
              <w:spacing w:before="0" w:after="0" w:line="240" w:lineRule="auto"/>
              <w:jc w:val="center"/>
              <w:rPr>
                <w:rFonts w:ascii="Gill Sans MT" w:hAnsi="Gill Sans MT"/>
                <w:b w:val="0"/>
                <w:bCs w:val="0"/>
              </w:rPr>
            </w:pPr>
            <w:r>
              <w:rPr>
                <w:rFonts w:ascii="Gill Sans MT" w:hAnsi="Gill Sans MT"/>
                <w:b w:val="0"/>
                <w:bCs w:val="0"/>
              </w:rPr>
              <w:t>group /subgroup</w:t>
            </w:r>
          </w:p>
        </w:tc>
        <w:tc>
          <w:tcPr>
            <w:tcW w:w="4044" w:type="dxa"/>
            <w:gridSpan w:val="4"/>
            <w:shd w:val="clear" w:color="auto" w:fill="E2EFD9" w:themeFill="accent6" w:themeFillTint="33"/>
            <w:vAlign w:val="center"/>
          </w:tcPr>
          <w:p w14:paraId="46DAEF69" w14:textId="26686C3A" w:rsidR="00697BFF" w:rsidRPr="008211B8" w:rsidRDefault="00697BFF" w:rsidP="00697BF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 Factor 1: Study Efficacy</w:t>
            </w:r>
          </w:p>
        </w:tc>
        <w:tc>
          <w:tcPr>
            <w:tcW w:w="4044" w:type="dxa"/>
            <w:gridSpan w:val="4"/>
            <w:shd w:val="clear" w:color="auto" w:fill="FFF2CC" w:themeFill="accent4" w:themeFillTint="33"/>
            <w:vAlign w:val="center"/>
          </w:tcPr>
          <w:p w14:paraId="5117D92A" w14:textId="0E17E87B" w:rsidR="00697BFF" w:rsidRPr="008211B8" w:rsidRDefault="00697BFF" w:rsidP="00697BF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 Factor 2: Engagement</w:t>
            </w:r>
          </w:p>
        </w:tc>
        <w:tc>
          <w:tcPr>
            <w:tcW w:w="4044" w:type="dxa"/>
            <w:gridSpan w:val="4"/>
            <w:shd w:val="clear" w:color="auto" w:fill="FBE4D5" w:themeFill="accent2" w:themeFillTint="33"/>
            <w:vAlign w:val="center"/>
          </w:tcPr>
          <w:p w14:paraId="54AACB6F" w14:textId="5CC73501" w:rsidR="00697BFF" w:rsidRPr="008211B8" w:rsidRDefault="00697BFF" w:rsidP="00697BF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 Factor 3: Organization &amp; Planning</w:t>
            </w:r>
          </w:p>
        </w:tc>
      </w:tr>
      <w:tr w:rsidR="003E007D" w:rsidRPr="008211B8" w14:paraId="2D58FF90" w14:textId="77777777" w:rsidTr="003E007D">
        <w:trPr>
          <w:trHeight w:val="34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E9F0F9B" w14:textId="1504B926" w:rsidR="003E007D" w:rsidRPr="003E007D" w:rsidRDefault="003E007D" w:rsidP="003E007D">
            <w:pPr>
              <w:spacing w:before="0" w:after="0" w:line="240" w:lineRule="auto"/>
              <w:jc w:val="right"/>
              <w:rPr>
                <w:rFonts w:ascii="Gill Sans MT" w:hAnsi="Gill Sans MT"/>
                <w:b w:val="0"/>
                <w:bCs w:val="0"/>
                <w:sz w:val="18"/>
                <w:szCs w:val="18"/>
              </w:rPr>
            </w:pPr>
            <w:r w:rsidRPr="003E007D">
              <w:rPr>
                <w:rFonts w:ascii="Gill Sans MT" w:hAnsi="Gill Sans MT"/>
                <w:b w:val="0"/>
                <w:bCs w:val="0"/>
                <w:color w:val="FFE599" w:themeColor="accent4" w:themeTint="66"/>
                <w:sz w:val="18"/>
                <w:szCs w:val="18"/>
              </w:rPr>
              <w:t>ABC Scale-&gt;</w:t>
            </w:r>
          </w:p>
        </w:tc>
        <w:tc>
          <w:tcPr>
            <w:tcW w:w="1011" w:type="dxa"/>
            <w:shd w:val="clear" w:color="auto" w:fill="E2EFD9" w:themeFill="accent6" w:themeFillTint="33"/>
            <w:vAlign w:val="center"/>
          </w:tcPr>
          <w:p w14:paraId="71015D2F" w14:textId="749C7C87"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ABC24</w:t>
            </w:r>
          </w:p>
        </w:tc>
        <w:tc>
          <w:tcPr>
            <w:tcW w:w="1011" w:type="dxa"/>
            <w:shd w:val="clear" w:color="auto" w:fill="E2EFD9" w:themeFill="accent6" w:themeFillTint="33"/>
            <w:vAlign w:val="center"/>
          </w:tcPr>
          <w:p w14:paraId="0078ACF7" w14:textId="3725F0BA"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ABC17</w:t>
            </w:r>
          </w:p>
        </w:tc>
        <w:tc>
          <w:tcPr>
            <w:tcW w:w="1011" w:type="dxa"/>
            <w:shd w:val="clear" w:color="auto" w:fill="E2EFD9" w:themeFill="accent6" w:themeFillTint="33"/>
            <w:vAlign w:val="center"/>
          </w:tcPr>
          <w:p w14:paraId="3DEC273F" w14:textId="5EE09599"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ABC21-L</w:t>
            </w:r>
          </w:p>
        </w:tc>
        <w:tc>
          <w:tcPr>
            <w:tcW w:w="1011" w:type="dxa"/>
            <w:shd w:val="clear" w:color="auto" w:fill="E2EFD9" w:themeFill="accent6" w:themeFillTint="33"/>
            <w:vAlign w:val="center"/>
          </w:tcPr>
          <w:p w14:paraId="47D79F8C" w14:textId="79E9C83A"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ABC17-L</w:t>
            </w:r>
          </w:p>
        </w:tc>
        <w:tc>
          <w:tcPr>
            <w:tcW w:w="1011" w:type="dxa"/>
            <w:shd w:val="clear" w:color="auto" w:fill="FFF2CC" w:themeFill="accent4" w:themeFillTint="33"/>
            <w:vAlign w:val="center"/>
          </w:tcPr>
          <w:p w14:paraId="3E39F280" w14:textId="49421804"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ABC24</w:t>
            </w:r>
          </w:p>
        </w:tc>
        <w:tc>
          <w:tcPr>
            <w:tcW w:w="1011" w:type="dxa"/>
            <w:shd w:val="clear" w:color="auto" w:fill="FFF2CC" w:themeFill="accent4" w:themeFillTint="33"/>
            <w:vAlign w:val="center"/>
          </w:tcPr>
          <w:p w14:paraId="46AADDCF" w14:textId="07A02095"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ABC17</w:t>
            </w:r>
          </w:p>
        </w:tc>
        <w:tc>
          <w:tcPr>
            <w:tcW w:w="1011" w:type="dxa"/>
            <w:shd w:val="clear" w:color="auto" w:fill="FFF2CC" w:themeFill="accent4" w:themeFillTint="33"/>
            <w:vAlign w:val="center"/>
          </w:tcPr>
          <w:p w14:paraId="172698E9" w14:textId="250EA06A"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ABC21-L</w:t>
            </w:r>
          </w:p>
        </w:tc>
        <w:tc>
          <w:tcPr>
            <w:tcW w:w="1011" w:type="dxa"/>
            <w:shd w:val="clear" w:color="auto" w:fill="FFF2CC" w:themeFill="accent4" w:themeFillTint="33"/>
            <w:vAlign w:val="center"/>
          </w:tcPr>
          <w:p w14:paraId="3EC4CFD4" w14:textId="3D2CC365"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ABC17-L</w:t>
            </w:r>
          </w:p>
        </w:tc>
        <w:tc>
          <w:tcPr>
            <w:tcW w:w="1011" w:type="dxa"/>
            <w:shd w:val="clear" w:color="auto" w:fill="FBE4D5" w:themeFill="accent2" w:themeFillTint="33"/>
            <w:vAlign w:val="center"/>
          </w:tcPr>
          <w:p w14:paraId="1F65BFCD" w14:textId="647BE980"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ABC24</w:t>
            </w:r>
          </w:p>
        </w:tc>
        <w:tc>
          <w:tcPr>
            <w:tcW w:w="1011" w:type="dxa"/>
            <w:shd w:val="clear" w:color="auto" w:fill="FBE4D5" w:themeFill="accent2" w:themeFillTint="33"/>
            <w:vAlign w:val="center"/>
          </w:tcPr>
          <w:p w14:paraId="1D7BCF67" w14:textId="00B9C851"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ABC17</w:t>
            </w:r>
          </w:p>
        </w:tc>
        <w:tc>
          <w:tcPr>
            <w:tcW w:w="1011" w:type="dxa"/>
            <w:shd w:val="clear" w:color="auto" w:fill="FBE4D5" w:themeFill="accent2" w:themeFillTint="33"/>
            <w:vAlign w:val="center"/>
          </w:tcPr>
          <w:p w14:paraId="31D0512D" w14:textId="724685B8"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ABC21-L</w:t>
            </w:r>
          </w:p>
        </w:tc>
        <w:tc>
          <w:tcPr>
            <w:tcW w:w="1011" w:type="dxa"/>
            <w:shd w:val="clear" w:color="auto" w:fill="FBE4D5" w:themeFill="accent2" w:themeFillTint="33"/>
            <w:vAlign w:val="center"/>
          </w:tcPr>
          <w:p w14:paraId="1FC6EC03" w14:textId="1684C9D3"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ABC17-L</w:t>
            </w:r>
          </w:p>
        </w:tc>
      </w:tr>
      <w:tr w:rsidR="003E007D" w:rsidRPr="008211B8" w14:paraId="19F3FD61" w14:textId="77777777" w:rsidTr="003E007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A51144C" w14:textId="1FCE04E5" w:rsidR="003E007D" w:rsidRPr="008211B8" w:rsidRDefault="003E007D" w:rsidP="003E007D">
            <w:pPr>
              <w:spacing w:before="0" w:after="0" w:line="240" w:lineRule="auto"/>
              <w:rPr>
                <w:rFonts w:ascii="Gill Sans MT" w:hAnsi="Gill Sans MT"/>
                <w:b w:val="0"/>
                <w:bCs w:val="0"/>
              </w:rPr>
            </w:pPr>
            <w:r>
              <w:rPr>
                <w:rFonts w:ascii="Gill Sans MT" w:hAnsi="Gill Sans MT"/>
                <w:b w:val="0"/>
                <w:bCs w:val="0"/>
              </w:rPr>
              <w:t>ND</w:t>
            </w:r>
          </w:p>
        </w:tc>
        <w:tc>
          <w:tcPr>
            <w:tcW w:w="1011" w:type="dxa"/>
            <w:shd w:val="clear" w:color="auto" w:fill="C5E0B3" w:themeFill="accent6" w:themeFillTint="66"/>
            <w:vAlign w:val="center"/>
          </w:tcPr>
          <w:p w14:paraId="09355F8C" w14:textId="09010F25" w:rsidR="003E007D" w:rsidRPr="003E007D" w:rsidRDefault="003E007D" w:rsidP="003E007D">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color w:val="767171" w:themeColor="background2" w:themeShade="80"/>
                <w:sz w:val="18"/>
                <w:szCs w:val="18"/>
              </w:rPr>
            </w:pPr>
            <w:r w:rsidRPr="003E007D">
              <w:rPr>
                <w:rFonts w:ascii="Gill Sans MT" w:hAnsi="Gill Sans MT"/>
                <w:color w:val="767171" w:themeColor="background2" w:themeShade="80"/>
                <w:sz w:val="18"/>
                <w:szCs w:val="18"/>
              </w:rPr>
              <w:t>70.28</w:t>
            </w:r>
          </w:p>
        </w:tc>
        <w:tc>
          <w:tcPr>
            <w:tcW w:w="1011" w:type="dxa"/>
            <w:shd w:val="clear" w:color="auto" w:fill="C5E0B3" w:themeFill="accent6" w:themeFillTint="66"/>
            <w:vAlign w:val="center"/>
          </w:tcPr>
          <w:p w14:paraId="23DBCE87" w14:textId="1A44E7B6" w:rsidR="003E007D" w:rsidRPr="003E007D" w:rsidRDefault="003E007D" w:rsidP="003E007D">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68.98</w:t>
            </w:r>
          </w:p>
        </w:tc>
        <w:tc>
          <w:tcPr>
            <w:tcW w:w="1011" w:type="dxa"/>
            <w:shd w:val="clear" w:color="auto" w:fill="C5E0B3" w:themeFill="accent6" w:themeFillTint="66"/>
            <w:vAlign w:val="center"/>
          </w:tcPr>
          <w:p w14:paraId="4F8D6819" w14:textId="0CF7B046" w:rsidR="003E007D" w:rsidRPr="003E007D" w:rsidRDefault="003E007D" w:rsidP="003E007D">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69.87</w:t>
            </w:r>
          </w:p>
        </w:tc>
        <w:tc>
          <w:tcPr>
            <w:tcW w:w="1011" w:type="dxa"/>
            <w:shd w:val="clear" w:color="auto" w:fill="C5E0B3" w:themeFill="accent6" w:themeFillTint="66"/>
            <w:vAlign w:val="center"/>
          </w:tcPr>
          <w:p w14:paraId="352584E0" w14:textId="535D8CD2" w:rsidR="003E007D" w:rsidRPr="003E007D" w:rsidRDefault="003E007D" w:rsidP="003E007D">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65.48</w:t>
            </w:r>
          </w:p>
        </w:tc>
        <w:tc>
          <w:tcPr>
            <w:tcW w:w="1011" w:type="dxa"/>
            <w:shd w:val="clear" w:color="auto" w:fill="FFE599" w:themeFill="accent4" w:themeFillTint="66"/>
            <w:vAlign w:val="center"/>
          </w:tcPr>
          <w:p w14:paraId="664F99B5" w14:textId="31BFC1E5" w:rsidR="003E007D" w:rsidRPr="003E007D" w:rsidRDefault="003E007D" w:rsidP="003E007D">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62.61</w:t>
            </w:r>
          </w:p>
        </w:tc>
        <w:tc>
          <w:tcPr>
            <w:tcW w:w="1011" w:type="dxa"/>
            <w:shd w:val="clear" w:color="auto" w:fill="FFE599" w:themeFill="accent4" w:themeFillTint="66"/>
            <w:vAlign w:val="center"/>
          </w:tcPr>
          <w:p w14:paraId="02B64A4F" w14:textId="52A1AA3C" w:rsidR="003E007D" w:rsidRPr="003E007D" w:rsidRDefault="003E007D" w:rsidP="003E007D">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56.88</w:t>
            </w:r>
          </w:p>
        </w:tc>
        <w:tc>
          <w:tcPr>
            <w:tcW w:w="1011" w:type="dxa"/>
            <w:shd w:val="clear" w:color="auto" w:fill="FFE599" w:themeFill="accent4" w:themeFillTint="66"/>
            <w:vAlign w:val="center"/>
          </w:tcPr>
          <w:p w14:paraId="23849169" w14:textId="1CC528BA" w:rsidR="003E007D" w:rsidRPr="003E007D" w:rsidRDefault="003E007D" w:rsidP="003E007D">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63.98</w:t>
            </w:r>
          </w:p>
        </w:tc>
        <w:tc>
          <w:tcPr>
            <w:tcW w:w="1011" w:type="dxa"/>
            <w:shd w:val="clear" w:color="auto" w:fill="FFE599" w:themeFill="accent4" w:themeFillTint="66"/>
            <w:vAlign w:val="center"/>
          </w:tcPr>
          <w:p w14:paraId="2FCB2EE7" w14:textId="3E7643FD" w:rsidR="003E007D" w:rsidRPr="003E007D" w:rsidRDefault="003E007D" w:rsidP="003E007D">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66.21</w:t>
            </w:r>
          </w:p>
        </w:tc>
        <w:tc>
          <w:tcPr>
            <w:tcW w:w="1011" w:type="dxa"/>
            <w:shd w:val="clear" w:color="auto" w:fill="F7CAAC" w:themeFill="accent2" w:themeFillTint="66"/>
            <w:vAlign w:val="center"/>
          </w:tcPr>
          <w:p w14:paraId="20D331E1" w14:textId="24A027B7" w:rsidR="003E007D" w:rsidRPr="003E007D" w:rsidRDefault="003E007D" w:rsidP="003E007D">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69.62</w:t>
            </w:r>
          </w:p>
        </w:tc>
        <w:tc>
          <w:tcPr>
            <w:tcW w:w="1011" w:type="dxa"/>
            <w:shd w:val="clear" w:color="auto" w:fill="F7CAAC" w:themeFill="accent2" w:themeFillTint="66"/>
            <w:vAlign w:val="center"/>
          </w:tcPr>
          <w:p w14:paraId="612D5609" w14:textId="5D7B92BC" w:rsidR="003E007D" w:rsidRPr="003E007D" w:rsidRDefault="003E007D" w:rsidP="003E007D">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80.85</w:t>
            </w:r>
          </w:p>
        </w:tc>
        <w:tc>
          <w:tcPr>
            <w:tcW w:w="1011" w:type="dxa"/>
            <w:shd w:val="clear" w:color="auto" w:fill="F7CAAC" w:themeFill="accent2" w:themeFillTint="66"/>
            <w:vAlign w:val="center"/>
          </w:tcPr>
          <w:p w14:paraId="234A742F" w14:textId="22F1A177" w:rsidR="003E007D" w:rsidRPr="003E007D" w:rsidRDefault="003E007D" w:rsidP="003E007D">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71.46</w:t>
            </w:r>
          </w:p>
        </w:tc>
        <w:tc>
          <w:tcPr>
            <w:tcW w:w="1011" w:type="dxa"/>
            <w:shd w:val="clear" w:color="auto" w:fill="F7CAAC" w:themeFill="accent2" w:themeFillTint="66"/>
            <w:vAlign w:val="center"/>
          </w:tcPr>
          <w:p w14:paraId="7A57EB8A" w14:textId="504971FF" w:rsidR="003E007D" w:rsidRPr="003E007D" w:rsidRDefault="003E007D" w:rsidP="003E007D">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80.85</w:t>
            </w:r>
          </w:p>
        </w:tc>
      </w:tr>
      <w:tr w:rsidR="003E007D" w:rsidRPr="008211B8" w14:paraId="0981DE6C" w14:textId="77777777" w:rsidTr="003E007D">
        <w:trPr>
          <w:trHeight w:val="34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04C299C" w14:textId="3AA8E9D2" w:rsidR="003E007D" w:rsidRPr="008211B8" w:rsidRDefault="003E007D" w:rsidP="003E007D">
            <w:pPr>
              <w:spacing w:before="0" w:after="0" w:line="240" w:lineRule="auto"/>
              <w:jc w:val="center"/>
              <w:rPr>
                <w:rFonts w:ascii="Gill Sans MT" w:hAnsi="Gill Sans MT"/>
                <w:b w:val="0"/>
                <w:bCs w:val="0"/>
              </w:rPr>
            </w:pPr>
            <w:r>
              <w:rPr>
                <w:rFonts w:ascii="Gill Sans MT" w:hAnsi="Gill Sans MT"/>
                <w:b w:val="0"/>
                <w:bCs w:val="0"/>
              </w:rPr>
              <w:t>BASE</w:t>
            </w:r>
          </w:p>
        </w:tc>
        <w:tc>
          <w:tcPr>
            <w:tcW w:w="1011" w:type="dxa"/>
            <w:shd w:val="clear" w:color="auto" w:fill="A8D08D" w:themeFill="accent6" w:themeFillTint="99"/>
            <w:vAlign w:val="center"/>
          </w:tcPr>
          <w:p w14:paraId="796B1F74" w14:textId="25781277" w:rsidR="003E007D" w:rsidRPr="008211B8" w:rsidRDefault="008A461C"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77.06</w:t>
            </w:r>
          </w:p>
        </w:tc>
        <w:tc>
          <w:tcPr>
            <w:tcW w:w="1011" w:type="dxa"/>
            <w:shd w:val="clear" w:color="auto" w:fill="A8D08D" w:themeFill="accent6" w:themeFillTint="99"/>
            <w:vAlign w:val="center"/>
          </w:tcPr>
          <w:p w14:paraId="7E0B3666" w14:textId="05295D04" w:rsidR="003E007D" w:rsidRPr="008211B8" w:rsidRDefault="008A461C"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75.43</w:t>
            </w:r>
          </w:p>
        </w:tc>
        <w:tc>
          <w:tcPr>
            <w:tcW w:w="1011" w:type="dxa"/>
            <w:shd w:val="clear" w:color="auto" w:fill="A8D08D" w:themeFill="accent6" w:themeFillTint="99"/>
            <w:vAlign w:val="center"/>
          </w:tcPr>
          <w:p w14:paraId="5B67E5F7" w14:textId="4877BA70" w:rsidR="003E007D" w:rsidRPr="008211B8" w:rsidRDefault="008A461C"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76.85</w:t>
            </w:r>
          </w:p>
        </w:tc>
        <w:tc>
          <w:tcPr>
            <w:tcW w:w="1011" w:type="dxa"/>
            <w:shd w:val="clear" w:color="auto" w:fill="A8D08D" w:themeFill="accent6" w:themeFillTint="99"/>
            <w:vAlign w:val="center"/>
          </w:tcPr>
          <w:p w14:paraId="43A081FC" w14:textId="0751BFCD" w:rsidR="003E007D" w:rsidRPr="008211B8" w:rsidRDefault="008A461C"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71.68</w:t>
            </w:r>
          </w:p>
        </w:tc>
        <w:tc>
          <w:tcPr>
            <w:tcW w:w="1011" w:type="dxa"/>
            <w:shd w:val="clear" w:color="auto" w:fill="FFD966" w:themeFill="accent4" w:themeFillTint="99"/>
            <w:vAlign w:val="center"/>
          </w:tcPr>
          <w:p w14:paraId="2C996F44" w14:textId="383B519E" w:rsidR="003E007D" w:rsidRPr="008211B8" w:rsidRDefault="008A461C"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67.90</w:t>
            </w:r>
          </w:p>
        </w:tc>
        <w:tc>
          <w:tcPr>
            <w:tcW w:w="1011" w:type="dxa"/>
            <w:shd w:val="clear" w:color="auto" w:fill="FFD966" w:themeFill="accent4" w:themeFillTint="99"/>
            <w:vAlign w:val="center"/>
          </w:tcPr>
          <w:p w14:paraId="00842B53" w14:textId="4DEFBC65" w:rsidR="003E007D" w:rsidRPr="008211B8" w:rsidRDefault="008A461C"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61.12</w:t>
            </w:r>
          </w:p>
        </w:tc>
        <w:tc>
          <w:tcPr>
            <w:tcW w:w="1011" w:type="dxa"/>
            <w:shd w:val="clear" w:color="auto" w:fill="FFD966" w:themeFill="accent4" w:themeFillTint="99"/>
            <w:vAlign w:val="center"/>
          </w:tcPr>
          <w:p w14:paraId="44E5286D" w14:textId="084F3077" w:rsidR="003E007D" w:rsidRPr="008211B8" w:rsidRDefault="008A461C"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69.46</w:t>
            </w:r>
          </w:p>
        </w:tc>
        <w:tc>
          <w:tcPr>
            <w:tcW w:w="1011" w:type="dxa"/>
            <w:shd w:val="clear" w:color="auto" w:fill="FFD966" w:themeFill="accent4" w:themeFillTint="99"/>
            <w:vAlign w:val="center"/>
          </w:tcPr>
          <w:p w14:paraId="264CC6E0" w14:textId="12E40817" w:rsidR="003E007D" w:rsidRPr="008211B8" w:rsidRDefault="008A461C"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71.27</w:t>
            </w:r>
          </w:p>
        </w:tc>
        <w:tc>
          <w:tcPr>
            <w:tcW w:w="1011" w:type="dxa"/>
            <w:shd w:val="clear" w:color="auto" w:fill="F4B083" w:themeFill="accent2" w:themeFillTint="99"/>
            <w:vAlign w:val="center"/>
          </w:tcPr>
          <w:p w14:paraId="6A763AB7" w14:textId="560CC684" w:rsidR="003E007D" w:rsidRPr="008211B8" w:rsidRDefault="008A461C"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73.01</w:t>
            </w:r>
          </w:p>
        </w:tc>
        <w:tc>
          <w:tcPr>
            <w:tcW w:w="1011" w:type="dxa"/>
            <w:shd w:val="clear" w:color="auto" w:fill="F4B083" w:themeFill="accent2" w:themeFillTint="99"/>
            <w:vAlign w:val="center"/>
          </w:tcPr>
          <w:p w14:paraId="54B77949" w14:textId="7394D218" w:rsidR="003E007D" w:rsidRPr="008211B8" w:rsidRDefault="008A461C"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83.31</w:t>
            </w:r>
          </w:p>
        </w:tc>
        <w:tc>
          <w:tcPr>
            <w:tcW w:w="1011" w:type="dxa"/>
            <w:shd w:val="clear" w:color="auto" w:fill="F4B083" w:themeFill="accent2" w:themeFillTint="99"/>
            <w:vAlign w:val="center"/>
          </w:tcPr>
          <w:p w14:paraId="1DB4DA8F" w14:textId="530C33F0" w:rsidR="003E007D" w:rsidRPr="008211B8" w:rsidRDefault="008A461C"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74.77</w:t>
            </w:r>
          </w:p>
        </w:tc>
        <w:tc>
          <w:tcPr>
            <w:tcW w:w="1011" w:type="dxa"/>
            <w:shd w:val="clear" w:color="auto" w:fill="F4B083" w:themeFill="accent2" w:themeFillTint="99"/>
            <w:vAlign w:val="center"/>
          </w:tcPr>
          <w:p w14:paraId="3E316F26" w14:textId="2AE77FCF" w:rsidR="003E007D" w:rsidRPr="008211B8" w:rsidRDefault="008A461C"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83.31</w:t>
            </w:r>
          </w:p>
        </w:tc>
      </w:tr>
      <w:tr w:rsidR="003E007D" w:rsidRPr="008211B8" w14:paraId="15D950CE" w14:textId="77777777" w:rsidTr="003E007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63E9200" w14:textId="74570301" w:rsidR="003E007D" w:rsidRPr="008211B8" w:rsidRDefault="003E007D" w:rsidP="003E007D">
            <w:pPr>
              <w:spacing w:before="0" w:after="0" w:line="240" w:lineRule="auto"/>
              <w:jc w:val="right"/>
              <w:rPr>
                <w:rFonts w:ascii="Gill Sans MT" w:hAnsi="Gill Sans MT"/>
                <w:b w:val="0"/>
                <w:bCs w:val="0"/>
              </w:rPr>
            </w:pPr>
            <w:r>
              <w:rPr>
                <w:rFonts w:ascii="Gill Sans MT" w:hAnsi="Gill Sans MT"/>
                <w:b w:val="0"/>
                <w:bCs w:val="0"/>
              </w:rPr>
              <w:t>TEST</w:t>
            </w:r>
          </w:p>
        </w:tc>
        <w:tc>
          <w:tcPr>
            <w:tcW w:w="1011" w:type="dxa"/>
            <w:shd w:val="clear" w:color="auto" w:fill="E2EFD9" w:themeFill="accent6" w:themeFillTint="33"/>
            <w:vAlign w:val="center"/>
          </w:tcPr>
          <w:p w14:paraId="03605623" w14:textId="18AD0659" w:rsidR="003E007D" w:rsidRPr="008211B8" w:rsidRDefault="008A461C" w:rsidP="003E007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65.51</w:t>
            </w:r>
          </w:p>
        </w:tc>
        <w:tc>
          <w:tcPr>
            <w:tcW w:w="1011" w:type="dxa"/>
            <w:shd w:val="clear" w:color="auto" w:fill="E2EFD9" w:themeFill="accent6" w:themeFillTint="33"/>
            <w:vAlign w:val="center"/>
          </w:tcPr>
          <w:p w14:paraId="2CB3D9C2" w14:textId="5B974597" w:rsidR="003E007D" w:rsidRPr="008211B8" w:rsidRDefault="008A461C" w:rsidP="003E007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63.57</w:t>
            </w:r>
          </w:p>
        </w:tc>
        <w:tc>
          <w:tcPr>
            <w:tcW w:w="1011" w:type="dxa"/>
            <w:shd w:val="clear" w:color="auto" w:fill="E2EFD9" w:themeFill="accent6" w:themeFillTint="33"/>
            <w:vAlign w:val="center"/>
          </w:tcPr>
          <w:p w14:paraId="378C3EE2" w14:textId="20FFD121" w:rsidR="003E007D" w:rsidRPr="008211B8" w:rsidRDefault="008A461C" w:rsidP="003E007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64.62</w:t>
            </w:r>
          </w:p>
        </w:tc>
        <w:tc>
          <w:tcPr>
            <w:tcW w:w="1011" w:type="dxa"/>
            <w:shd w:val="clear" w:color="auto" w:fill="E2EFD9" w:themeFill="accent6" w:themeFillTint="33"/>
            <w:vAlign w:val="center"/>
          </w:tcPr>
          <w:p w14:paraId="58CF6576" w14:textId="291CFCEB" w:rsidR="003E007D" w:rsidRPr="008211B8" w:rsidRDefault="008A461C" w:rsidP="003E007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59.52</w:t>
            </w:r>
          </w:p>
        </w:tc>
        <w:tc>
          <w:tcPr>
            <w:tcW w:w="1011" w:type="dxa"/>
            <w:shd w:val="clear" w:color="auto" w:fill="FFF2CC" w:themeFill="accent4" w:themeFillTint="33"/>
            <w:vAlign w:val="center"/>
          </w:tcPr>
          <w:p w14:paraId="7570E854" w14:textId="3216EBE2" w:rsidR="003E007D" w:rsidRPr="008211B8" w:rsidRDefault="008A461C" w:rsidP="003E007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56.69</w:t>
            </w:r>
          </w:p>
        </w:tc>
        <w:tc>
          <w:tcPr>
            <w:tcW w:w="1011" w:type="dxa"/>
            <w:shd w:val="clear" w:color="auto" w:fill="FFF2CC" w:themeFill="accent4" w:themeFillTint="33"/>
            <w:vAlign w:val="center"/>
          </w:tcPr>
          <w:p w14:paraId="3C9927B5" w14:textId="6CFB606F" w:rsidR="003E007D" w:rsidRPr="008211B8" w:rsidRDefault="008A461C" w:rsidP="003E007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51.87</w:t>
            </w:r>
          </w:p>
        </w:tc>
        <w:tc>
          <w:tcPr>
            <w:tcW w:w="1011" w:type="dxa"/>
            <w:shd w:val="clear" w:color="auto" w:fill="FFF2CC" w:themeFill="accent4" w:themeFillTint="33"/>
            <w:vAlign w:val="center"/>
          </w:tcPr>
          <w:p w14:paraId="3973EFC1" w14:textId="05098205" w:rsidR="003E007D" w:rsidRPr="008211B8" w:rsidRDefault="008A461C" w:rsidP="003E007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57.92</w:t>
            </w:r>
          </w:p>
        </w:tc>
        <w:tc>
          <w:tcPr>
            <w:tcW w:w="1011" w:type="dxa"/>
            <w:shd w:val="clear" w:color="auto" w:fill="FFF2CC" w:themeFill="accent4" w:themeFillTint="33"/>
            <w:vAlign w:val="center"/>
          </w:tcPr>
          <w:p w14:paraId="2FC18C37" w14:textId="11B2224E" w:rsidR="003E007D" w:rsidRPr="008211B8" w:rsidRDefault="008A461C" w:rsidP="003E007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62.43</w:t>
            </w:r>
          </w:p>
        </w:tc>
        <w:tc>
          <w:tcPr>
            <w:tcW w:w="1011" w:type="dxa"/>
            <w:shd w:val="clear" w:color="auto" w:fill="FBE4D5" w:themeFill="accent2" w:themeFillTint="33"/>
            <w:vAlign w:val="center"/>
          </w:tcPr>
          <w:p w14:paraId="2F2CF04D" w14:textId="033302C6" w:rsidR="003E007D" w:rsidRPr="008211B8" w:rsidRDefault="008A461C" w:rsidP="003E007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63.87</w:t>
            </w:r>
          </w:p>
        </w:tc>
        <w:tc>
          <w:tcPr>
            <w:tcW w:w="1011" w:type="dxa"/>
            <w:shd w:val="clear" w:color="auto" w:fill="FBE4D5" w:themeFill="accent2" w:themeFillTint="33"/>
            <w:vAlign w:val="center"/>
          </w:tcPr>
          <w:p w14:paraId="6A0B7709" w14:textId="7819B485" w:rsidR="003E007D" w:rsidRPr="008211B8" w:rsidRDefault="008A461C" w:rsidP="003E007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74.59</w:t>
            </w:r>
          </w:p>
        </w:tc>
        <w:tc>
          <w:tcPr>
            <w:tcW w:w="1011" w:type="dxa"/>
            <w:shd w:val="clear" w:color="auto" w:fill="FBE4D5" w:themeFill="accent2" w:themeFillTint="33"/>
            <w:vAlign w:val="center"/>
          </w:tcPr>
          <w:p w14:paraId="54E295E5" w14:textId="4696584C" w:rsidR="003E007D" w:rsidRPr="008211B8" w:rsidRDefault="008A461C" w:rsidP="003E007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66.50</w:t>
            </w:r>
          </w:p>
        </w:tc>
        <w:tc>
          <w:tcPr>
            <w:tcW w:w="1011" w:type="dxa"/>
            <w:shd w:val="clear" w:color="auto" w:fill="FBE4D5" w:themeFill="accent2" w:themeFillTint="33"/>
            <w:vAlign w:val="center"/>
          </w:tcPr>
          <w:p w14:paraId="139D552D" w14:textId="2EF712AF" w:rsidR="003E007D" w:rsidRPr="008211B8" w:rsidRDefault="008A461C" w:rsidP="003E007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74.59</w:t>
            </w:r>
          </w:p>
        </w:tc>
      </w:tr>
      <w:tr w:rsidR="003E007D" w:rsidRPr="008211B8" w14:paraId="502E6653" w14:textId="77777777" w:rsidTr="003E007D">
        <w:trPr>
          <w:trHeight w:val="34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CFD9DD1" w14:textId="3121E2F2" w:rsidR="003E007D" w:rsidRPr="008211B8" w:rsidRDefault="003E007D" w:rsidP="003E007D">
            <w:pPr>
              <w:spacing w:before="0" w:after="0" w:line="240" w:lineRule="auto"/>
              <w:rPr>
                <w:rFonts w:ascii="Gill Sans MT" w:hAnsi="Gill Sans MT"/>
                <w:b w:val="0"/>
                <w:bCs w:val="0"/>
              </w:rPr>
            </w:pPr>
            <w:r>
              <w:rPr>
                <w:rFonts w:ascii="Gill Sans MT" w:hAnsi="Gill Sans MT"/>
                <w:b w:val="0"/>
                <w:bCs w:val="0"/>
              </w:rPr>
              <w:t>DI</w:t>
            </w:r>
          </w:p>
        </w:tc>
        <w:tc>
          <w:tcPr>
            <w:tcW w:w="1011" w:type="dxa"/>
            <w:shd w:val="clear" w:color="auto" w:fill="C5E0B3" w:themeFill="accent6" w:themeFillTint="66"/>
            <w:vAlign w:val="center"/>
          </w:tcPr>
          <w:p w14:paraId="0A02C0D9" w14:textId="3FAA40AC" w:rsidR="003E007D" w:rsidRPr="008A461C" w:rsidRDefault="008A461C" w:rsidP="003E007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60.50</w:t>
            </w:r>
          </w:p>
        </w:tc>
        <w:tc>
          <w:tcPr>
            <w:tcW w:w="1011" w:type="dxa"/>
            <w:shd w:val="clear" w:color="auto" w:fill="C5E0B3" w:themeFill="accent6" w:themeFillTint="66"/>
            <w:vAlign w:val="center"/>
          </w:tcPr>
          <w:p w14:paraId="7A41AC89" w14:textId="42310EA2" w:rsidR="003E007D" w:rsidRPr="008A461C" w:rsidRDefault="008A461C" w:rsidP="003E007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59.20</w:t>
            </w:r>
          </w:p>
        </w:tc>
        <w:tc>
          <w:tcPr>
            <w:tcW w:w="1011" w:type="dxa"/>
            <w:shd w:val="clear" w:color="auto" w:fill="C5E0B3" w:themeFill="accent6" w:themeFillTint="66"/>
            <w:vAlign w:val="center"/>
          </w:tcPr>
          <w:p w14:paraId="523363DC" w14:textId="1F1B6A3F" w:rsidR="003E007D" w:rsidRPr="008A461C" w:rsidRDefault="008A461C" w:rsidP="003E007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59.93</w:t>
            </w:r>
          </w:p>
        </w:tc>
        <w:tc>
          <w:tcPr>
            <w:tcW w:w="1011" w:type="dxa"/>
            <w:shd w:val="clear" w:color="auto" w:fill="C5E0B3" w:themeFill="accent6" w:themeFillTint="66"/>
            <w:vAlign w:val="center"/>
          </w:tcPr>
          <w:p w14:paraId="322F96E8" w14:textId="6DAAE627" w:rsidR="003E007D" w:rsidRPr="008A461C" w:rsidRDefault="008A461C" w:rsidP="003E007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54.96</w:t>
            </w:r>
          </w:p>
        </w:tc>
        <w:tc>
          <w:tcPr>
            <w:tcW w:w="1011" w:type="dxa"/>
            <w:shd w:val="clear" w:color="auto" w:fill="FFE599" w:themeFill="accent4" w:themeFillTint="66"/>
            <w:vAlign w:val="center"/>
          </w:tcPr>
          <w:p w14:paraId="65982DC4" w14:textId="39495A46" w:rsidR="003E007D" w:rsidRPr="008A461C" w:rsidRDefault="008A461C" w:rsidP="003E007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51.44</w:t>
            </w:r>
          </w:p>
        </w:tc>
        <w:tc>
          <w:tcPr>
            <w:tcW w:w="1011" w:type="dxa"/>
            <w:shd w:val="clear" w:color="auto" w:fill="FFE599" w:themeFill="accent4" w:themeFillTint="66"/>
            <w:vAlign w:val="center"/>
          </w:tcPr>
          <w:p w14:paraId="27A0E1C5" w14:textId="2E2B9A11" w:rsidR="003E007D" w:rsidRPr="008A461C" w:rsidRDefault="008A461C" w:rsidP="003E007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43.77</w:t>
            </w:r>
          </w:p>
        </w:tc>
        <w:tc>
          <w:tcPr>
            <w:tcW w:w="1011" w:type="dxa"/>
            <w:shd w:val="clear" w:color="auto" w:fill="FFE599" w:themeFill="accent4" w:themeFillTint="66"/>
            <w:vAlign w:val="center"/>
          </w:tcPr>
          <w:p w14:paraId="389C307F" w14:textId="6AD2E5B4" w:rsidR="003E007D" w:rsidRPr="008A461C" w:rsidRDefault="008A461C" w:rsidP="003E007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52.82</w:t>
            </w:r>
          </w:p>
        </w:tc>
        <w:tc>
          <w:tcPr>
            <w:tcW w:w="1011" w:type="dxa"/>
            <w:shd w:val="clear" w:color="auto" w:fill="FFE599" w:themeFill="accent4" w:themeFillTint="66"/>
            <w:vAlign w:val="center"/>
          </w:tcPr>
          <w:p w14:paraId="5AFD3C3F" w14:textId="403F3753" w:rsidR="003E007D" w:rsidRPr="008A461C" w:rsidRDefault="008A461C" w:rsidP="003E007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56.71</w:t>
            </w:r>
          </w:p>
        </w:tc>
        <w:tc>
          <w:tcPr>
            <w:tcW w:w="1011" w:type="dxa"/>
            <w:shd w:val="clear" w:color="auto" w:fill="F7CAAC" w:themeFill="accent2" w:themeFillTint="66"/>
            <w:vAlign w:val="center"/>
          </w:tcPr>
          <w:p w14:paraId="3FFD1AFF" w14:textId="179C9140" w:rsidR="003E007D" w:rsidRPr="008A461C" w:rsidRDefault="008A461C" w:rsidP="003E007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65.11</w:t>
            </w:r>
          </w:p>
        </w:tc>
        <w:tc>
          <w:tcPr>
            <w:tcW w:w="1011" w:type="dxa"/>
            <w:shd w:val="clear" w:color="auto" w:fill="F7CAAC" w:themeFill="accent2" w:themeFillTint="66"/>
            <w:vAlign w:val="center"/>
          </w:tcPr>
          <w:p w14:paraId="6C0187DE" w14:textId="6E0C8C55" w:rsidR="003E007D" w:rsidRPr="008A461C" w:rsidRDefault="008A461C" w:rsidP="003E007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80.39</w:t>
            </w:r>
          </w:p>
        </w:tc>
        <w:tc>
          <w:tcPr>
            <w:tcW w:w="1011" w:type="dxa"/>
            <w:shd w:val="clear" w:color="auto" w:fill="F7CAAC" w:themeFill="accent2" w:themeFillTint="66"/>
            <w:vAlign w:val="center"/>
          </w:tcPr>
          <w:p w14:paraId="11C64AAF" w14:textId="74FE664C" w:rsidR="003E007D" w:rsidRPr="008A461C" w:rsidRDefault="008A461C" w:rsidP="003E007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67.83</w:t>
            </w:r>
          </w:p>
        </w:tc>
        <w:tc>
          <w:tcPr>
            <w:tcW w:w="1011" w:type="dxa"/>
            <w:shd w:val="clear" w:color="auto" w:fill="F7CAAC" w:themeFill="accent2" w:themeFillTint="66"/>
            <w:vAlign w:val="center"/>
          </w:tcPr>
          <w:p w14:paraId="7F2BD8F0" w14:textId="29F75E42" w:rsidR="003E007D" w:rsidRPr="008A461C" w:rsidRDefault="008A461C" w:rsidP="003E007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80.39</w:t>
            </w:r>
          </w:p>
        </w:tc>
      </w:tr>
      <w:tr w:rsidR="003E007D" w:rsidRPr="008211B8" w14:paraId="69066D13" w14:textId="77777777" w:rsidTr="003E007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F1850CD" w14:textId="108F9C36" w:rsidR="003E007D" w:rsidRPr="008211B8" w:rsidRDefault="003E007D" w:rsidP="003E007D">
            <w:pPr>
              <w:spacing w:before="0" w:after="0" w:line="240" w:lineRule="auto"/>
              <w:jc w:val="right"/>
              <w:rPr>
                <w:rFonts w:ascii="Gill Sans MT" w:hAnsi="Gill Sans MT"/>
                <w:b w:val="0"/>
                <w:bCs w:val="0"/>
              </w:rPr>
            </w:pPr>
            <w:r>
              <w:rPr>
                <w:rFonts w:ascii="Gill Sans MT" w:hAnsi="Gill Sans MT"/>
                <w:b w:val="0"/>
                <w:bCs w:val="0"/>
              </w:rPr>
              <w:t>Control</w:t>
            </w:r>
          </w:p>
        </w:tc>
        <w:tc>
          <w:tcPr>
            <w:tcW w:w="1011" w:type="dxa"/>
            <w:shd w:val="clear" w:color="auto" w:fill="E2EFD9" w:themeFill="accent6" w:themeFillTint="33"/>
            <w:vAlign w:val="center"/>
          </w:tcPr>
          <w:p w14:paraId="55629900" w14:textId="7FA82AFE" w:rsidR="003E007D" w:rsidRPr="008211B8" w:rsidRDefault="008A461C" w:rsidP="003E007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58.93</w:t>
            </w:r>
          </w:p>
        </w:tc>
        <w:tc>
          <w:tcPr>
            <w:tcW w:w="1011" w:type="dxa"/>
            <w:shd w:val="clear" w:color="auto" w:fill="E2EFD9" w:themeFill="accent6" w:themeFillTint="33"/>
            <w:vAlign w:val="center"/>
          </w:tcPr>
          <w:p w14:paraId="3A55C2E7" w14:textId="3D1AA007" w:rsidR="003E007D" w:rsidRPr="008211B8" w:rsidRDefault="008A461C" w:rsidP="003E007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57.74</w:t>
            </w:r>
          </w:p>
        </w:tc>
        <w:tc>
          <w:tcPr>
            <w:tcW w:w="1011" w:type="dxa"/>
            <w:shd w:val="clear" w:color="auto" w:fill="E2EFD9" w:themeFill="accent6" w:themeFillTint="33"/>
            <w:vAlign w:val="center"/>
          </w:tcPr>
          <w:p w14:paraId="230A870F" w14:textId="38541B66" w:rsidR="003E007D" w:rsidRPr="008211B8" w:rsidRDefault="008A461C" w:rsidP="003E007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58.74</w:t>
            </w:r>
          </w:p>
        </w:tc>
        <w:tc>
          <w:tcPr>
            <w:tcW w:w="1011" w:type="dxa"/>
            <w:shd w:val="clear" w:color="auto" w:fill="E2EFD9" w:themeFill="accent6" w:themeFillTint="33"/>
            <w:vAlign w:val="center"/>
          </w:tcPr>
          <w:p w14:paraId="007C5C79" w14:textId="6CEED879" w:rsidR="003E007D" w:rsidRPr="008211B8" w:rsidRDefault="008A461C" w:rsidP="003E007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54.19</w:t>
            </w:r>
          </w:p>
        </w:tc>
        <w:tc>
          <w:tcPr>
            <w:tcW w:w="1011" w:type="dxa"/>
            <w:shd w:val="clear" w:color="auto" w:fill="FFF2CC" w:themeFill="accent4" w:themeFillTint="33"/>
            <w:vAlign w:val="center"/>
          </w:tcPr>
          <w:p w14:paraId="70CB87EE" w14:textId="75FF514E" w:rsidR="003E007D" w:rsidRPr="008211B8" w:rsidRDefault="008A461C" w:rsidP="003E007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51.24</w:t>
            </w:r>
          </w:p>
        </w:tc>
        <w:tc>
          <w:tcPr>
            <w:tcW w:w="1011" w:type="dxa"/>
            <w:shd w:val="clear" w:color="auto" w:fill="FFF2CC" w:themeFill="accent4" w:themeFillTint="33"/>
            <w:vAlign w:val="center"/>
          </w:tcPr>
          <w:p w14:paraId="0498A403" w14:textId="536A627A" w:rsidR="003E007D" w:rsidRPr="008211B8" w:rsidRDefault="008A461C" w:rsidP="003E007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43.49</w:t>
            </w:r>
          </w:p>
        </w:tc>
        <w:tc>
          <w:tcPr>
            <w:tcW w:w="1011" w:type="dxa"/>
            <w:shd w:val="clear" w:color="auto" w:fill="FFF2CC" w:themeFill="accent4" w:themeFillTint="33"/>
            <w:vAlign w:val="center"/>
          </w:tcPr>
          <w:p w14:paraId="02E0895D" w14:textId="6EE32E97" w:rsidR="003E007D" w:rsidRPr="008211B8" w:rsidRDefault="008A461C" w:rsidP="003E007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52.45</w:t>
            </w:r>
          </w:p>
        </w:tc>
        <w:tc>
          <w:tcPr>
            <w:tcW w:w="1011" w:type="dxa"/>
            <w:shd w:val="clear" w:color="auto" w:fill="FFF2CC" w:themeFill="accent4" w:themeFillTint="33"/>
            <w:vAlign w:val="center"/>
          </w:tcPr>
          <w:p w14:paraId="7B0273CC" w14:textId="7ACADABD" w:rsidR="003E007D" w:rsidRPr="008211B8" w:rsidRDefault="008A461C" w:rsidP="003E007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57.13</w:t>
            </w:r>
          </w:p>
        </w:tc>
        <w:tc>
          <w:tcPr>
            <w:tcW w:w="1011" w:type="dxa"/>
            <w:shd w:val="clear" w:color="auto" w:fill="FBE4D5" w:themeFill="accent2" w:themeFillTint="33"/>
            <w:vAlign w:val="center"/>
          </w:tcPr>
          <w:p w14:paraId="2821501A" w14:textId="5AE3ADCF" w:rsidR="003E007D" w:rsidRPr="008211B8" w:rsidRDefault="008A461C" w:rsidP="003E007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65.11</w:t>
            </w:r>
          </w:p>
        </w:tc>
        <w:tc>
          <w:tcPr>
            <w:tcW w:w="1011" w:type="dxa"/>
            <w:shd w:val="clear" w:color="auto" w:fill="FBE4D5" w:themeFill="accent2" w:themeFillTint="33"/>
            <w:vAlign w:val="center"/>
          </w:tcPr>
          <w:p w14:paraId="210AAAB9" w14:textId="56ACEB58" w:rsidR="003E007D" w:rsidRPr="008211B8" w:rsidRDefault="008A461C" w:rsidP="003E007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82.50</w:t>
            </w:r>
          </w:p>
        </w:tc>
        <w:tc>
          <w:tcPr>
            <w:tcW w:w="1011" w:type="dxa"/>
            <w:shd w:val="clear" w:color="auto" w:fill="FBE4D5" w:themeFill="accent2" w:themeFillTint="33"/>
            <w:vAlign w:val="center"/>
          </w:tcPr>
          <w:p w14:paraId="3144344E" w14:textId="60EBF554" w:rsidR="003E007D" w:rsidRPr="008211B8" w:rsidRDefault="008A461C" w:rsidP="003E007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68.74</w:t>
            </w:r>
          </w:p>
        </w:tc>
        <w:tc>
          <w:tcPr>
            <w:tcW w:w="1011" w:type="dxa"/>
            <w:shd w:val="clear" w:color="auto" w:fill="FBE4D5" w:themeFill="accent2" w:themeFillTint="33"/>
            <w:vAlign w:val="center"/>
          </w:tcPr>
          <w:p w14:paraId="2097578D" w14:textId="298F8554" w:rsidR="003E007D" w:rsidRPr="008211B8" w:rsidRDefault="008A461C" w:rsidP="003E007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82.50</w:t>
            </w:r>
          </w:p>
        </w:tc>
      </w:tr>
      <w:tr w:rsidR="003E007D" w:rsidRPr="008211B8" w14:paraId="16DDA114" w14:textId="77777777" w:rsidTr="003E007D">
        <w:trPr>
          <w:trHeight w:val="34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center"/>
          </w:tcPr>
          <w:p w14:paraId="36935C3A" w14:textId="26046D7C" w:rsidR="003E007D" w:rsidRPr="008211B8" w:rsidRDefault="003E007D" w:rsidP="003E007D">
            <w:pPr>
              <w:spacing w:before="0" w:after="0" w:line="240" w:lineRule="auto"/>
              <w:rPr>
                <w:rFonts w:ascii="Gill Sans MT" w:hAnsi="Gill Sans MT"/>
                <w:b w:val="0"/>
                <w:bCs w:val="0"/>
              </w:rPr>
            </w:pPr>
          </w:p>
        </w:tc>
        <w:tc>
          <w:tcPr>
            <w:tcW w:w="1011" w:type="dxa"/>
            <w:shd w:val="clear" w:color="auto" w:fill="auto"/>
            <w:vAlign w:val="center"/>
          </w:tcPr>
          <w:p w14:paraId="52A6A8B3" w14:textId="77777777"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011" w:type="dxa"/>
            <w:shd w:val="clear" w:color="auto" w:fill="auto"/>
            <w:vAlign w:val="center"/>
          </w:tcPr>
          <w:p w14:paraId="60D2A5F8" w14:textId="429469AB"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011" w:type="dxa"/>
            <w:shd w:val="clear" w:color="auto" w:fill="auto"/>
            <w:vAlign w:val="center"/>
          </w:tcPr>
          <w:p w14:paraId="2E9DC38A" w14:textId="0722E5B3"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011" w:type="dxa"/>
            <w:shd w:val="clear" w:color="auto" w:fill="auto"/>
            <w:vAlign w:val="center"/>
          </w:tcPr>
          <w:p w14:paraId="5C4BAA58" w14:textId="65EC203D"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011" w:type="dxa"/>
            <w:shd w:val="clear" w:color="auto" w:fill="auto"/>
            <w:vAlign w:val="center"/>
          </w:tcPr>
          <w:p w14:paraId="3E4C062A" w14:textId="3DF432BF"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011" w:type="dxa"/>
            <w:shd w:val="clear" w:color="auto" w:fill="auto"/>
            <w:vAlign w:val="center"/>
          </w:tcPr>
          <w:p w14:paraId="09F8EFAE" w14:textId="4B2AA6C1"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011" w:type="dxa"/>
            <w:shd w:val="clear" w:color="auto" w:fill="auto"/>
            <w:vAlign w:val="center"/>
          </w:tcPr>
          <w:p w14:paraId="4E45ED3E" w14:textId="6ED8B086"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011" w:type="dxa"/>
            <w:shd w:val="clear" w:color="auto" w:fill="auto"/>
            <w:vAlign w:val="center"/>
          </w:tcPr>
          <w:p w14:paraId="6BAB4AFF" w14:textId="77777777"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011" w:type="dxa"/>
            <w:shd w:val="clear" w:color="auto" w:fill="auto"/>
            <w:vAlign w:val="center"/>
          </w:tcPr>
          <w:p w14:paraId="256912EC" w14:textId="405EF596"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011" w:type="dxa"/>
            <w:shd w:val="clear" w:color="auto" w:fill="auto"/>
            <w:vAlign w:val="center"/>
          </w:tcPr>
          <w:p w14:paraId="4B07ABFE" w14:textId="14E2157C"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011" w:type="dxa"/>
            <w:shd w:val="clear" w:color="auto" w:fill="auto"/>
            <w:vAlign w:val="center"/>
          </w:tcPr>
          <w:p w14:paraId="005E1B53" w14:textId="77777777"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011" w:type="dxa"/>
            <w:shd w:val="clear" w:color="auto" w:fill="auto"/>
            <w:vAlign w:val="center"/>
          </w:tcPr>
          <w:p w14:paraId="354AEFC8" w14:textId="5AEEC400"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3E007D" w:rsidRPr="008211B8" w14:paraId="723393D3" w14:textId="77777777" w:rsidTr="003E007D">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F7940D3" w14:textId="6534FEF8" w:rsidR="003E007D" w:rsidRDefault="00AB6DFA" w:rsidP="00AB6DFA">
            <w:pPr>
              <w:spacing w:before="0" w:after="0" w:line="240" w:lineRule="auto"/>
              <w:jc w:val="center"/>
              <w:rPr>
                <w:rFonts w:ascii="Gill Sans MT" w:hAnsi="Gill Sans MT"/>
                <w:b w:val="0"/>
                <w:bCs w:val="0"/>
              </w:rPr>
            </w:pPr>
            <w:r w:rsidRPr="00AB6DFA">
              <w:rPr>
                <w:rFonts w:ascii="Gill Sans MT" w:hAnsi="Gill Sans MT"/>
                <w:b w:val="0"/>
                <w:bCs w:val="0"/>
                <w:color w:val="D5DCE4" w:themeColor="text2" w:themeTint="33"/>
                <w:sz w:val="24"/>
                <w:szCs w:val="24"/>
              </w:rPr>
              <w:t>Dx16</w:t>
            </w:r>
          </w:p>
        </w:tc>
        <w:tc>
          <w:tcPr>
            <w:tcW w:w="12132" w:type="dxa"/>
            <w:gridSpan w:val="12"/>
            <w:shd w:val="clear" w:color="auto" w:fill="4472C4" w:themeFill="accent1"/>
            <w:vAlign w:val="center"/>
          </w:tcPr>
          <w:p w14:paraId="3CF08538" w14:textId="45BA7A39" w:rsidR="003E007D" w:rsidRPr="003E007D" w:rsidRDefault="003E007D" w:rsidP="003E007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3E007D">
              <w:rPr>
                <w:rFonts w:ascii="Gill Sans MT" w:hAnsi="Gill Sans MT"/>
                <w:color w:val="FFFFFF" w:themeColor="background1"/>
              </w:rPr>
              <w:t>ABC factor means according to ABC Scale - Dx16 Profiler Outcomes</w:t>
            </w:r>
          </w:p>
        </w:tc>
      </w:tr>
      <w:tr w:rsidR="008A461C" w:rsidRPr="008211B8" w14:paraId="201E2073" w14:textId="77777777" w:rsidTr="008A461C">
        <w:trPr>
          <w:trHeight w:val="34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FBB07BA" w14:textId="09385DC9" w:rsidR="008A461C" w:rsidRDefault="008A461C" w:rsidP="008A461C">
            <w:pPr>
              <w:spacing w:before="0" w:after="0" w:line="240" w:lineRule="auto"/>
              <w:rPr>
                <w:rFonts w:ascii="Gill Sans MT" w:hAnsi="Gill Sans MT"/>
                <w:b w:val="0"/>
                <w:bCs w:val="0"/>
              </w:rPr>
            </w:pPr>
            <w:r>
              <w:rPr>
                <w:rFonts w:ascii="Gill Sans MT" w:hAnsi="Gill Sans MT"/>
                <w:b w:val="0"/>
                <w:bCs w:val="0"/>
              </w:rPr>
              <w:t>group /subgroup</w:t>
            </w:r>
          </w:p>
        </w:tc>
        <w:tc>
          <w:tcPr>
            <w:tcW w:w="4044" w:type="dxa"/>
            <w:gridSpan w:val="4"/>
            <w:shd w:val="clear" w:color="auto" w:fill="E2EFD9" w:themeFill="accent6" w:themeFillTint="33"/>
            <w:vAlign w:val="center"/>
          </w:tcPr>
          <w:p w14:paraId="4B4CC220" w14:textId="17E2B46B" w:rsidR="008A461C" w:rsidRDefault="008A461C" w:rsidP="008A461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 Factor 1: Study Efficacy</w:t>
            </w:r>
          </w:p>
        </w:tc>
        <w:tc>
          <w:tcPr>
            <w:tcW w:w="4044" w:type="dxa"/>
            <w:gridSpan w:val="4"/>
            <w:shd w:val="clear" w:color="auto" w:fill="FFF2CC" w:themeFill="accent4" w:themeFillTint="33"/>
            <w:vAlign w:val="center"/>
          </w:tcPr>
          <w:p w14:paraId="5D442C17" w14:textId="6F303061" w:rsidR="008A461C" w:rsidRPr="008211B8" w:rsidRDefault="008A461C" w:rsidP="008A461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 Factor 2: Engagement</w:t>
            </w:r>
          </w:p>
        </w:tc>
        <w:tc>
          <w:tcPr>
            <w:tcW w:w="4044" w:type="dxa"/>
            <w:gridSpan w:val="4"/>
            <w:shd w:val="clear" w:color="auto" w:fill="FBE4D5" w:themeFill="accent2" w:themeFillTint="33"/>
            <w:vAlign w:val="center"/>
          </w:tcPr>
          <w:p w14:paraId="6DA64E7E" w14:textId="26BCEC54" w:rsidR="008A461C" w:rsidRDefault="008A461C" w:rsidP="008A461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 Factor 3: Organization &amp; Planning</w:t>
            </w:r>
          </w:p>
        </w:tc>
      </w:tr>
      <w:tr w:rsidR="008A461C" w:rsidRPr="008211B8" w14:paraId="454EB921" w14:textId="77777777" w:rsidTr="008A46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ECFAC2D" w14:textId="5272AB9B" w:rsidR="008A461C" w:rsidRDefault="008A461C" w:rsidP="008A461C">
            <w:pPr>
              <w:spacing w:before="0" w:after="0" w:line="240" w:lineRule="auto"/>
              <w:jc w:val="right"/>
              <w:rPr>
                <w:rFonts w:ascii="Gill Sans MT" w:hAnsi="Gill Sans MT"/>
                <w:b w:val="0"/>
                <w:bCs w:val="0"/>
              </w:rPr>
            </w:pPr>
            <w:r w:rsidRPr="003E007D">
              <w:rPr>
                <w:rFonts w:ascii="Gill Sans MT" w:hAnsi="Gill Sans MT"/>
                <w:b w:val="0"/>
                <w:bCs w:val="0"/>
                <w:color w:val="FFE599" w:themeColor="accent4" w:themeTint="66"/>
                <w:sz w:val="18"/>
                <w:szCs w:val="18"/>
              </w:rPr>
              <w:t>ABC Scale-&gt;</w:t>
            </w:r>
          </w:p>
        </w:tc>
        <w:tc>
          <w:tcPr>
            <w:tcW w:w="1011" w:type="dxa"/>
            <w:vAlign w:val="center"/>
          </w:tcPr>
          <w:p w14:paraId="3D980259" w14:textId="3E7678FC" w:rsidR="008A461C" w:rsidRDefault="008A461C"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ABC24</w:t>
            </w:r>
          </w:p>
        </w:tc>
        <w:tc>
          <w:tcPr>
            <w:tcW w:w="1011" w:type="dxa"/>
            <w:vAlign w:val="center"/>
          </w:tcPr>
          <w:p w14:paraId="768D1FB2" w14:textId="620C3310" w:rsidR="008A461C" w:rsidRDefault="008A461C"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ABC17</w:t>
            </w:r>
          </w:p>
        </w:tc>
        <w:tc>
          <w:tcPr>
            <w:tcW w:w="1011" w:type="dxa"/>
            <w:shd w:val="clear" w:color="auto" w:fill="E2EFD9" w:themeFill="accent6" w:themeFillTint="33"/>
            <w:vAlign w:val="center"/>
          </w:tcPr>
          <w:p w14:paraId="34128DED" w14:textId="090FCCA6" w:rsidR="008A461C" w:rsidRDefault="008A461C"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ABC21-L</w:t>
            </w:r>
          </w:p>
        </w:tc>
        <w:tc>
          <w:tcPr>
            <w:tcW w:w="1011" w:type="dxa"/>
            <w:shd w:val="clear" w:color="auto" w:fill="E2EFD9" w:themeFill="accent6" w:themeFillTint="33"/>
            <w:vAlign w:val="center"/>
          </w:tcPr>
          <w:p w14:paraId="1AC86445" w14:textId="3E2ABBFF" w:rsidR="008A461C" w:rsidRDefault="008A461C"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ABC17-L</w:t>
            </w:r>
          </w:p>
        </w:tc>
        <w:tc>
          <w:tcPr>
            <w:tcW w:w="1011" w:type="dxa"/>
            <w:shd w:val="clear" w:color="auto" w:fill="FFF2CC" w:themeFill="accent4" w:themeFillTint="33"/>
            <w:vAlign w:val="center"/>
          </w:tcPr>
          <w:p w14:paraId="68512A27" w14:textId="087AE840" w:rsidR="008A461C" w:rsidRDefault="008A461C"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ABC24</w:t>
            </w:r>
          </w:p>
        </w:tc>
        <w:tc>
          <w:tcPr>
            <w:tcW w:w="1011" w:type="dxa"/>
            <w:shd w:val="clear" w:color="auto" w:fill="FFF2CC" w:themeFill="accent4" w:themeFillTint="33"/>
            <w:vAlign w:val="center"/>
          </w:tcPr>
          <w:p w14:paraId="0A95B69C" w14:textId="6E2CA515" w:rsidR="008A461C" w:rsidRDefault="008A461C"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ABC17</w:t>
            </w:r>
          </w:p>
        </w:tc>
        <w:tc>
          <w:tcPr>
            <w:tcW w:w="1011" w:type="dxa"/>
            <w:shd w:val="clear" w:color="auto" w:fill="FFF2CC" w:themeFill="accent4" w:themeFillTint="33"/>
            <w:vAlign w:val="center"/>
          </w:tcPr>
          <w:p w14:paraId="400D105E" w14:textId="41C5FB8F" w:rsidR="008A461C" w:rsidRDefault="008A461C"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ABC21-L</w:t>
            </w:r>
          </w:p>
        </w:tc>
        <w:tc>
          <w:tcPr>
            <w:tcW w:w="1011" w:type="dxa"/>
            <w:shd w:val="clear" w:color="auto" w:fill="FFF2CC" w:themeFill="accent4" w:themeFillTint="33"/>
            <w:vAlign w:val="center"/>
          </w:tcPr>
          <w:p w14:paraId="5039ADB4" w14:textId="63506A33" w:rsidR="008A461C" w:rsidRPr="008211B8" w:rsidRDefault="008A461C"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ABC17-L</w:t>
            </w:r>
          </w:p>
        </w:tc>
        <w:tc>
          <w:tcPr>
            <w:tcW w:w="1011" w:type="dxa"/>
            <w:shd w:val="clear" w:color="auto" w:fill="FBE4D5" w:themeFill="accent2" w:themeFillTint="33"/>
            <w:vAlign w:val="center"/>
          </w:tcPr>
          <w:p w14:paraId="4FC9BE23" w14:textId="1F070AC9" w:rsidR="008A461C" w:rsidRDefault="008A461C"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ABC24</w:t>
            </w:r>
          </w:p>
        </w:tc>
        <w:tc>
          <w:tcPr>
            <w:tcW w:w="1011" w:type="dxa"/>
            <w:shd w:val="clear" w:color="auto" w:fill="FBE4D5" w:themeFill="accent2" w:themeFillTint="33"/>
            <w:vAlign w:val="center"/>
          </w:tcPr>
          <w:p w14:paraId="09902633" w14:textId="6C3575D7" w:rsidR="008A461C" w:rsidRDefault="008A461C"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ABC17</w:t>
            </w:r>
          </w:p>
        </w:tc>
        <w:tc>
          <w:tcPr>
            <w:tcW w:w="1011" w:type="dxa"/>
            <w:shd w:val="clear" w:color="auto" w:fill="FBE4D5" w:themeFill="accent2" w:themeFillTint="33"/>
            <w:vAlign w:val="center"/>
          </w:tcPr>
          <w:p w14:paraId="7A163210" w14:textId="59F6BB7B" w:rsidR="008A461C" w:rsidRPr="008211B8" w:rsidRDefault="008A461C"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ABC21-L</w:t>
            </w:r>
          </w:p>
        </w:tc>
        <w:tc>
          <w:tcPr>
            <w:tcW w:w="1011" w:type="dxa"/>
            <w:shd w:val="clear" w:color="auto" w:fill="FBE4D5" w:themeFill="accent2" w:themeFillTint="33"/>
            <w:vAlign w:val="center"/>
          </w:tcPr>
          <w:p w14:paraId="408B9137" w14:textId="6983399E" w:rsidR="008A461C" w:rsidRDefault="008A461C"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ABC17-L</w:t>
            </w:r>
          </w:p>
        </w:tc>
      </w:tr>
      <w:tr w:rsidR="008A461C" w:rsidRPr="008211B8" w14:paraId="4571F6F1" w14:textId="77777777" w:rsidTr="008A461C">
        <w:trPr>
          <w:trHeight w:val="34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8211222" w14:textId="142E2D02" w:rsidR="008A461C" w:rsidRDefault="008A461C" w:rsidP="008A461C">
            <w:pPr>
              <w:spacing w:before="0" w:after="0" w:line="240" w:lineRule="auto"/>
              <w:rPr>
                <w:rFonts w:ascii="Gill Sans MT" w:hAnsi="Gill Sans MT"/>
                <w:b w:val="0"/>
                <w:bCs w:val="0"/>
              </w:rPr>
            </w:pPr>
            <w:r>
              <w:rPr>
                <w:rFonts w:ascii="Gill Sans MT" w:hAnsi="Gill Sans MT"/>
                <w:b w:val="0"/>
                <w:bCs w:val="0"/>
              </w:rPr>
              <w:t>ND</w:t>
            </w:r>
          </w:p>
        </w:tc>
        <w:tc>
          <w:tcPr>
            <w:tcW w:w="1011" w:type="dxa"/>
            <w:shd w:val="clear" w:color="auto" w:fill="C5E0B3" w:themeFill="accent6" w:themeFillTint="66"/>
            <w:vAlign w:val="center"/>
          </w:tcPr>
          <w:p w14:paraId="6BA6FEDA" w14:textId="43181C08" w:rsidR="008A461C" w:rsidRPr="008A461C" w:rsidRDefault="008A461C" w:rsidP="008A461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sidRPr="003E007D">
              <w:rPr>
                <w:rFonts w:ascii="Gill Sans MT" w:hAnsi="Gill Sans MT"/>
                <w:color w:val="767171" w:themeColor="background2" w:themeShade="80"/>
                <w:sz w:val="18"/>
                <w:szCs w:val="18"/>
              </w:rPr>
              <w:t>70.28</w:t>
            </w:r>
          </w:p>
        </w:tc>
        <w:tc>
          <w:tcPr>
            <w:tcW w:w="1011" w:type="dxa"/>
            <w:shd w:val="clear" w:color="auto" w:fill="C5E0B3" w:themeFill="accent6" w:themeFillTint="66"/>
            <w:vAlign w:val="center"/>
          </w:tcPr>
          <w:p w14:paraId="4353F803" w14:textId="0EF827AA" w:rsidR="008A461C" w:rsidRPr="008A461C" w:rsidRDefault="008A461C" w:rsidP="008A461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68.98</w:t>
            </w:r>
          </w:p>
        </w:tc>
        <w:tc>
          <w:tcPr>
            <w:tcW w:w="1011" w:type="dxa"/>
            <w:shd w:val="clear" w:color="auto" w:fill="C5E0B3" w:themeFill="accent6" w:themeFillTint="66"/>
            <w:vAlign w:val="center"/>
          </w:tcPr>
          <w:p w14:paraId="6FB63851" w14:textId="6116668B" w:rsidR="008A461C" w:rsidRPr="008A461C" w:rsidRDefault="008A461C" w:rsidP="008A461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69.87</w:t>
            </w:r>
          </w:p>
        </w:tc>
        <w:tc>
          <w:tcPr>
            <w:tcW w:w="1011" w:type="dxa"/>
            <w:shd w:val="clear" w:color="auto" w:fill="C5E0B3" w:themeFill="accent6" w:themeFillTint="66"/>
            <w:vAlign w:val="center"/>
          </w:tcPr>
          <w:p w14:paraId="7756FBED" w14:textId="3368CEC5" w:rsidR="008A461C" w:rsidRPr="008A461C" w:rsidRDefault="008A461C" w:rsidP="008A461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65.48</w:t>
            </w:r>
          </w:p>
        </w:tc>
        <w:tc>
          <w:tcPr>
            <w:tcW w:w="1011" w:type="dxa"/>
            <w:shd w:val="clear" w:color="auto" w:fill="FFE599" w:themeFill="accent4" w:themeFillTint="66"/>
            <w:vAlign w:val="center"/>
          </w:tcPr>
          <w:p w14:paraId="6501F43A" w14:textId="56D12119" w:rsidR="008A461C" w:rsidRPr="008A461C" w:rsidRDefault="008A461C" w:rsidP="008A461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62.61</w:t>
            </w:r>
          </w:p>
        </w:tc>
        <w:tc>
          <w:tcPr>
            <w:tcW w:w="1011" w:type="dxa"/>
            <w:shd w:val="clear" w:color="auto" w:fill="FFE599" w:themeFill="accent4" w:themeFillTint="66"/>
            <w:vAlign w:val="center"/>
          </w:tcPr>
          <w:p w14:paraId="71A57DC5" w14:textId="2FEFAB80" w:rsidR="008A461C" w:rsidRPr="008A461C" w:rsidRDefault="008A461C" w:rsidP="008A461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56.88</w:t>
            </w:r>
          </w:p>
        </w:tc>
        <w:tc>
          <w:tcPr>
            <w:tcW w:w="1011" w:type="dxa"/>
            <w:shd w:val="clear" w:color="auto" w:fill="FFE599" w:themeFill="accent4" w:themeFillTint="66"/>
            <w:vAlign w:val="center"/>
          </w:tcPr>
          <w:p w14:paraId="27C198D1" w14:textId="18932B2A" w:rsidR="008A461C" w:rsidRPr="008A461C" w:rsidRDefault="008A461C" w:rsidP="008A461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63.98</w:t>
            </w:r>
          </w:p>
        </w:tc>
        <w:tc>
          <w:tcPr>
            <w:tcW w:w="1011" w:type="dxa"/>
            <w:shd w:val="clear" w:color="auto" w:fill="FFE599" w:themeFill="accent4" w:themeFillTint="66"/>
            <w:vAlign w:val="center"/>
          </w:tcPr>
          <w:p w14:paraId="49104425" w14:textId="60EB9FAE" w:rsidR="008A461C" w:rsidRPr="008A461C" w:rsidRDefault="008A461C" w:rsidP="008A461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66.21</w:t>
            </w:r>
          </w:p>
        </w:tc>
        <w:tc>
          <w:tcPr>
            <w:tcW w:w="1011" w:type="dxa"/>
            <w:shd w:val="clear" w:color="auto" w:fill="F7CAAC" w:themeFill="accent2" w:themeFillTint="66"/>
            <w:vAlign w:val="center"/>
          </w:tcPr>
          <w:p w14:paraId="10131E74" w14:textId="4A59C39B" w:rsidR="008A461C" w:rsidRPr="008A461C" w:rsidRDefault="008A461C" w:rsidP="008A461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69.62</w:t>
            </w:r>
          </w:p>
        </w:tc>
        <w:tc>
          <w:tcPr>
            <w:tcW w:w="1011" w:type="dxa"/>
            <w:shd w:val="clear" w:color="auto" w:fill="F7CAAC" w:themeFill="accent2" w:themeFillTint="66"/>
            <w:vAlign w:val="center"/>
          </w:tcPr>
          <w:p w14:paraId="488407E8" w14:textId="70B1F2A3" w:rsidR="008A461C" w:rsidRPr="008A461C" w:rsidRDefault="008A461C" w:rsidP="008A461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80.85</w:t>
            </w:r>
          </w:p>
        </w:tc>
        <w:tc>
          <w:tcPr>
            <w:tcW w:w="1011" w:type="dxa"/>
            <w:shd w:val="clear" w:color="auto" w:fill="F7CAAC" w:themeFill="accent2" w:themeFillTint="66"/>
            <w:vAlign w:val="center"/>
          </w:tcPr>
          <w:p w14:paraId="0C3018DD" w14:textId="75B6558A" w:rsidR="008A461C" w:rsidRPr="008A461C" w:rsidRDefault="008A461C" w:rsidP="008A461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71.46</w:t>
            </w:r>
          </w:p>
        </w:tc>
        <w:tc>
          <w:tcPr>
            <w:tcW w:w="1011" w:type="dxa"/>
            <w:shd w:val="clear" w:color="auto" w:fill="F7CAAC" w:themeFill="accent2" w:themeFillTint="66"/>
            <w:vAlign w:val="center"/>
          </w:tcPr>
          <w:p w14:paraId="2C369800" w14:textId="6EFC98EC" w:rsidR="008A461C" w:rsidRPr="008A461C" w:rsidRDefault="008A461C" w:rsidP="008A461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80.85</w:t>
            </w:r>
          </w:p>
        </w:tc>
      </w:tr>
      <w:tr w:rsidR="008A461C" w:rsidRPr="008211B8" w14:paraId="763B4ACA" w14:textId="77777777" w:rsidTr="008A46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01B4535" w14:textId="4A815515" w:rsidR="008A461C" w:rsidRDefault="008A461C" w:rsidP="008A461C">
            <w:pPr>
              <w:spacing w:before="0" w:after="0" w:line="240" w:lineRule="auto"/>
              <w:jc w:val="center"/>
              <w:rPr>
                <w:rFonts w:ascii="Gill Sans MT" w:hAnsi="Gill Sans MT"/>
                <w:b w:val="0"/>
                <w:bCs w:val="0"/>
              </w:rPr>
            </w:pPr>
            <w:r>
              <w:rPr>
                <w:rFonts w:ascii="Gill Sans MT" w:hAnsi="Gill Sans MT"/>
                <w:b w:val="0"/>
                <w:bCs w:val="0"/>
              </w:rPr>
              <w:t>BASE</w:t>
            </w:r>
          </w:p>
        </w:tc>
        <w:tc>
          <w:tcPr>
            <w:tcW w:w="1011" w:type="dxa"/>
            <w:shd w:val="clear" w:color="auto" w:fill="A8D08D" w:themeFill="accent6" w:themeFillTint="99"/>
            <w:vAlign w:val="center"/>
          </w:tcPr>
          <w:p w14:paraId="10013289" w14:textId="0B2D682E" w:rsidR="008A461C" w:rsidRDefault="00C36BB1"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76.64</w:t>
            </w:r>
          </w:p>
        </w:tc>
        <w:tc>
          <w:tcPr>
            <w:tcW w:w="1011" w:type="dxa"/>
            <w:shd w:val="clear" w:color="auto" w:fill="A8D08D" w:themeFill="accent6" w:themeFillTint="99"/>
            <w:vAlign w:val="center"/>
          </w:tcPr>
          <w:p w14:paraId="4A757A17" w14:textId="1599ACBC" w:rsidR="008A461C" w:rsidRDefault="00C36BB1"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75.12</w:t>
            </w:r>
          </w:p>
        </w:tc>
        <w:tc>
          <w:tcPr>
            <w:tcW w:w="1011" w:type="dxa"/>
            <w:shd w:val="clear" w:color="auto" w:fill="A8D08D" w:themeFill="accent6" w:themeFillTint="99"/>
            <w:vAlign w:val="center"/>
          </w:tcPr>
          <w:p w14:paraId="30F46311" w14:textId="3B4D2765" w:rsidR="008A461C" w:rsidRDefault="00C36BB1"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76.41</w:t>
            </w:r>
          </w:p>
        </w:tc>
        <w:tc>
          <w:tcPr>
            <w:tcW w:w="1011" w:type="dxa"/>
            <w:shd w:val="clear" w:color="auto" w:fill="A8D08D" w:themeFill="accent6" w:themeFillTint="99"/>
            <w:vAlign w:val="center"/>
          </w:tcPr>
          <w:p w14:paraId="5E748818" w14:textId="6F0DC589" w:rsidR="008A461C" w:rsidRDefault="00C36BB1"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71.45</w:t>
            </w:r>
          </w:p>
        </w:tc>
        <w:tc>
          <w:tcPr>
            <w:tcW w:w="1011" w:type="dxa"/>
            <w:shd w:val="clear" w:color="auto" w:fill="FFD966" w:themeFill="accent4" w:themeFillTint="99"/>
            <w:vAlign w:val="center"/>
          </w:tcPr>
          <w:p w14:paraId="73D76806" w14:textId="45337A54" w:rsidR="008A461C" w:rsidRDefault="00C36BB1"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68.56</w:t>
            </w:r>
          </w:p>
        </w:tc>
        <w:tc>
          <w:tcPr>
            <w:tcW w:w="1011" w:type="dxa"/>
            <w:shd w:val="clear" w:color="auto" w:fill="FFD966" w:themeFill="accent4" w:themeFillTint="99"/>
            <w:vAlign w:val="center"/>
          </w:tcPr>
          <w:p w14:paraId="71D56CDE" w14:textId="22AE9741" w:rsidR="008A461C" w:rsidRDefault="00C36BB1"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62.33</w:t>
            </w:r>
          </w:p>
        </w:tc>
        <w:tc>
          <w:tcPr>
            <w:tcW w:w="1011" w:type="dxa"/>
            <w:shd w:val="clear" w:color="auto" w:fill="FFD966" w:themeFill="accent4" w:themeFillTint="99"/>
            <w:vAlign w:val="center"/>
          </w:tcPr>
          <w:p w14:paraId="713ACAEF" w14:textId="150E4D43" w:rsidR="008A461C" w:rsidRDefault="00C36BB1"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69.98</w:t>
            </w:r>
          </w:p>
        </w:tc>
        <w:tc>
          <w:tcPr>
            <w:tcW w:w="1011" w:type="dxa"/>
            <w:shd w:val="clear" w:color="auto" w:fill="FFD966" w:themeFill="accent4" w:themeFillTint="99"/>
            <w:vAlign w:val="center"/>
          </w:tcPr>
          <w:p w14:paraId="77881401" w14:textId="0F5F70FE" w:rsidR="008A461C" w:rsidRPr="008211B8" w:rsidRDefault="00C36BB1"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71.91</w:t>
            </w:r>
          </w:p>
        </w:tc>
        <w:tc>
          <w:tcPr>
            <w:tcW w:w="1011" w:type="dxa"/>
            <w:shd w:val="clear" w:color="auto" w:fill="F4B083" w:themeFill="accent2" w:themeFillTint="99"/>
            <w:vAlign w:val="center"/>
          </w:tcPr>
          <w:p w14:paraId="3A745AD5" w14:textId="0B230E74" w:rsidR="008A461C" w:rsidRDefault="00C36BB1"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72.97</w:t>
            </w:r>
          </w:p>
        </w:tc>
        <w:tc>
          <w:tcPr>
            <w:tcW w:w="1011" w:type="dxa"/>
            <w:shd w:val="clear" w:color="auto" w:fill="F4B083" w:themeFill="accent2" w:themeFillTint="99"/>
            <w:vAlign w:val="center"/>
          </w:tcPr>
          <w:p w14:paraId="1CCD6995" w14:textId="31560A5D" w:rsidR="008A461C" w:rsidRDefault="00C36BB1"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83.39</w:t>
            </w:r>
          </w:p>
        </w:tc>
        <w:tc>
          <w:tcPr>
            <w:tcW w:w="1011" w:type="dxa"/>
            <w:shd w:val="clear" w:color="auto" w:fill="F4B083" w:themeFill="accent2" w:themeFillTint="99"/>
            <w:vAlign w:val="center"/>
          </w:tcPr>
          <w:p w14:paraId="0F58488E" w14:textId="53B2938F" w:rsidR="008A461C" w:rsidRPr="008211B8" w:rsidRDefault="00C36BB1"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76.64</w:t>
            </w:r>
          </w:p>
        </w:tc>
        <w:tc>
          <w:tcPr>
            <w:tcW w:w="1011" w:type="dxa"/>
            <w:shd w:val="clear" w:color="auto" w:fill="F4B083" w:themeFill="accent2" w:themeFillTint="99"/>
            <w:vAlign w:val="center"/>
          </w:tcPr>
          <w:p w14:paraId="48E437BE" w14:textId="5FAB91E2" w:rsidR="008A461C" w:rsidRDefault="00C36BB1"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83.39</w:t>
            </w:r>
          </w:p>
        </w:tc>
      </w:tr>
      <w:tr w:rsidR="008A461C" w:rsidRPr="008211B8" w14:paraId="3F5E770F" w14:textId="77777777" w:rsidTr="00C36BB1">
        <w:trPr>
          <w:trHeight w:val="34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BB10E42" w14:textId="5EA9D8AD" w:rsidR="008A461C" w:rsidRDefault="008A461C" w:rsidP="008A461C">
            <w:pPr>
              <w:spacing w:before="0" w:after="0" w:line="240" w:lineRule="auto"/>
              <w:jc w:val="right"/>
              <w:rPr>
                <w:rFonts w:ascii="Gill Sans MT" w:hAnsi="Gill Sans MT"/>
                <w:b w:val="0"/>
                <w:bCs w:val="0"/>
              </w:rPr>
            </w:pPr>
            <w:r>
              <w:rPr>
                <w:rFonts w:ascii="Gill Sans MT" w:hAnsi="Gill Sans MT"/>
                <w:b w:val="0"/>
                <w:bCs w:val="0"/>
              </w:rPr>
              <w:t>TEST</w:t>
            </w:r>
          </w:p>
        </w:tc>
        <w:tc>
          <w:tcPr>
            <w:tcW w:w="1011" w:type="dxa"/>
            <w:shd w:val="clear" w:color="auto" w:fill="E2EFD9" w:themeFill="accent6" w:themeFillTint="33"/>
            <w:vAlign w:val="center"/>
          </w:tcPr>
          <w:p w14:paraId="28E6FAFB" w14:textId="016688C4" w:rsidR="008A461C"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64.68</w:t>
            </w:r>
          </w:p>
        </w:tc>
        <w:tc>
          <w:tcPr>
            <w:tcW w:w="1011" w:type="dxa"/>
            <w:shd w:val="clear" w:color="auto" w:fill="E2EFD9" w:themeFill="accent6" w:themeFillTint="33"/>
            <w:vAlign w:val="center"/>
          </w:tcPr>
          <w:p w14:paraId="141504A3" w14:textId="5559EEAC" w:rsidR="008A461C"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63.47</w:t>
            </w:r>
          </w:p>
        </w:tc>
        <w:tc>
          <w:tcPr>
            <w:tcW w:w="1011" w:type="dxa"/>
            <w:shd w:val="clear" w:color="auto" w:fill="E2EFD9" w:themeFill="accent6" w:themeFillTint="33"/>
            <w:vAlign w:val="center"/>
          </w:tcPr>
          <w:p w14:paraId="6F3E7C9A" w14:textId="104A68FE" w:rsidR="008A461C"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63.92</w:t>
            </w:r>
          </w:p>
        </w:tc>
        <w:tc>
          <w:tcPr>
            <w:tcW w:w="1011" w:type="dxa"/>
            <w:shd w:val="clear" w:color="auto" w:fill="E2EFD9" w:themeFill="accent6" w:themeFillTint="33"/>
            <w:vAlign w:val="center"/>
          </w:tcPr>
          <w:p w14:paraId="0F46DF93" w14:textId="2E3EEF3D" w:rsidR="008A461C"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61.07</w:t>
            </w:r>
          </w:p>
        </w:tc>
        <w:tc>
          <w:tcPr>
            <w:tcW w:w="1011" w:type="dxa"/>
            <w:shd w:val="clear" w:color="auto" w:fill="FFF2CC" w:themeFill="accent4" w:themeFillTint="33"/>
            <w:vAlign w:val="center"/>
          </w:tcPr>
          <w:p w14:paraId="1268A075" w14:textId="0DF98603" w:rsidR="008A461C"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58.29</w:t>
            </w:r>
          </w:p>
        </w:tc>
        <w:tc>
          <w:tcPr>
            <w:tcW w:w="1011" w:type="dxa"/>
            <w:shd w:val="clear" w:color="auto" w:fill="FFF2CC" w:themeFill="accent4" w:themeFillTint="33"/>
            <w:vAlign w:val="center"/>
          </w:tcPr>
          <w:p w14:paraId="5AD5A5CF" w14:textId="16C264ED" w:rsidR="008A461C"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54.18</w:t>
            </w:r>
          </w:p>
        </w:tc>
        <w:tc>
          <w:tcPr>
            <w:tcW w:w="1011" w:type="dxa"/>
            <w:shd w:val="clear" w:color="auto" w:fill="FFF2CC" w:themeFill="accent4" w:themeFillTint="33"/>
            <w:vAlign w:val="center"/>
          </w:tcPr>
          <w:p w14:paraId="327CE2F4" w14:textId="0566C99A" w:rsidR="008A461C"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59.18</w:t>
            </w:r>
          </w:p>
        </w:tc>
        <w:tc>
          <w:tcPr>
            <w:tcW w:w="1011" w:type="dxa"/>
            <w:shd w:val="clear" w:color="auto" w:fill="FFF2CC" w:themeFill="accent4" w:themeFillTint="33"/>
            <w:vAlign w:val="center"/>
          </w:tcPr>
          <w:p w14:paraId="7C1B7078" w14:textId="57564E1F" w:rsidR="008A461C" w:rsidRPr="008211B8"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63.35</w:t>
            </w:r>
          </w:p>
        </w:tc>
        <w:tc>
          <w:tcPr>
            <w:tcW w:w="1011" w:type="dxa"/>
            <w:shd w:val="clear" w:color="auto" w:fill="FBE4D5" w:themeFill="accent2" w:themeFillTint="33"/>
            <w:vAlign w:val="center"/>
          </w:tcPr>
          <w:p w14:paraId="43B6B6E3" w14:textId="3C1CDC54" w:rsidR="008A461C"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69.51</w:t>
            </w:r>
          </w:p>
        </w:tc>
        <w:tc>
          <w:tcPr>
            <w:tcW w:w="1011" w:type="dxa"/>
            <w:shd w:val="clear" w:color="auto" w:fill="FBE4D5" w:themeFill="accent2" w:themeFillTint="33"/>
            <w:vAlign w:val="center"/>
          </w:tcPr>
          <w:p w14:paraId="5392EFB7" w14:textId="3C8982D9" w:rsidR="008A461C"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80.18</w:t>
            </w:r>
          </w:p>
        </w:tc>
        <w:tc>
          <w:tcPr>
            <w:tcW w:w="1011" w:type="dxa"/>
            <w:shd w:val="clear" w:color="auto" w:fill="FBE4D5" w:themeFill="accent2" w:themeFillTint="33"/>
            <w:vAlign w:val="center"/>
          </w:tcPr>
          <w:p w14:paraId="470323BC" w14:textId="6C2118D0" w:rsidR="008A461C" w:rsidRPr="008211B8"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72.13</w:t>
            </w:r>
          </w:p>
        </w:tc>
        <w:tc>
          <w:tcPr>
            <w:tcW w:w="1011" w:type="dxa"/>
            <w:shd w:val="clear" w:color="auto" w:fill="FBE4D5" w:themeFill="accent2" w:themeFillTint="33"/>
            <w:vAlign w:val="center"/>
          </w:tcPr>
          <w:p w14:paraId="5E7EBE7C" w14:textId="54CC66C0" w:rsidR="008A461C"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80.18</w:t>
            </w:r>
          </w:p>
        </w:tc>
      </w:tr>
      <w:tr w:rsidR="008A461C" w:rsidRPr="008211B8" w14:paraId="6423AEB1" w14:textId="77777777" w:rsidTr="008A46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60A5663" w14:textId="34EA3AB7" w:rsidR="008A461C" w:rsidRDefault="008A461C" w:rsidP="008A461C">
            <w:pPr>
              <w:spacing w:before="0" w:after="0" w:line="240" w:lineRule="auto"/>
              <w:rPr>
                <w:rFonts w:ascii="Gill Sans MT" w:hAnsi="Gill Sans MT"/>
                <w:b w:val="0"/>
                <w:bCs w:val="0"/>
              </w:rPr>
            </w:pPr>
            <w:r>
              <w:rPr>
                <w:rFonts w:ascii="Gill Sans MT" w:hAnsi="Gill Sans MT"/>
                <w:b w:val="0"/>
                <w:bCs w:val="0"/>
              </w:rPr>
              <w:t>DI</w:t>
            </w:r>
          </w:p>
        </w:tc>
        <w:tc>
          <w:tcPr>
            <w:tcW w:w="1011" w:type="dxa"/>
            <w:shd w:val="clear" w:color="auto" w:fill="C5E0B3" w:themeFill="accent6" w:themeFillTint="66"/>
            <w:vAlign w:val="center"/>
          </w:tcPr>
          <w:p w14:paraId="2085549F" w14:textId="20C0EFB6" w:rsidR="008A461C" w:rsidRDefault="008A461C" w:rsidP="008A461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color w:val="767171" w:themeColor="background2" w:themeShade="80"/>
                <w:sz w:val="18"/>
                <w:szCs w:val="18"/>
              </w:rPr>
              <w:t>60.50</w:t>
            </w:r>
          </w:p>
        </w:tc>
        <w:tc>
          <w:tcPr>
            <w:tcW w:w="1011" w:type="dxa"/>
            <w:shd w:val="clear" w:color="auto" w:fill="C5E0B3" w:themeFill="accent6" w:themeFillTint="66"/>
            <w:vAlign w:val="center"/>
          </w:tcPr>
          <w:p w14:paraId="42E00D8B" w14:textId="24B8CBD6" w:rsidR="008A461C" w:rsidRDefault="008A461C" w:rsidP="008A461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color w:val="767171" w:themeColor="background2" w:themeShade="80"/>
                <w:sz w:val="18"/>
                <w:szCs w:val="18"/>
              </w:rPr>
              <w:t>59.20</w:t>
            </w:r>
          </w:p>
        </w:tc>
        <w:tc>
          <w:tcPr>
            <w:tcW w:w="1011" w:type="dxa"/>
            <w:shd w:val="clear" w:color="auto" w:fill="C5E0B3" w:themeFill="accent6" w:themeFillTint="66"/>
            <w:vAlign w:val="center"/>
          </w:tcPr>
          <w:p w14:paraId="4D851D36" w14:textId="60709A35" w:rsidR="008A461C" w:rsidRDefault="008A461C" w:rsidP="008A461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color w:val="767171" w:themeColor="background2" w:themeShade="80"/>
                <w:sz w:val="18"/>
                <w:szCs w:val="18"/>
              </w:rPr>
              <w:t>59.93</w:t>
            </w:r>
          </w:p>
        </w:tc>
        <w:tc>
          <w:tcPr>
            <w:tcW w:w="1011" w:type="dxa"/>
            <w:shd w:val="clear" w:color="auto" w:fill="C5E0B3" w:themeFill="accent6" w:themeFillTint="66"/>
            <w:vAlign w:val="center"/>
          </w:tcPr>
          <w:p w14:paraId="531476DD" w14:textId="5AD8D40F" w:rsidR="008A461C" w:rsidRDefault="008A461C" w:rsidP="008A461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color w:val="767171" w:themeColor="background2" w:themeShade="80"/>
                <w:sz w:val="18"/>
                <w:szCs w:val="18"/>
              </w:rPr>
              <w:t>54.96</w:t>
            </w:r>
          </w:p>
        </w:tc>
        <w:tc>
          <w:tcPr>
            <w:tcW w:w="1011" w:type="dxa"/>
            <w:shd w:val="clear" w:color="auto" w:fill="FFE599" w:themeFill="accent4" w:themeFillTint="66"/>
            <w:vAlign w:val="center"/>
          </w:tcPr>
          <w:p w14:paraId="07BEF51F" w14:textId="4B4C1BB7" w:rsidR="008A461C" w:rsidRDefault="008A461C" w:rsidP="008A461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color w:val="767171" w:themeColor="background2" w:themeShade="80"/>
                <w:sz w:val="18"/>
                <w:szCs w:val="18"/>
              </w:rPr>
              <w:t>51.44</w:t>
            </w:r>
          </w:p>
        </w:tc>
        <w:tc>
          <w:tcPr>
            <w:tcW w:w="1011" w:type="dxa"/>
            <w:shd w:val="clear" w:color="auto" w:fill="FFE599" w:themeFill="accent4" w:themeFillTint="66"/>
            <w:vAlign w:val="center"/>
          </w:tcPr>
          <w:p w14:paraId="255179AD" w14:textId="41D01445" w:rsidR="008A461C" w:rsidRDefault="008A461C" w:rsidP="008A461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color w:val="767171" w:themeColor="background2" w:themeShade="80"/>
                <w:sz w:val="18"/>
                <w:szCs w:val="18"/>
              </w:rPr>
              <w:t>43.77</w:t>
            </w:r>
          </w:p>
        </w:tc>
        <w:tc>
          <w:tcPr>
            <w:tcW w:w="1011" w:type="dxa"/>
            <w:shd w:val="clear" w:color="auto" w:fill="FFE599" w:themeFill="accent4" w:themeFillTint="66"/>
            <w:vAlign w:val="center"/>
          </w:tcPr>
          <w:p w14:paraId="75A0E8EE" w14:textId="66A67E45" w:rsidR="008A461C" w:rsidRDefault="008A461C" w:rsidP="008A461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color w:val="767171" w:themeColor="background2" w:themeShade="80"/>
                <w:sz w:val="18"/>
                <w:szCs w:val="18"/>
              </w:rPr>
              <w:t>52.82</w:t>
            </w:r>
          </w:p>
        </w:tc>
        <w:tc>
          <w:tcPr>
            <w:tcW w:w="1011" w:type="dxa"/>
            <w:shd w:val="clear" w:color="auto" w:fill="FFE599" w:themeFill="accent4" w:themeFillTint="66"/>
            <w:vAlign w:val="center"/>
          </w:tcPr>
          <w:p w14:paraId="3914F1EA" w14:textId="1C4709CA" w:rsidR="008A461C" w:rsidRPr="008211B8" w:rsidRDefault="008A461C" w:rsidP="008A461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color w:val="767171" w:themeColor="background2" w:themeShade="80"/>
                <w:sz w:val="18"/>
                <w:szCs w:val="18"/>
              </w:rPr>
              <w:t>56.71</w:t>
            </w:r>
          </w:p>
        </w:tc>
        <w:tc>
          <w:tcPr>
            <w:tcW w:w="1011" w:type="dxa"/>
            <w:shd w:val="clear" w:color="auto" w:fill="F7CAAC" w:themeFill="accent2" w:themeFillTint="66"/>
            <w:vAlign w:val="center"/>
          </w:tcPr>
          <w:p w14:paraId="739176CC" w14:textId="6C4F535C" w:rsidR="008A461C" w:rsidRDefault="008A461C" w:rsidP="008A461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color w:val="767171" w:themeColor="background2" w:themeShade="80"/>
                <w:sz w:val="18"/>
                <w:szCs w:val="18"/>
              </w:rPr>
              <w:t>65.11</w:t>
            </w:r>
          </w:p>
        </w:tc>
        <w:tc>
          <w:tcPr>
            <w:tcW w:w="1011" w:type="dxa"/>
            <w:shd w:val="clear" w:color="auto" w:fill="F7CAAC" w:themeFill="accent2" w:themeFillTint="66"/>
            <w:vAlign w:val="center"/>
          </w:tcPr>
          <w:p w14:paraId="2E875351" w14:textId="3A3DED7A" w:rsidR="008A461C" w:rsidRDefault="008A461C" w:rsidP="008A461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color w:val="767171" w:themeColor="background2" w:themeShade="80"/>
                <w:sz w:val="18"/>
                <w:szCs w:val="18"/>
              </w:rPr>
              <w:t>80.39</w:t>
            </w:r>
          </w:p>
        </w:tc>
        <w:tc>
          <w:tcPr>
            <w:tcW w:w="1011" w:type="dxa"/>
            <w:shd w:val="clear" w:color="auto" w:fill="F7CAAC" w:themeFill="accent2" w:themeFillTint="66"/>
            <w:vAlign w:val="center"/>
          </w:tcPr>
          <w:p w14:paraId="189410C9" w14:textId="74CC414D" w:rsidR="008A461C" w:rsidRPr="008211B8" w:rsidRDefault="008A461C" w:rsidP="008A461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color w:val="767171" w:themeColor="background2" w:themeShade="80"/>
                <w:sz w:val="18"/>
                <w:szCs w:val="18"/>
              </w:rPr>
              <w:t>67.83</w:t>
            </w:r>
          </w:p>
        </w:tc>
        <w:tc>
          <w:tcPr>
            <w:tcW w:w="1011" w:type="dxa"/>
            <w:shd w:val="clear" w:color="auto" w:fill="F7CAAC" w:themeFill="accent2" w:themeFillTint="66"/>
            <w:vAlign w:val="center"/>
          </w:tcPr>
          <w:p w14:paraId="0354B801" w14:textId="5AF21AF6" w:rsidR="008A461C" w:rsidRDefault="008A461C" w:rsidP="008A461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color w:val="767171" w:themeColor="background2" w:themeShade="80"/>
                <w:sz w:val="18"/>
                <w:szCs w:val="18"/>
              </w:rPr>
              <w:t>80.39</w:t>
            </w:r>
          </w:p>
        </w:tc>
      </w:tr>
      <w:tr w:rsidR="008A461C" w:rsidRPr="008211B8" w14:paraId="7DEEC09F" w14:textId="77777777" w:rsidTr="00C36BB1">
        <w:trPr>
          <w:trHeight w:val="34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7F19C36" w14:textId="18DB5E77" w:rsidR="008A461C" w:rsidRDefault="008A461C" w:rsidP="008A461C">
            <w:pPr>
              <w:spacing w:before="0" w:after="0" w:line="240" w:lineRule="auto"/>
              <w:jc w:val="right"/>
              <w:rPr>
                <w:rFonts w:ascii="Gill Sans MT" w:hAnsi="Gill Sans MT"/>
                <w:b w:val="0"/>
                <w:bCs w:val="0"/>
              </w:rPr>
            </w:pPr>
            <w:r>
              <w:rPr>
                <w:rFonts w:ascii="Gill Sans MT" w:hAnsi="Gill Sans MT"/>
                <w:b w:val="0"/>
                <w:bCs w:val="0"/>
              </w:rPr>
              <w:t>Control</w:t>
            </w:r>
          </w:p>
        </w:tc>
        <w:tc>
          <w:tcPr>
            <w:tcW w:w="1011" w:type="dxa"/>
            <w:shd w:val="clear" w:color="auto" w:fill="E2EFD9" w:themeFill="accent6" w:themeFillTint="33"/>
            <w:vAlign w:val="center"/>
          </w:tcPr>
          <w:p w14:paraId="0A17724E" w14:textId="40445A8B" w:rsidR="008A461C"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58.66</w:t>
            </w:r>
          </w:p>
        </w:tc>
        <w:tc>
          <w:tcPr>
            <w:tcW w:w="1011" w:type="dxa"/>
            <w:shd w:val="clear" w:color="auto" w:fill="E2EFD9" w:themeFill="accent6" w:themeFillTint="33"/>
            <w:vAlign w:val="center"/>
          </w:tcPr>
          <w:p w14:paraId="171CE3DA" w14:textId="466941A3" w:rsidR="008A461C"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57.46</w:t>
            </w:r>
          </w:p>
        </w:tc>
        <w:tc>
          <w:tcPr>
            <w:tcW w:w="1011" w:type="dxa"/>
            <w:shd w:val="clear" w:color="auto" w:fill="E2EFD9" w:themeFill="accent6" w:themeFillTint="33"/>
            <w:vAlign w:val="center"/>
          </w:tcPr>
          <w:p w14:paraId="568633FE" w14:textId="1D26BA76" w:rsidR="008A461C"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58.21</w:t>
            </w:r>
          </w:p>
        </w:tc>
        <w:tc>
          <w:tcPr>
            <w:tcW w:w="1011" w:type="dxa"/>
            <w:shd w:val="clear" w:color="auto" w:fill="E2EFD9" w:themeFill="accent6" w:themeFillTint="33"/>
            <w:vAlign w:val="center"/>
          </w:tcPr>
          <w:p w14:paraId="2E61742F" w14:textId="5D3F7FB7" w:rsidR="008A461C"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53.86</w:t>
            </w:r>
          </w:p>
        </w:tc>
        <w:tc>
          <w:tcPr>
            <w:tcW w:w="1011" w:type="dxa"/>
            <w:shd w:val="clear" w:color="auto" w:fill="FFF2CC" w:themeFill="accent4" w:themeFillTint="33"/>
            <w:vAlign w:val="center"/>
          </w:tcPr>
          <w:p w14:paraId="5F32CF5F" w14:textId="50DEABAA" w:rsidR="008A461C"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51.36</w:t>
            </w:r>
          </w:p>
        </w:tc>
        <w:tc>
          <w:tcPr>
            <w:tcW w:w="1011" w:type="dxa"/>
            <w:shd w:val="clear" w:color="auto" w:fill="FFF2CC" w:themeFill="accent4" w:themeFillTint="33"/>
            <w:vAlign w:val="center"/>
          </w:tcPr>
          <w:p w14:paraId="71EB97C2" w14:textId="6D38A531" w:rsidR="008A461C"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44.11</w:t>
            </w:r>
          </w:p>
        </w:tc>
        <w:tc>
          <w:tcPr>
            <w:tcW w:w="1011" w:type="dxa"/>
            <w:shd w:val="clear" w:color="auto" w:fill="FFF2CC" w:themeFill="accent4" w:themeFillTint="33"/>
            <w:vAlign w:val="center"/>
          </w:tcPr>
          <w:p w14:paraId="1B02A148" w14:textId="569FF0FA" w:rsidR="008A461C"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52.97</w:t>
            </w:r>
          </w:p>
        </w:tc>
        <w:tc>
          <w:tcPr>
            <w:tcW w:w="1011" w:type="dxa"/>
            <w:shd w:val="clear" w:color="auto" w:fill="FFF2CC" w:themeFill="accent4" w:themeFillTint="33"/>
            <w:vAlign w:val="center"/>
          </w:tcPr>
          <w:p w14:paraId="4EF1FC94" w14:textId="5698DF03" w:rsidR="008A461C" w:rsidRPr="008211B8"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56.62</w:t>
            </w:r>
          </w:p>
        </w:tc>
        <w:tc>
          <w:tcPr>
            <w:tcW w:w="1011" w:type="dxa"/>
            <w:shd w:val="clear" w:color="auto" w:fill="FBE4D5" w:themeFill="accent2" w:themeFillTint="33"/>
            <w:vAlign w:val="center"/>
          </w:tcPr>
          <w:p w14:paraId="3473A729" w14:textId="50087E60" w:rsidR="008A461C"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65.59</w:t>
            </w:r>
          </w:p>
        </w:tc>
        <w:tc>
          <w:tcPr>
            <w:tcW w:w="1011" w:type="dxa"/>
            <w:shd w:val="clear" w:color="auto" w:fill="FBE4D5" w:themeFill="accent2" w:themeFillTint="33"/>
            <w:vAlign w:val="center"/>
          </w:tcPr>
          <w:p w14:paraId="53E0B13A" w14:textId="0CAE3436" w:rsidR="008A461C"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81.82</w:t>
            </w:r>
          </w:p>
        </w:tc>
        <w:tc>
          <w:tcPr>
            <w:tcW w:w="1011" w:type="dxa"/>
            <w:shd w:val="clear" w:color="auto" w:fill="FBE4D5" w:themeFill="accent2" w:themeFillTint="33"/>
            <w:vAlign w:val="center"/>
          </w:tcPr>
          <w:p w14:paraId="6DFBD609" w14:textId="73F31F1F" w:rsidR="008A461C" w:rsidRPr="008211B8"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68.55</w:t>
            </w:r>
          </w:p>
        </w:tc>
        <w:tc>
          <w:tcPr>
            <w:tcW w:w="1011" w:type="dxa"/>
            <w:shd w:val="clear" w:color="auto" w:fill="FBE4D5" w:themeFill="accent2" w:themeFillTint="33"/>
            <w:vAlign w:val="center"/>
          </w:tcPr>
          <w:p w14:paraId="714EFA8C" w14:textId="15A7A9C8" w:rsidR="008A461C"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81.82</w:t>
            </w:r>
          </w:p>
        </w:tc>
      </w:tr>
    </w:tbl>
    <w:p w14:paraId="190C00E0" w14:textId="034BBECE" w:rsidR="00697BFF" w:rsidRDefault="00AB6DFA" w:rsidP="00990233">
      <w:pPr>
        <w:pStyle w:val="Tables"/>
      </w:pPr>
      <w:bookmarkStart w:id="238" w:name="_Toc57033208"/>
      <w:r>
        <w:t xml:space="preserve">Table </w:t>
      </w:r>
      <w:r w:rsidR="00997D83">
        <w:t>29</w:t>
      </w:r>
      <w:r>
        <w:t>:</w:t>
      </w:r>
      <w:r w:rsidR="003214C8">
        <w:tab/>
      </w:r>
      <w:r>
        <w:t>Comparison of ABC Factor Means for all ABC Scales; subgroups established from Dx20, and Dx16 Profiler Scales.</w:t>
      </w:r>
      <w:bookmarkEnd w:id="238"/>
    </w:p>
    <w:p w14:paraId="21BDCBBE" w14:textId="548DA0C6" w:rsidR="00AB6DFA" w:rsidRDefault="00AB6DFA" w:rsidP="00697BFF">
      <w:pPr>
        <w:sectPr w:rsidR="00AB6DFA" w:rsidSect="00A2665A">
          <w:type w:val="continuous"/>
          <w:pgSz w:w="16838" w:h="11906" w:orient="landscape"/>
          <w:pgMar w:top="964" w:right="720" w:bottom="1033" w:left="2421" w:header="708" w:footer="708" w:gutter="0"/>
          <w:cols w:space="708"/>
          <w:docGrid w:linePitch="360"/>
        </w:sectPr>
      </w:pPr>
    </w:p>
    <w:p w14:paraId="1009D60A" w14:textId="77777777" w:rsidR="00C649DB" w:rsidRDefault="00AB6DFA" w:rsidP="00C649DB">
      <w:pPr>
        <w:keepNext/>
      </w:pPr>
      <w:r>
        <w:rPr>
          <w:noProof/>
        </w:rPr>
        <w:lastRenderedPageBreak/>
        <w:drawing>
          <wp:inline distT="0" distB="0" distL="0" distR="0" wp14:anchorId="52C2229E" wp14:editId="4047E729">
            <wp:extent cx="5507990" cy="4025265"/>
            <wp:effectExtent l="0" t="0" r="3810" b="635"/>
            <wp:docPr id="23" name="Picture 23" descr="A picture containing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encil&#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507990" cy="4025265"/>
                    </a:xfrm>
                    <a:prstGeom prst="rect">
                      <a:avLst/>
                    </a:prstGeom>
                  </pic:spPr>
                </pic:pic>
              </a:graphicData>
            </a:graphic>
          </wp:inline>
        </w:drawing>
      </w:r>
    </w:p>
    <w:p w14:paraId="0448179B" w14:textId="3E672123" w:rsidR="00304DFF" w:rsidRDefault="00C649DB" w:rsidP="00304DFF">
      <w:pPr>
        <w:pStyle w:val="Subtitle"/>
        <w:rPr>
          <w:noProof/>
        </w:rPr>
      </w:pPr>
      <w:bookmarkStart w:id="239" w:name="_Toc56495240"/>
      <w:r>
        <w:t xml:space="preserve">Figure </w:t>
      </w:r>
      <w:r w:rsidR="00B568C9">
        <w:fldChar w:fldCharType="begin"/>
      </w:r>
      <w:r w:rsidR="00B568C9">
        <w:instrText xml:space="preserve"> SEQ Figure \* ARABIC </w:instrText>
      </w:r>
      <w:r w:rsidR="00B568C9">
        <w:fldChar w:fldCharType="separate"/>
      </w:r>
      <w:r w:rsidR="005F0AB9">
        <w:rPr>
          <w:noProof/>
        </w:rPr>
        <w:t>21</w:t>
      </w:r>
      <w:r w:rsidR="00B568C9">
        <w:rPr>
          <w:noProof/>
        </w:rPr>
        <w:fldChar w:fldCharType="end"/>
      </w:r>
      <w:r>
        <w:t>:</w:t>
      </w:r>
      <w:r w:rsidR="003214C8">
        <w:tab/>
      </w:r>
      <w:r>
        <w:t>Raw score differences in ABC factor means as defined by the Dx20 Profiler.</w:t>
      </w:r>
      <w:bookmarkEnd w:id="239"/>
      <w:r w:rsidR="00304DFF" w:rsidRPr="00304DFF">
        <w:rPr>
          <w:noProof/>
        </w:rPr>
        <w:t xml:space="preserve"> </w:t>
      </w:r>
    </w:p>
    <w:p w14:paraId="0BA83AE8" w14:textId="05B4CDCE" w:rsidR="00C649DB" w:rsidRDefault="00304DFF" w:rsidP="00304DFF">
      <w:pPr>
        <w:pStyle w:val="Subtitle"/>
        <w:rPr>
          <w:noProof/>
        </w:rPr>
      </w:pPr>
      <w:r>
        <w:rPr>
          <w:noProof/>
        </w:rPr>
        <w:drawing>
          <wp:inline distT="0" distB="0" distL="0" distR="0" wp14:anchorId="1A00D702" wp14:editId="217BD415">
            <wp:extent cx="5507990" cy="4025265"/>
            <wp:effectExtent l="0" t="0" r="3810" b="635"/>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ell phone&#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5507990" cy="4025265"/>
                    </a:xfrm>
                    <a:prstGeom prst="rect">
                      <a:avLst/>
                    </a:prstGeom>
                  </pic:spPr>
                </pic:pic>
              </a:graphicData>
            </a:graphic>
          </wp:inline>
        </w:drawing>
      </w:r>
    </w:p>
    <w:p w14:paraId="4FE89AC4" w14:textId="25D1A2B1" w:rsidR="00C649DB" w:rsidRDefault="00C649DB" w:rsidP="00C649DB">
      <w:pPr>
        <w:pStyle w:val="Subtitle"/>
      </w:pPr>
      <w:bookmarkStart w:id="240" w:name="_Toc56495241"/>
      <w:r>
        <w:t xml:space="preserve">Figure </w:t>
      </w:r>
      <w:r w:rsidR="00B568C9">
        <w:fldChar w:fldCharType="begin"/>
      </w:r>
      <w:r w:rsidR="00B568C9">
        <w:instrText xml:space="preserve"> SEQ Figure \* ARABIC </w:instrText>
      </w:r>
      <w:r w:rsidR="00B568C9">
        <w:fldChar w:fldCharType="separate"/>
      </w:r>
      <w:r w:rsidR="005F0AB9">
        <w:rPr>
          <w:noProof/>
        </w:rPr>
        <w:t>22</w:t>
      </w:r>
      <w:r w:rsidR="00B568C9">
        <w:rPr>
          <w:noProof/>
        </w:rPr>
        <w:fldChar w:fldCharType="end"/>
      </w:r>
      <w:r>
        <w:t>:</w:t>
      </w:r>
      <w:r w:rsidR="003214C8">
        <w:tab/>
      </w:r>
      <w:r>
        <w:t>Raw score differences in ABC factor means as defined by the Dx16 Profiler.</w:t>
      </w:r>
      <w:bookmarkEnd w:id="240"/>
    </w:p>
    <w:p w14:paraId="5B1D1169" w14:textId="77777777" w:rsidR="00C649DB" w:rsidRDefault="00C649DB" w:rsidP="00C649DB">
      <w:pPr>
        <w:pStyle w:val="Heading4"/>
      </w:pPr>
      <w:r>
        <w:lastRenderedPageBreak/>
        <w:t>ABC Factor Means effect size differences</w:t>
      </w:r>
    </w:p>
    <w:p w14:paraId="144BF0D8" w14:textId="4F835500" w:rsidR="00662363" w:rsidRDefault="00C649DB" w:rsidP="00DD37E1">
      <w:r w:rsidRPr="00C649DB">
        <w:rPr>
          <w:rFonts w:eastAsia="Times New Roman"/>
          <w:lang w:eastAsia="en-GB"/>
        </w:rPr>
        <w:t xml:space="preserve">Converting the ABC </w:t>
      </w:r>
      <w:r w:rsidR="00304DFF">
        <w:rPr>
          <w:rFonts w:eastAsia="Times New Roman"/>
          <w:lang w:eastAsia="en-GB"/>
        </w:rPr>
        <w:t>f</w:t>
      </w:r>
      <w:r w:rsidRPr="00C649DB">
        <w:rPr>
          <w:rFonts w:eastAsia="Times New Roman"/>
          <w:lang w:eastAsia="en-GB"/>
        </w:rPr>
        <w:t xml:space="preserve">actor </w:t>
      </w:r>
      <w:r w:rsidR="00304DFF">
        <w:rPr>
          <w:rFonts w:eastAsia="Times New Roman"/>
          <w:lang w:eastAsia="en-GB"/>
        </w:rPr>
        <w:t>m</w:t>
      </w:r>
      <w:r w:rsidRPr="00C649DB">
        <w:rPr>
          <w:rFonts w:eastAsia="Times New Roman"/>
          <w:lang w:eastAsia="en-GB"/>
        </w:rPr>
        <w:t>eans raw score differences into effect sizes to take account of sample sizes and standard deviations</w:t>
      </w:r>
      <w:r>
        <w:rPr>
          <w:rFonts w:eastAsia="Times New Roman"/>
          <w:lang w:eastAsia="en-GB"/>
        </w:rPr>
        <w:t xml:space="preserve"> </w:t>
      </w:r>
      <w:r w:rsidRPr="00C649DB">
        <w:rPr>
          <w:rFonts w:eastAsia="Times New Roman"/>
          <w:lang w:eastAsia="en-GB"/>
        </w:rPr>
        <w:t>presented a clearer</w:t>
      </w:r>
      <w:r>
        <w:rPr>
          <w:rFonts w:eastAsia="Times New Roman"/>
          <w:lang w:eastAsia="en-GB"/>
        </w:rPr>
        <w:t xml:space="preserve"> </w:t>
      </w:r>
      <w:r w:rsidRPr="00C649DB">
        <w:rPr>
          <w:rFonts w:eastAsia="Times New Roman"/>
          <w:lang w:eastAsia="en-GB"/>
        </w:rPr>
        <w:t>comparison between the Base, Test and Control subgroups, defined according to</w:t>
      </w:r>
      <w:r>
        <w:rPr>
          <w:rFonts w:eastAsia="Times New Roman"/>
          <w:lang w:eastAsia="en-GB"/>
        </w:rPr>
        <w:t xml:space="preserve"> </w:t>
      </w:r>
      <w:r w:rsidRPr="00C649DB">
        <w:rPr>
          <w:rFonts w:eastAsia="Times New Roman"/>
          <w:lang w:eastAsia="en-GB"/>
        </w:rPr>
        <w:t xml:space="preserve">Dx20 Profiler outputs (Table </w:t>
      </w:r>
      <w:r w:rsidR="00800CF2">
        <w:rPr>
          <w:rFonts w:eastAsia="Times New Roman"/>
          <w:lang w:eastAsia="en-GB"/>
        </w:rPr>
        <w:t>3</w:t>
      </w:r>
      <w:r w:rsidR="00997D83">
        <w:rPr>
          <w:rFonts w:eastAsia="Times New Roman"/>
          <w:lang w:eastAsia="en-GB"/>
        </w:rPr>
        <w:t>0</w:t>
      </w:r>
      <w:r w:rsidRPr="00C649DB">
        <w:rPr>
          <w:rFonts w:eastAsia="Times New Roman"/>
          <w:lang w:eastAsia="en-GB"/>
        </w:rPr>
        <w:t>), and</w:t>
      </w:r>
      <w:r>
        <w:rPr>
          <w:rFonts w:eastAsia="Times New Roman"/>
          <w:lang w:eastAsia="en-GB"/>
        </w:rPr>
        <w:t xml:space="preserve"> </w:t>
      </w:r>
      <w:r w:rsidRPr="00C649DB">
        <w:rPr>
          <w:rFonts w:eastAsia="Times New Roman"/>
          <w:lang w:eastAsia="en-GB"/>
        </w:rPr>
        <w:t xml:space="preserve">from the Dx16 Profiler (Table </w:t>
      </w:r>
      <w:r w:rsidR="00800CF2">
        <w:rPr>
          <w:rFonts w:eastAsia="Times New Roman"/>
          <w:lang w:eastAsia="en-GB"/>
        </w:rPr>
        <w:t>3</w:t>
      </w:r>
      <w:r w:rsidR="00997D83">
        <w:rPr>
          <w:rFonts w:eastAsia="Times New Roman"/>
          <w:lang w:eastAsia="en-GB"/>
        </w:rPr>
        <w:t>1</w:t>
      </w:r>
      <w:r w:rsidRPr="00C649DB">
        <w:rPr>
          <w:rFonts w:eastAsia="Times New Roman"/>
          <w:lang w:eastAsia="en-GB"/>
        </w:rPr>
        <w:t>). (Note that effect sizes between the non-dyslexic (ND) and dyslexic (DI) groups are identical as these are not dependent on which Dx Profiler was used; a</w:t>
      </w:r>
      <w:r w:rsidR="00AF38E7">
        <w:rPr>
          <w:rFonts w:eastAsia="Times New Roman"/>
          <w:lang w:eastAsia="en-GB"/>
        </w:rPr>
        <w:t>lso</w:t>
      </w:r>
      <w:r w:rsidRPr="00C649DB">
        <w:rPr>
          <w:rFonts w:eastAsia="Times New Roman"/>
          <w:lang w:eastAsia="en-GB"/>
        </w:rPr>
        <w:t>, that Factor 3, Organization and Planning, comprised the same ABC dimensions in both of the 17-item scales, ABC17, and ABC17-L, so for this factor, these effect sizes were the same). The greatest effect size</w:t>
      </w:r>
      <w:r>
        <w:rPr>
          <w:rFonts w:eastAsia="Times New Roman"/>
          <w:lang w:eastAsia="en-GB"/>
        </w:rPr>
        <w:t xml:space="preserve"> </w:t>
      </w:r>
      <w:r w:rsidRPr="00C649DB">
        <w:rPr>
          <w:rFonts w:eastAsia="Times New Roman"/>
          <w:lang w:eastAsia="en-GB"/>
        </w:rPr>
        <w:t>(</w:t>
      </w:r>
      <w:r w:rsidRPr="00C649DB">
        <w:rPr>
          <w:rFonts w:eastAsia="Times New Roman"/>
          <w:i/>
          <w:iCs/>
          <w:lang w:eastAsia="en-GB"/>
        </w:rPr>
        <w:t>g </w:t>
      </w:r>
      <w:r w:rsidRPr="00C649DB">
        <w:rPr>
          <w:rFonts w:eastAsia="Times New Roman"/>
          <w:lang w:eastAsia="en-GB"/>
        </w:rPr>
        <w:t>= 0.6689)</w:t>
      </w:r>
      <w:r>
        <w:rPr>
          <w:rFonts w:eastAsia="Times New Roman"/>
          <w:lang w:eastAsia="en-GB"/>
        </w:rPr>
        <w:t xml:space="preserve"> </w:t>
      </w:r>
      <w:r w:rsidRPr="00C649DB">
        <w:rPr>
          <w:rFonts w:eastAsia="Times New Roman"/>
          <w:lang w:eastAsia="en-GB"/>
        </w:rPr>
        <w:t>between the non-dyslexic and dyslexic groups emerged for Factor 2, Engagement, when their academic confidence was gauged from the ABC21-L, locall</w:t>
      </w:r>
      <w:r>
        <w:rPr>
          <w:rFonts w:eastAsia="Times New Roman"/>
          <w:lang w:eastAsia="en-GB"/>
        </w:rPr>
        <w:t xml:space="preserve">y </w:t>
      </w:r>
      <w:r w:rsidRPr="00C649DB">
        <w:rPr>
          <w:rFonts w:eastAsia="Times New Roman"/>
          <w:lang w:eastAsia="en-GB"/>
        </w:rPr>
        <w:t>derived scale, indicating a moderate-to-large effect size for the group of ABC dimensions that comprised this factor.</w:t>
      </w:r>
    </w:p>
    <w:tbl>
      <w:tblPr>
        <w:tblStyle w:val="GridTable5Dark-Accent1"/>
        <w:tblW w:w="0" w:type="auto"/>
        <w:tblLook w:val="04A0" w:firstRow="1" w:lastRow="0" w:firstColumn="1" w:lastColumn="0" w:noHBand="0" w:noVBand="1"/>
      </w:tblPr>
      <w:tblGrid>
        <w:gridCol w:w="1772"/>
        <w:gridCol w:w="1200"/>
        <w:gridCol w:w="1897"/>
        <w:gridCol w:w="1897"/>
        <w:gridCol w:w="1898"/>
      </w:tblGrid>
      <w:tr w:rsidR="00662363" w:rsidRPr="008211B8" w14:paraId="62A72A4E" w14:textId="77777777" w:rsidTr="00E02C59">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8664" w:type="dxa"/>
            <w:gridSpan w:val="5"/>
            <w:vAlign w:val="center"/>
          </w:tcPr>
          <w:p w14:paraId="1DE7DA1C" w14:textId="3DF5269C" w:rsidR="00662363" w:rsidRDefault="00662363" w:rsidP="00662363">
            <w:pPr>
              <w:spacing w:before="0" w:after="0" w:line="240" w:lineRule="auto"/>
              <w:jc w:val="center"/>
              <w:rPr>
                <w:rFonts w:ascii="Gill Sans MT" w:hAnsi="Gill Sans MT"/>
                <w:b w:val="0"/>
                <w:bCs w:val="0"/>
              </w:rPr>
            </w:pPr>
            <w:r>
              <w:rPr>
                <w:rFonts w:ascii="Gill Sans MT" w:hAnsi="Gill Sans MT"/>
                <w:b w:val="0"/>
                <w:bCs w:val="0"/>
              </w:rPr>
              <w:t>Effect sizes between groups, and between subgroups (as defined by the Dx 20 Profiler)</w:t>
            </w:r>
          </w:p>
        </w:tc>
      </w:tr>
      <w:tr w:rsidR="00662363" w:rsidRPr="008211B8" w14:paraId="32CB5067" w14:textId="4DC6387C" w:rsidTr="00662363">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772" w:type="dxa"/>
            <w:vAlign w:val="center"/>
          </w:tcPr>
          <w:p w14:paraId="40DD5B10" w14:textId="1A4F9BB7" w:rsidR="00662363" w:rsidRPr="008211B8" w:rsidRDefault="00662363" w:rsidP="00E02C59">
            <w:pPr>
              <w:spacing w:before="0" w:after="0" w:line="240" w:lineRule="auto"/>
              <w:jc w:val="center"/>
              <w:rPr>
                <w:rFonts w:ascii="Gill Sans MT" w:hAnsi="Gill Sans MT"/>
                <w:b w:val="0"/>
                <w:bCs w:val="0"/>
              </w:rPr>
            </w:pPr>
            <w:r>
              <w:rPr>
                <w:rFonts w:ascii="Gill Sans MT" w:hAnsi="Gill Sans MT"/>
                <w:b w:val="0"/>
                <w:bCs w:val="0"/>
              </w:rPr>
              <w:t>ABC Factor</w:t>
            </w:r>
          </w:p>
        </w:tc>
        <w:tc>
          <w:tcPr>
            <w:tcW w:w="1200" w:type="dxa"/>
            <w:shd w:val="clear" w:color="auto" w:fill="4472C4" w:themeFill="accent1"/>
            <w:vAlign w:val="center"/>
          </w:tcPr>
          <w:p w14:paraId="06FB55D9" w14:textId="59E3852F" w:rsidR="00662363" w:rsidRPr="00662363" w:rsidRDefault="00662363"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FFFFFF" w:themeColor="background1"/>
              </w:rPr>
            </w:pPr>
            <w:r w:rsidRPr="00662363">
              <w:rPr>
                <w:rFonts w:ascii="Gill Sans MT" w:hAnsi="Gill Sans MT"/>
                <w:color w:val="FFFFFF" w:themeColor="background1"/>
              </w:rPr>
              <w:t>ABC Scale</w:t>
            </w:r>
          </w:p>
        </w:tc>
        <w:tc>
          <w:tcPr>
            <w:tcW w:w="1897" w:type="dxa"/>
            <w:shd w:val="clear" w:color="auto" w:fill="4472C4" w:themeFill="accent1"/>
            <w:vAlign w:val="center"/>
          </w:tcPr>
          <w:p w14:paraId="647C458A" w14:textId="77777777" w:rsidR="00662363" w:rsidRPr="00662363" w:rsidRDefault="00662363"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FFFFFF" w:themeColor="background1"/>
              </w:rPr>
            </w:pPr>
            <w:r w:rsidRPr="00662363">
              <w:rPr>
                <w:rFonts w:ascii="Gill Sans MT" w:hAnsi="Gill Sans MT"/>
                <w:color w:val="FFFFFF" w:themeColor="background1"/>
              </w:rPr>
              <w:t>ND &lt;-&gt; DI</w:t>
            </w:r>
          </w:p>
          <w:p w14:paraId="731921EC" w14:textId="7BA42DC1" w:rsidR="00662363" w:rsidRPr="00662363" w:rsidRDefault="00662363"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FFFFFF" w:themeColor="background1"/>
              </w:rPr>
            </w:pPr>
            <w:r w:rsidRPr="00662363">
              <w:rPr>
                <w:rFonts w:ascii="Gill Sans MT" w:hAnsi="Gill Sans MT"/>
                <w:color w:val="FFFFFF" w:themeColor="background1"/>
              </w:rPr>
              <w:t>effect size</w:t>
            </w:r>
          </w:p>
        </w:tc>
        <w:tc>
          <w:tcPr>
            <w:tcW w:w="1897" w:type="dxa"/>
            <w:shd w:val="clear" w:color="auto" w:fill="4472C4" w:themeFill="accent1"/>
            <w:vAlign w:val="center"/>
          </w:tcPr>
          <w:p w14:paraId="26374E80" w14:textId="7C8DBCB6" w:rsidR="00662363" w:rsidRPr="00662363" w:rsidRDefault="00662363"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FFFFFF" w:themeColor="background1"/>
              </w:rPr>
            </w:pPr>
            <w:r w:rsidRPr="00662363">
              <w:rPr>
                <w:rFonts w:ascii="Gill Sans MT" w:hAnsi="Gill Sans MT"/>
                <w:color w:val="FFFFFF" w:themeColor="background1"/>
              </w:rPr>
              <w:t>Test &lt;-&gt; Base effect size</w:t>
            </w:r>
          </w:p>
        </w:tc>
        <w:tc>
          <w:tcPr>
            <w:tcW w:w="1898" w:type="dxa"/>
            <w:shd w:val="clear" w:color="auto" w:fill="4472C4" w:themeFill="accent1"/>
            <w:vAlign w:val="center"/>
          </w:tcPr>
          <w:p w14:paraId="4871CEFA" w14:textId="2A9A51B5" w:rsidR="00662363" w:rsidRPr="00662363" w:rsidRDefault="00662363"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FFFFFF" w:themeColor="background1"/>
              </w:rPr>
            </w:pPr>
            <w:r w:rsidRPr="00662363">
              <w:rPr>
                <w:rFonts w:ascii="Gill Sans MT" w:hAnsi="Gill Sans MT"/>
                <w:color w:val="FFFFFF" w:themeColor="background1"/>
              </w:rPr>
              <w:t>Test &lt;-&gt; Control effect size</w:t>
            </w:r>
          </w:p>
        </w:tc>
      </w:tr>
      <w:tr w:rsidR="00662363" w:rsidRPr="008211B8" w14:paraId="58BF92F3" w14:textId="511E362B" w:rsidTr="00662363">
        <w:trPr>
          <w:trHeight w:val="340"/>
        </w:trPr>
        <w:tc>
          <w:tcPr>
            <w:cnfStyle w:val="001000000000" w:firstRow="0" w:lastRow="0" w:firstColumn="1" w:lastColumn="0" w:oddVBand="0" w:evenVBand="0" w:oddHBand="0" w:evenHBand="0" w:firstRowFirstColumn="0" w:firstRowLastColumn="0" w:lastRowFirstColumn="0" w:lastRowLastColumn="0"/>
            <w:tcW w:w="1772" w:type="dxa"/>
            <w:vMerge w:val="restart"/>
            <w:vAlign w:val="center"/>
          </w:tcPr>
          <w:p w14:paraId="3CD85955" w14:textId="539FA272" w:rsidR="00662363" w:rsidRPr="008211B8" w:rsidRDefault="00662363" w:rsidP="00662363">
            <w:pPr>
              <w:spacing w:before="0" w:after="0" w:line="240" w:lineRule="auto"/>
              <w:jc w:val="center"/>
              <w:rPr>
                <w:rFonts w:ascii="Gill Sans MT" w:hAnsi="Gill Sans MT"/>
                <w:b w:val="0"/>
                <w:bCs w:val="0"/>
              </w:rPr>
            </w:pPr>
            <w:r>
              <w:rPr>
                <w:rFonts w:ascii="Gill Sans MT" w:hAnsi="Gill Sans MT"/>
                <w:b w:val="0"/>
                <w:bCs w:val="0"/>
              </w:rPr>
              <w:t>F1: Study Efficacy</w:t>
            </w:r>
          </w:p>
        </w:tc>
        <w:tc>
          <w:tcPr>
            <w:tcW w:w="1200" w:type="dxa"/>
            <w:vAlign w:val="center"/>
          </w:tcPr>
          <w:p w14:paraId="52E7EA85" w14:textId="753CB923" w:rsidR="00662363" w:rsidRPr="008211B8" w:rsidRDefault="00662363"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ABC24</w:t>
            </w:r>
          </w:p>
        </w:tc>
        <w:tc>
          <w:tcPr>
            <w:tcW w:w="1897" w:type="dxa"/>
            <w:vAlign w:val="center"/>
          </w:tcPr>
          <w:p w14:paraId="261CC596" w14:textId="7E920FCD" w:rsidR="00662363" w:rsidRPr="008211B8" w:rsidRDefault="00776230" w:rsidP="0066236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0.5470</w:t>
            </w:r>
          </w:p>
        </w:tc>
        <w:tc>
          <w:tcPr>
            <w:tcW w:w="1897" w:type="dxa"/>
            <w:vAlign w:val="center"/>
          </w:tcPr>
          <w:p w14:paraId="38D4DA18" w14:textId="37B2BC52" w:rsidR="00662363" w:rsidRPr="008211B8" w:rsidRDefault="00776230" w:rsidP="0066236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1.0703</w:t>
            </w:r>
          </w:p>
        </w:tc>
        <w:tc>
          <w:tcPr>
            <w:tcW w:w="1898" w:type="dxa"/>
            <w:vAlign w:val="center"/>
          </w:tcPr>
          <w:p w14:paraId="0F10F84D" w14:textId="2EB56C6B" w:rsidR="00662363" w:rsidRDefault="00776230" w:rsidP="0066236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0.3473</w:t>
            </w:r>
          </w:p>
        </w:tc>
      </w:tr>
      <w:tr w:rsidR="00662363" w:rsidRPr="008211B8" w14:paraId="75F2E660" w14:textId="19124BEF" w:rsidTr="006623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14:paraId="48755203" w14:textId="695A15CE" w:rsidR="00662363" w:rsidRPr="008211B8" w:rsidRDefault="00662363" w:rsidP="00662363">
            <w:pPr>
              <w:spacing w:before="0" w:after="0" w:line="240" w:lineRule="auto"/>
              <w:jc w:val="center"/>
              <w:rPr>
                <w:rFonts w:ascii="Gill Sans MT" w:hAnsi="Gill Sans MT"/>
                <w:b w:val="0"/>
                <w:bCs w:val="0"/>
              </w:rPr>
            </w:pPr>
          </w:p>
        </w:tc>
        <w:tc>
          <w:tcPr>
            <w:tcW w:w="1200" w:type="dxa"/>
            <w:vAlign w:val="center"/>
          </w:tcPr>
          <w:p w14:paraId="57D81FD8" w14:textId="597CCF13" w:rsidR="00662363" w:rsidRPr="008211B8" w:rsidRDefault="00662363"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ABC17</w:t>
            </w:r>
          </w:p>
        </w:tc>
        <w:tc>
          <w:tcPr>
            <w:tcW w:w="1897" w:type="dxa"/>
            <w:vAlign w:val="center"/>
          </w:tcPr>
          <w:p w14:paraId="194A8ABF" w14:textId="18E390C2" w:rsidR="00662363" w:rsidRPr="008211B8" w:rsidRDefault="00776230"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0.5443</w:t>
            </w:r>
          </w:p>
        </w:tc>
        <w:tc>
          <w:tcPr>
            <w:tcW w:w="1897" w:type="dxa"/>
            <w:vAlign w:val="center"/>
          </w:tcPr>
          <w:p w14:paraId="5BB97CBB" w14:textId="26C3466A" w:rsidR="00662363" w:rsidRPr="008211B8" w:rsidRDefault="00776230"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1.0325</w:t>
            </w:r>
          </w:p>
        </w:tc>
        <w:tc>
          <w:tcPr>
            <w:tcW w:w="1898" w:type="dxa"/>
            <w:vAlign w:val="center"/>
          </w:tcPr>
          <w:p w14:paraId="6DF7DEDF" w14:textId="4C0A31A3" w:rsidR="00662363" w:rsidRDefault="00776230"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0.3020</w:t>
            </w:r>
          </w:p>
        </w:tc>
      </w:tr>
      <w:tr w:rsidR="00662363" w:rsidRPr="008211B8" w14:paraId="28418EC6" w14:textId="592E030D" w:rsidTr="00662363">
        <w:trPr>
          <w:trHeight w:val="34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14:paraId="027CE5EB" w14:textId="40036D9B" w:rsidR="00662363" w:rsidRPr="008211B8" w:rsidRDefault="00662363" w:rsidP="00662363">
            <w:pPr>
              <w:spacing w:before="0" w:after="0" w:line="240" w:lineRule="auto"/>
              <w:jc w:val="center"/>
              <w:rPr>
                <w:rFonts w:ascii="Gill Sans MT" w:hAnsi="Gill Sans MT"/>
                <w:b w:val="0"/>
                <w:bCs w:val="0"/>
              </w:rPr>
            </w:pPr>
          </w:p>
        </w:tc>
        <w:tc>
          <w:tcPr>
            <w:tcW w:w="1200" w:type="dxa"/>
            <w:vAlign w:val="center"/>
          </w:tcPr>
          <w:p w14:paraId="0C8D115C" w14:textId="76D0F52E" w:rsidR="00662363" w:rsidRPr="008211B8" w:rsidRDefault="00662363"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ABC21-L</w:t>
            </w:r>
          </w:p>
        </w:tc>
        <w:tc>
          <w:tcPr>
            <w:tcW w:w="1897" w:type="dxa"/>
            <w:vAlign w:val="center"/>
          </w:tcPr>
          <w:p w14:paraId="1ADFB79D" w14:textId="4EBF2232" w:rsidR="00662363" w:rsidRPr="008211B8" w:rsidRDefault="00776230" w:rsidP="0066236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0.5437</w:t>
            </w:r>
          </w:p>
        </w:tc>
        <w:tc>
          <w:tcPr>
            <w:tcW w:w="1897" w:type="dxa"/>
            <w:vAlign w:val="center"/>
          </w:tcPr>
          <w:p w14:paraId="1393CD8E" w14:textId="5D14D68E" w:rsidR="00662363" w:rsidRPr="008211B8" w:rsidRDefault="00776230" w:rsidP="0066236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1.0586</w:t>
            </w:r>
          </w:p>
        </w:tc>
        <w:tc>
          <w:tcPr>
            <w:tcW w:w="1898" w:type="dxa"/>
            <w:vAlign w:val="center"/>
          </w:tcPr>
          <w:p w14:paraId="5537F53E" w14:textId="627DC483" w:rsidR="00662363" w:rsidRDefault="00776230" w:rsidP="0066236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0.3091</w:t>
            </w:r>
          </w:p>
        </w:tc>
      </w:tr>
      <w:tr w:rsidR="00662363" w:rsidRPr="008211B8" w14:paraId="2F9B88EA" w14:textId="5EC83E76" w:rsidTr="006623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14:paraId="760F1D60" w14:textId="5E90B11E" w:rsidR="00662363" w:rsidRPr="008211B8" w:rsidRDefault="00662363" w:rsidP="00662363">
            <w:pPr>
              <w:spacing w:before="0" w:after="0" w:line="240" w:lineRule="auto"/>
              <w:jc w:val="center"/>
              <w:rPr>
                <w:rFonts w:ascii="Gill Sans MT" w:hAnsi="Gill Sans MT"/>
                <w:b w:val="0"/>
                <w:bCs w:val="0"/>
              </w:rPr>
            </w:pPr>
          </w:p>
        </w:tc>
        <w:tc>
          <w:tcPr>
            <w:tcW w:w="1200" w:type="dxa"/>
            <w:vAlign w:val="center"/>
          </w:tcPr>
          <w:p w14:paraId="3CE6F375" w14:textId="30FF305C" w:rsidR="00662363" w:rsidRPr="008211B8" w:rsidRDefault="00662363"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ABC17-L</w:t>
            </w:r>
          </w:p>
        </w:tc>
        <w:tc>
          <w:tcPr>
            <w:tcW w:w="1897" w:type="dxa"/>
            <w:vAlign w:val="center"/>
          </w:tcPr>
          <w:p w14:paraId="0316B03E" w14:textId="3DDB5FA3" w:rsidR="00662363" w:rsidRPr="008211B8" w:rsidRDefault="000718EA"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0.6401</w:t>
            </w:r>
          </w:p>
        </w:tc>
        <w:tc>
          <w:tcPr>
            <w:tcW w:w="1897" w:type="dxa"/>
            <w:vAlign w:val="center"/>
          </w:tcPr>
          <w:p w14:paraId="1873DABF" w14:textId="5585170D" w:rsidR="00662363" w:rsidRPr="008211B8" w:rsidRDefault="000718EA"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1.0741</w:t>
            </w:r>
          </w:p>
        </w:tc>
        <w:tc>
          <w:tcPr>
            <w:tcW w:w="1898" w:type="dxa"/>
            <w:vAlign w:val="center"/>
          </w:tcPr>
          <w:p w14:paraId="43112722" w14:textId="264F1CA1" w:rsidR="00662363" w:rsidRDefault="000718EA"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0.2942</w:t>
            </w:r>
          </w:p>
        </w:tc>
      </w:tr>
      <w:tr w:rsidR="00662363" w:rsidRPr="008211B8" w14:paraId="261F789D" w14:textId="04171D45" w:rsidTr="00662363">
        <w:trPr>
          <w:trHeight w:val="340"/>
        </w:trPr>
        <w:tc>
          <w:tcPr>
            <w:cnfStyle w:val="001000000000" w:firstRow="0" w:lastRow="0" w:firstColumn="1" w:lastColumn="0" w:oddVBand="0" w:evenVBand="0" w:oddHBand="0" w:evenHBand="0" w:firstRowFirstColumn="0" w:firstRowLastColumn="0" w:lastRowFirstColumn="0" w:lastRowLastColumn="0"/>
            <w:tcW w:w="1772" w:type="dxa"/>
            <w:vMerge w:val="restart"/>
            <w:vAlign w:val="center"/>
          </w:tcPr>
          <w:p w14:paraId="7CE033F9" w14:textId="784CD628" w:rsidR="00662363" w:rsidRPr="008211B8" w:rsidRDefault="00662363" w:rsidP="00662363">
            <w:pPr>
              <w:spacing w:before="0" w:after="0" w:line="240" w:lineRule="auto"/>
              <w:jc w:val="center"/>
              <w:rPr>
                <w:rFonts w:ascii="Gill Sans MT" w:hAnsi="Gill Sans MT"/>
                <w:b w:val="0"/>
                <w:bCs w:val="0"/>
              </w:rPr>
            </w:pPr>
            <w:r>
              <w:rPr>
                <w:rFonts w:ascii="Gill Sans MT" w:hAnsi="Gill Sans MT"/>
                <w:b w:val="0"/>
                <w:bCs w:val="0"/>
              </w:rPr>
              <w:t>F2: Engagement</w:t>
            </w:r>
          </w:p>
        </w:tc>
        <w:tc>
          <w:tcPr>
            <w:tcW w:w="1200" w:type="dxa"/>
            <w:vAlign w:val="center"/>
          </w:tcPr>
          <w:p w14:paraId="4036D5C9" w14:textId="0A24870A" w:rsidR="00662363" w:rsidRPr="008211B8" w:rsidRDefault="00662363" w:rsidP="0066236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ABC24</w:t>
            </w:r>
          </w:p>
        </w:tc>
        <w:tc>
          <w:tcPr>
            <w:tcW w:w="1897" w:type="dxa"/>
            <w:vAlign w:val="center"/>
          </w:tcPr>
          <w:p w14:paraId="12B46374" w14:textId="35D98A5E" w:rsidR="00662363" w:rsidRPr="008211B8" w:rsidRDefault="000718EA" w:rsidP="0066236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0.6452</w:t>
            </w:r>
          </w:p>
        </w:tc>
        <w:tc>
          <w:tcPr>
            <w:tcW w:w="1897" w:type="dxa"/>
            <w:vAlign w:val="center"/>
          </w:tcPr>
          <w:p w14:paraId="2D580E0B" w14:textId="1F38E242" w:rsidR="00662363" w:rsidRPr="008211B8" w:rsidRDefault="000718EA" w:rsidP="0066236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0.9785</w:t>
            </w:r>
          </w:p>
        </w:tc>
        <w:tc>
          <w:tcPr>
            <w:tcW w:w="1898" w:type="dxa"/>
            <w:vAlign w:val="center"/>
          </w:tcPr>
          <w:p w14:paraId="05CA9259" w14:textId="0DA3A228" w:rsidR="00662363" w:rsidRDefault="000718EA" w:rsidP="0066236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0.2908</w:t>
            </w:r>
          </w:p>
        </w:tc>
      </w:tr>
      <w:tr w:rsidR="00662363" w:rsidRPr="008211B8" w14:paraId="3C4CE69C" w14:textId="475D0F3D" w:rsidTr="006623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14:paraId="2062F6DA" w14:textId="272F79EB" w:rsidR="00662363" w:rsidRPr="008211B8" w:rsidRDefault="00662363" w:rsidP="00662363">
            <w:pPr>
              <w:spacing w:before="0" w:after="0" w:line="240" w:lineRule="auto"/>
              <w:jc w:val="center"/>
              <w:rPr>
                <w:rFonts w:ascii="Gill Sans MT" w:hAnsi="Gill Sans MT"/>
                <w:b w:val="0"/>
                <w:bCs w:val="0"/>
              </w:rPr>
            </w:pPr>
          </w:p>
        </w:tc>
        <w:tc>
          <w:tcPr>
            <w:tcW w:w="1200" w:type="dxa"/>
            <w:vAlign w:val="center"/>
          </w:tcPr>
          <w:p w14:paraId="0FA4DE8B" w14:textId="365D3412" w:rsidR="00662363" w:rsidRPr="008211B8" w:rsidRDefault="00662363"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ABC17</w:t>
            </w:r>
          </w:p>
        </w:tc>
        <w:tc>
          <w:tcPr>
            <w:tcW w:w="1897" w:type="dxa"/>
            <w:vAlign w:val="center"/>
          </w:tcPr>
          <w:p w14:paraId="42FA29B3" w14:textId="4AA858EC" w:rsidR="00662363" w:rsidRPr="008211B8" w:rsidRDefault="000718EA"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0.6427</w:t>
            </w:r>
          </w:p>
        </w:tc>
        <w:tc>
          <w:tcPr>
            <w:tcW w:w="1897" w:type="dxa"/>
            <w:vAlign w:val="center"/>
          </w:tcPr>
          <w:p w14:paraId="121EA281" w14:textId="710ED410" w:rsidR="00662363" w:rsidRPr="008211B8" w:rsidRDefault="000718EA"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0.8472</w:t>
            </w:r>
          </w:p>
        </w:tc>
        <w:tc>
          <w:tcPr>
            <w:tcW w:w="1898" w:type="dxa"/>
            <w:vAlign w:val="center"/>
          </w:tcPr>
          <w:p w14:paraId="581E65C2" w14:textId="5DD3AB16" w:rsidR="00662363" w:rsidRDefault="000718EA"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0.3848</w:t>
            </w:r>
          </w:p>
        </w:tc>
      </w:tr>
      <w:tr w:rsidR="00662363" w:rsidRPr="008211B8" w14:paraId="10351D26" w14:textId="2132B213" w:rsidTr="00662363">
        <w:trPr>
          <w:trHeight w:val="34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14:paraId="6D37CDE7" w14:textId="6364E83D" w:rsidR="00662363" w:rsidRPr="008211B8" w:rsidRDefault="00662363" w:rsidP="00662363">
            <w:pPr>
              <w:spacing w:before="0" w:after="0" w:line="240" w:lineRule="auto"/>
              <w:jc w:val="center"/>
              <w:rPr>
                <w:rFonts w:ascii="Gill Sans MT" w:hAnsi="Gill Sans MT"/>
                <w:b w:val="0"/>
                <w:bCs w:val="0"/>
              </w:rPr>
            </w:pPr>
          </w:p>
        </w:tc>
        <w:tc>
          <w:tcPr>
            <w:tcW w:w="1200" w:type="dxa"/>
            <w:vAlign w:val="center"/>
          </w:tcPr>
          <w:p w14:paraId="10E311F4" w14:textId="30A35B2D" w:rsidR="00662363" w:rsidRPr="008211B8" w:rsidRDefault="00662363" w:rsidP="0066236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ABC21-L</w:t>
            </w:r>
          </w:p>
        </w:tc>
        <w:tc>
          <w:tcPr>
            <w:tcW w:w="1897" w:type="dxa"/>
            <w:vAlign w:val="center"/>
          </w:tcPr>
          <w:p w14:paraId="72347B01" w14:textId="78044876" w:rsidR="00662363" w:rsidRPr="008211B8" w:rsidRDefault="000718EA" w:rsidP="0066236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0.6689</w:t>
            </w:r>
          </w:p>
        </w:tc>
        <w:tc>
          <w:tcPr>
            <w:tcW w:w="1897" w:type="dxa"/>
            <w:vAlign w:val="center"/>
          </w:tcPr>
          <w:p w14:paraId="625FCC7F" w14:textId="53BDFBFD" w:rsidR="00662363" w:rsidRPr="008211B8" w:rsidRDefault="000718EA" w:rsidP="0066236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1.0446</w:t>
            </w:r>
          </w:p>
        </w:tc>
        <w:tc>
          <w:tcPr>
            <w:tcW w:w="1898" w:type="dxa"/>
            <w:vAlign w:val="center"/>
          </w:tcPr>
          <w:p w14:paraId="30E63A47" w14:textId="7F20CD00" w:rsidR="00662363" w:rsidRDefault="000718EA" w:rsidP="0066236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0.3013</w:t>
            </w:r>
          </w:p>
        </w:tc>
      </w:tr>
      <w:tr w:rsidR="00662363" w:rsidRPr="008211B8" w14:paraId="0907669C" w14:textId="0B567230" w:rsidTr="006623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14:paraId="60ABFBB1" w14:textId="312E4B05" w:rsidR="00662363" w:rsidRPr="008211B8" w:rsidRDefault="00662363" w:rsidP="00662363">
            <w:pPr>
              <w:spacing w:before="0" w:after="0" w:line="240" w:lineRule="auto"/>
              <w:jc w:val="center"/>
              <w:rPr>
                <w:rFonts w:ascii="Gill Sans MT" w:hAnsi="Gill Sans MT"/>
                <w:b w:val="0"/>
                <w:bCs w:val="0"/>
              </w:rPr>
            </w:pPr>
          </w:p>
        </w:tc>
        <w:tc>
          <w:tcPr>
            <w:tcW w:w="1200" w:type="dxa"/>
            <w:vAlign w:val="center"/>
          </w:tcPr>
          <w:p w14:paraId="40E39AAE" w14:textId="05ED8F83" w:rsidR="00662363" w:rsidRPr="008211B8" w:rsidRDefault="00662363"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ABC17-L</w:t>
            </w:r>
          </w:p>
        </w:tc>
        <w:tc>
          <w:tcPr>
            <w:tcW w:w="1897" w:type="dxa"/>
            <w:vAlign w:val="center"/>
          </w:tcPr>
          <w:p w14:paraId="76B1D5D5" w14:textId="0929835D" w:rsidR="00662363" w:rsidRPr="008211B8" w:rsidRDefault="000718EA"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0.5379</w:t>
            </w:r>
          </w:p>
        </w:tc>
        <w:tc>
          <w:tcPr>
            <w:tcW w:w="1897" w:type="dxa"/>
            <w:vAlign w:val="center"/>
          </w:tcPr>
          <w:p w14:paraId="1F65374E" w14:textId="7BD449EA" w:rsidR="00662363" w:rsidRPr="008211B8" w:rsidRDefault="000718EA"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0.7560</w:t>
            </w:r>
          </w:p>
        </w:tc>
        <w:tc>
          <w:tcPr>
            <w:tcW w:w="1898" w:type="dxa"/>
            <w:vAlign w:val="center"/>
          </w:tcPr>
          <w:p w14:paraId="0E675E5A" w14:textId="25221340" w:rsidR="00662363" w:rsidRDefault="000718EA"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0.2653</w:t>
            </w:r>
          </w:p>
        </w:tc>
      </w:tr>
      <w:tr w:rsidR="00662363" w:rsidRPr="008211B8" w14:paraId="3C03F39A" w14:textId="2E9B5E0A" w:rsidTr="00662363">
        <w:trPr>
          <w:trHeight w:val="340"/>
        </w:trPr>
        <w:tc>
          <w:tcPr>
            <w:cnfStyle w:val="001000000000" w:firstRow="0" w:lastRow="0" w:firstColumn="1" w:lastColumn="0" w:oddVBand="0" w:evenVBand="0" w:oddHBand="0" w:evenHBand="0" w:firstRowFirstColumn="0" w:firstRowLastColumn="0" w:lastRowFirstColumn="0" w:lastRowLastColumn="0"/>
            <w:tcW w:w="1772" w:type="dxa"/>
            <w:vMerge w:val="restart"/>
            <w:vAlign w:val="center"/>
          </w:tcPr>
          <w:p w14:paraId="7BF815C8" w14:textId="3474CDCA" w:rsidR="00662363" w:rsidRDefault="00662363" w:rsidP="00662363">
            <w:pPr>
              <w:spacing w:before="0" w:after="0" w:line="240" w:lineRule="auto"/>
              <w:jc w:val="center"/>
              <w:rPr>
                <w:rFonts w:ascii="Gill Sans MT" w:hAnsi="Gill Sans MT"/>
                <w:b w:val="0"/>
                <w:bCs w:val="0"/>
              </w:rPr>
            </w:pPr>
            <w:r>
              <w:rPr>
                <w:rFonts w:ascii="Gill Sans MT" w:hAnsi="Gill Sans MT"/>
                <w:b w:val="0"/>
                <w:bCs w:val="0"/>
              </w:rPr>
              <w:t>F3: Organization and Planning</w:t>
            </w:r>
          </w:p>
        </w:tc>
        <w:tc>
          <w:tcPr>
            <w:tcW w:w="1200" w:type="dxa"/>
            <w:vAlign w:val="center"/>
          </w:tcPr>
          <w:p w14:paraId="776892D0" w14:textId="5A1D8D5E" w:rsidR="00662363" w:rsidRPr="008211B8" w:rsidRDefault="00662363" w:rsidP="0066236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ABC24</w:t>
            </w:r>
          </w:p>
        </w:tc>
        <w:tc>
          <w:tcPr>
            <w:tcW w:w="1897" w:type="dxa"/>
            <w:vAlign w:val="center"/>
          </w:tcPr>
          <w:p w14:paraId="01D52AD4" w14:textId="09028464" w:rsidR="00662363" w:rsidRPr="008211B8" w:rsidRDefault="000718EA" w:rsidP="0066236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0.2576</w:t>
            </w:r>
          </w:p>
        </w:tc>
        <w:tc>
          <w:tcPr>
            <w:tcW w:w="1897" w:type="dxa"/>
            <w:vAlign w:val="center"/>
          </w:tcPr>
          <w:p w14:paraId="69D8C4D4" w14:textId="35A4E5CC" w:rsidR="00662363" w:rsidRPr="008211B8" w:rsidRDefault="000718EA" w:rsidP="0066236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0.4205</w:t>
            </w:r>
          </w:p>
        </w:tc>
        <w:tc>
          <w:tcPr>
            <w:tcW w:w="1898" w:type="dxa"/>
            <w:vAlign w:val="center"/>
          </w:tcPr>
          <w:p w14:paraId="19737A14" w14:textId="049E8CC1" w:rsidR="00662363" w:rsidRDefault="000718EA" w:rsidP="0066236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-0.1092</w:t>
            </w:r>
          </w:p>
        </w:tc>
      </w:tr>
      <w:tr w:rsidR="00662363" w:rsidRPr="008211B8" w14:paraId="1F51E40A" w14:textId="7E1F1FF0" w:rsidTr="006623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14:paraId="7EA52BB7" w14:textId="3345398D" w:rsidR="00662363" w:rsidRDefault="00662363" w:rsidP="00662363">
            <w:pPr>
              <w:spacing w:before="0" w:after="0" w:line="240" w:lineRule="auto"/>
              <w:jc w:val="center"/>
              <w:rPr>
                <w:rFonts w:ascii="Gill Sans MT" w:hAnsi="Gill Sans MT"/>
                <w:b w:val="0"/>
                <w:bCs w:val="0"/>
              </w:rPr>
            </w:pPr>
          </w:p>
        </w:tc>
        <w:tc>
          <w:tcPr>
            <w:tcW w:w="1200" w:type="dxa"/>
            <w:vAlign w:val="center"/>
          </w:tcPr>
          <w:p w14:paraId="218B0458" w14:textId="3AC5252B" w:rsidR="00662363" w:rsidRPr="008211B8" w:rsidRDefault="00662363"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ABC17</w:t>
            </w:r>
          </w:p>
        </w:tc>
        <w:tc>
          <w:tcPr>
            <w:tcW w:w="1897" w:type="dxa"/>
            <w:vAlign w:val="center"/>
          </w:tcPr>
          <w:p w14:paraId="6D3256FE" w14:textId="1C473E92" w:rsidR="00662363" w:rsidRPr="008211B8" w:rsidRDefault="000718EA"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0.0234</w:t>
            </w:r>
          </w:p>
        </w:tc>
        <w:tc>
          <w:tcPr>
            <w:tcW w:w="1897" w:type="dxa"/>
            <w:vAlign w:val="center"/>
          </w:tcPr>
          <w:p w14:paraId="3F4042DD" w14:textId="7F641125" w:rsidR="00662363" w:rsidRPr="008211B8" w:rsidRDefault="000718EA"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0.0435</w:t>
            </w:r>
          </w:p>
        </w:tc>
        <w:tc>
          <w:tcPr>
            <w:tcW w:w="1898" w:type="dxa"/>
            <w:vAlign w:val="center"/>
          </w:tcPr>
          <w:p w14:paraId="0B192FC1" w14:textId="06D04324" w:rsidR="00662363" w:rsidRDefault="000718EA"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-0.4121</w:t>
            </w:r>
          </w:p>
        </w:tc>
      </w:tr>
      <w:tr w:rsidR="00662363" w:rsidRPr="008211B8" w14:paraId="10AF7A39" w14:textId="6049B270" w:rsidTr="00662363">
        <w:trPr>
          <w:trHeight w:val="34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14:paraId="23A61F9D" w14:textId="01BD9731" w:rsidR="00662363" w:rsidRDefault="00662363" w:rsidP="00662363">
            <w:pPr>
              <w:spacing w:before="0" w:after="0" w:line="240" w:lineRule="auto"/>
              <w:jc w:val="center"/>
              <w:rPr>
                <w:rFonts w:ascii="Gill Sans MT" w:hAnsi="Gill Sans MT"/>
                <w:b w:val="0"/>
                <w:bCs w:val="0"/>
              </w:rPr>
            </w:pPr>
          </w:p>
        </w:tc>
        <w:tc>
          <w:tcPr>
            <w:tcW w:w="1200" w:type="dxa"/>
            <w:vAlign w:val="center"/>
          </w:tcPr>
          <w:p w14:paraId="3717848E" w14:textId="382FAA2E" w:rsidR="00662363" w:rsidRPr="008211B8" w:rsidRDefault="00662363" w:rsidP="0066236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ABC21-L</w:t>
            </w:r>
          </w:p>
        </w:tc>
        <w:tc>
          <w:tcPr>
            <w:tcW w:w="1897" w:type="dxa"/>
            <w:vAlign w:val="center"/>
          </w:tcPr>
          <w:p w14:paraId="1C45101C" w14:textId="02EE3752" w:rsidR="00662363" w:rsidRPr="008211B8" w:rsidRDefault="000718EA" w:rsidP="0066236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0.2081</w:t>
            </w:r>
          </w:p>
        </w:tc>
        <w:tc>
          <w:tcPr>
            <w:tcW w:w="1897" w:type="dxa"/>
            <w:vAlign w:val="center"/>
          </w:tcPr>
          <w:p w14:paraId="2087B174" w14:textId="5319F8F0" w:rsidR="00662363" w:rsidRPr="008211B8" w:rsidRDefault="000718EA" w:rsidP="0066236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0.3564</w:t>
            </w:r>
          </w:p>
        </w:tc>
        <w:tc>
          <w:tcPr>
            <w:tcW w:w="1898" w:type="dxa"/>
            <w:vAlign w:val="center"/>
          </w:tcPr>
          <w:p w14:paraId="064F5CCA" w14:textId="66FD5AD4" w:rsidR="00662363" w:rsidRDefault="000718EA" w:rsidP="0066236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-0.1287</w:t>
            </w:r>
          </w:p>
        </w:tc>
      </w:tr>
      <w:tr w:rsidR="00662363" w:rsidRPr="008211B8" w14:paraId="588E66F1" w14:textId="77777777" w:rsidTr="006623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14:paraId="4DAD40A4" w14:textId="77777777" w:rsidR="00662363" w:rsidRDefault="00662363" w:rsidP="00662363">
            <w:pPr>
              <w:spacing w:before="0" w:after="0" w:line="240" w:lineRule="auto"/>
              <w:jc w:val="center"/>
              <w:rPr>
                <w:rFonts w:ascii="Gill Sans MT" w:hAnsi="Gill Sans MT"/>
                <w:b w:val="0"/>
                <w:bCs w:val="0"/>
              </w:rPr>
            </w:pPr>
          </w:p>
        </w:tc>
        <w:tc>
          <w:tcPr>
            <w:tcW w:w="1200" w:type="dxa"/>
            <w:vAlign w:val="center"/>
          </w:tcPr>
          <w:p w14:paraId="0A95C180" w14:textId="17A06C19" w:rsidR="00662363" w:rsidRPr="008211B8" w:rsidRDefault="00662363"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ABC17-L</w:t>
            </w:r>
          </w:p>
        </w:tc>
        <w:tc>
          <w:tcPr>
            <w:tcW w:w="1897" w:type="dxa"/>
            <w:vAlign w:val="center"/>
          </w:tcPr>
          <w:p w14:paraId="2E2D10E3" w14:textId="2C04B513" w:rsidR="00662363" w:rsidRPr="008211B8" w:rsidRDefault="000718EA"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0.0234</w:t>
            </w:r>
          </w:p>
        </w:tc>
        <w:tc>
          <w:tcPr>
            <w:tcW w:w="1897" w:type="dxa"/>
            <w:vAlign w:val="center"/>
          </w:tcPr>
          <w:p w14:paraId="11ED8F96" w14:textId="004E9CC3" w:rsidR="00662363" w:rsidRPr="008211B8" w:rsidRDefault="000718EA"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0.0435</w:t>
            </w:r>
          </w:p>
        </w:tc>
        <w:tc>
          <w:tcPr>
            <w:tcW w:w="1898" w:type="dxa"/>
            <w:vAlign w:val="center"/>
          </w:tcPr>
          <w:p w14:paraId="61AA2D08" w14:textId="3E5FA697" w:rsidR="00662363" w:rsidRDefault="000718EA"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-0.4121</w:t>
            </w:r>
          </w:p>
        </w:tc>
      </w:tr>
    </w:tbl>
    <w:p w14:paraId="3D1E7E11" w14:textId="28E379A3" w:rsidR="000718EA" w:rsidRDefault="000718EA" w:rsidP="00990233">
      <w:pPr>
        <w:pStyle w:val="Tables"/>
      </w:pPr>
      <w:bookmarkStart w:id="241" w:name="_Toc57033209"/>
      <w:r>
        <w:t xml:space="preserve">Table </w:t>
      </w:r>
      <w:r w:rsidR="00800CF2">
        <w:t>3</w:t>
      </w:r>
      <w:r w:rsidR="00997D83">
        <w:t>0</w:t>
      </w:r>
      <w:r>
        <w:t>:</w:t>
      </w:r>
      <w:r w:rsidR="003214C8">
        <w:tab/>
      </w:r>
      <w:r>
        <w:t>Effect size difference in ABC factor means between non-dyslexic (ND) and dyslexic (DI) groups, and between subgroups as defined from the Dx20 Profiler.</w:t>
      </w:r>
      <w:bookmarkEnd w:id="241"/>
    </w:p>
    <w:p w14:paraId="691549BC" w14:textId="46C29474" w:rsidR="00800CF2" w:rsidRPr="00800CF2" w:rsidRDefault="00800CF2" w:rsidP="00800CF2">
      <w:pPr>
        <w:spacing w:before="0" w:after="160" w:line="259" w:lineRule="auto"/>
        <w:rPr>
          <w:rFonts w:ascii="Gill Sans MT" w:eastAsiaTheme="majorEastAsia" w:hAnsi="Gill Sans MT" w:cstheme="majorBidi"/>
          <w:sz w:val="18"/>
        </w:rPr>
      </w:pPr>
      <w:r>
        <w:br w:type="page"/>
      </w:r>
    </w:p>
    <w:tbl>
      <w:tblPr>
        <w:tblStyle w:val="GridTable5Dark-Accent1"/>
        <w:tblW w:w="0" w:type="auto"/>
        <w:tblLook w:val="04A0" w:firstRow="1" w:lastRow="0" w:firstColumn="1" w:lastColumn="0" w:noHBand="0" w:noVBand="1"/>
      </w:tblPr>
      <w:tblGrid>
        <w:gridCol w:w="1772"/>
        <w:gridCol w:w="1200"/>
        <w:gridCol w:w="1897"/>
        <w:gridCol w:w="1897"/>
        <w:gridCol w:w="1898"/>
      </w:tblGrid>
      <w:tr w:rsidR="000718EA" w:rsidRPr="008211B8" w14:paraId="27FF2519" w14:textId="77777777" w:rsidTr="00E02C59">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8664" w:type="dxa"/>
            <w:gridSpan w:val="5"/>
            <w:vAlign w:val="center"/>
          </w:tcPr>
          <w:p w14:paraId="4B376A8B" w14:textId="2B193D67" w:rsidR="000718EA" w:rsidRDefault="000718EA" w:rsidP="00E02C59">
            <w:pPr>
              <w:spacing w:before="0" w:after="0" w:line="240" w:lineRule="auto"/>
              <w:jc w:val="center"/>
              <w:rPr>
                <w:rFonts w:ascii="Gill Sans MT" w:hAnsi="Gill Sans MT"/>
                <w:b w:val="0"/>
                <w:bCs w:val="0"/>
              </w:rPr>
            </w:pPr>
            <w:r>
              <w:rPr>
                <w:rFonts w:ascii="Gill Sans MT" w:hAnsi="Gill Sans MT"/>
                <w:b w:val="0"/>
                <w:bCs w:val="0"/>
              </w:rPr>
              <w:lastRenderedPageBreak/>
              <w:t>Effect sizes between groups, and between subgroups (as defined by the Dx 16 Profiler)</w:t>
            </w:r>
          </w:p>
        </w:tc>
      </w:tr>
      <w:tr w:rsidR="000718EA" w:rsidRPr="008211B8" w14:paraId="4C1E8A3E" w14:textId="77777777" w:rsidTr="00E02C5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772" w:type="dxa"/>
            <w:vAlign w:val="center"/>
          </w:tcPr>
          <w:p w14:paraId="023EF851" w14:textId="77777777" w:rsidR="000718EA" w:rsidRPr="008211B8" w:rsidRDefault="000718EA" w:rsidP="00E02C59">
            <w:pPr>
              <w:spacing w:before="0" w:after="0" w:line="240" w:lineRule="auto"/>
              <w:jc w:val="center"/>
              <w:rPr>
                <w:rFonts w:ascii="Gill Sans MT" w:hAnsi="Gill Sans MT"/>
                <w:b w:val="0"/>
                <w:bCs w:val="0"/>
              </w:rPr>
            </w:pPr>
            <w:r>
              <w:rPr>
                <w:rFonts w:ascii="Gill Sans MT" w:hAnsi="Gill Sans MT"/>
                <w:b w:val="0"/>
                <w:bCs w:val="0"/>
              </w:rPr>
              <w:t>ABC Factor</w:t>
            </w:r>
          </w:p>
        </w:tc>
        <w:tc>
          <w:tcPr>
            <w:tcW w:w="1200" w:type="dxa"/>
            <w:shd w:val="clear" w:color="auto" w:fill="4472C4" w:themeFill="accent1"/>
            <w:vAlign w:val="center"/>
          </w:tcPr>
          <w:p w14:paraId="44C8F2CC" w14:textId="77777777" w:rsidR="000718EA" w:rsidRPr="00662363"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FFFFFF" w:themeColor="background1"/>
              </w:rPr>
            </w:pPr>
            <w:r w:rsidRPr="00662363">
              <w:rPr>
                <w:rFonts w:ascii="Gill Sans MT" w:hAnsi="Gill Sans MT"/>
                <w:color w:val="FFFFFF" w:themeColor="background1"/>
              </w:rPr>
              <w:t>ABC Scale</w:t>
            </w:r>
          </w:p>
        </w:tc>
        <w:tc>
          <w:tcPr>
            <w:tcW w:w="1897" w:type="dxa"/>
            <w:shd w:val="clear" w:color="auto" w:fill="4472C4" w:themeFill="accent1"/>
            <w:vAlign w:val="center"/>
          </w:tcPr>
          <w:p w14:paraId="6C175EDD" w14:textId="77777777" w:rsidR="000718EA" w:rsidRPr="00662363"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FFFFFF" w:themeColor="background1"/>
              </w:rPr>
            </w:pPr>
            <w:r w:rsidRPr="00662363">
              <w:rPr>
                <w:rFonts w:ascii="Gill Sans MT" w:hAnsi="Gill Sans MT"/>
                <w:color w:val="FFFFFF" w:themeColor="background1"/>
              </w:rPr>
              <w:t>ND &lt;-&gt; DI</w:t>
            </w:r>
          </w:p>
          <w:p w14:paraId="579F4490" w14:textId="77777777" w:rsidR="000718EA" w:rsidRPr="00662363"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FFFFFF" w:themeColor="background1"/>
              </w:rPr>
            </w:pPr>
            <w:r w:rsidRPr="00662363">
              <w:rPr>
                <w:rFonts w:ascii="Gill Sans MT" w:hAnsi="Gill Sans MT"/>
                <w:color w:val="FFFFFF" w:themeColor="background1"/>
              </w:rPr>
              <w:t>effect size</w:t>
            </w:r>
          </w:p>
        </w:tc>
        <w:tc>
          <w:tcPr>
            <w:tcW w:w="1897" w:type="dxa"/>
            <w:shd w:val="clear" w:color="auto" w:fill="4472C4" w:themeFill="accent1"/>
            <w:vAlign w:val="center"/>
          </w:tcPr>
          <w:p w14:paraId="141620F5" w14:textId="77777777" w:rsidR="000718EA" w:rsidRPr="00662363"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FFFFFF" w:themeColor="background1"/>
              </w:rPr>
            </w:pPr>
            <w:r w:rsidRPr="00662363">
              <w:rPr>
                <w:rFonts w:ascii="Gill Sans MT" w:hAnsi="Gill Sans MT"/>
                <w:color w:val="FFFFFF" w:themeColor="background1"/>
              </w:rPr>
              <w:t>Test &lt;-&gt; Base effect size</w:t>
            </w:r>
          </w:p>
        </w:tc>
        <w:tc>
          <w:tcPr>
            <w:tcW w:w="1898" w:type="dxa"/>
            <w:shd w:val="clear" w:color="auto" w:fill="4472C4" w:themeFill="accent1"/>
            <w:vAlign w:val="center"/>
          </w:tcPr>
          <w:p w14:paraId="2FFB05E9" w14:textId="77777777" w:rsidR="000718EA" w:rsidRPr="00662363"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FFFFFF" w:themeColor="background1"/>
              </w:rPr>
            </w:pPr>
            <w:r w:rsidRPr="00662363">
              <w:rPr>
                <w:rFonts w:ascii="Gill Sans MT" w:hAnsi="Gill Sans MT"/>
                <w:color w:val="FFFFFF" w:themeColor="background1"/>
              </w:rPr>
              <w:t>Test &lt;-&gt; Control effect size</w:t>
            </w:r>
          </w:p>
        </w:tc>
      </w:tr>
      <w:tr w:rsidR="000718EA" w:rsidRPr="008211B8" w14:paraId="4F87CA30" w14:textId="77777777" w:rsidTr="00E02C59">
        <w:trPr>
          <w:trHeight w:val="340"/>
        </w:trPr>
        <w:tc>
          <w:tcPr>
            <w:cnfStyle w:val="001000000000" w:firstRow="0" w:lastRow="0" w:firstColumn="1" w:lastColumn="0" w:oddVBand="0" w:evenVBand="0" w:oddHBand="0" w:evenHBand="0" w:firstRowFirstColumn="0" w:firstRowLastColumn="0" w:lastRowFirstColumn="0" w:lastRowLastColumn="0"/>
            <w:tcW w:w="1772" w:type="dxa"/>
            <w:vMerge w:val="restart"/>
            <w:vAlign w:val="center"/>
          </w:tcPr>
          <w:p w14:paraId="4AAA5B1E" w14:textId="77777777" w:rsidR="000718EA" w:rsidRPr="008211B8" w:rsidRDefault="000718EA" w:rsidP="00E02C59">
            <w:pPr>
              <w:spacing w:before="0" w:after="0" w:line="240" w:lineRule="auto"/>
              <w:jc w:val="center"/>
              <w:rPr>
                <w:rFonts w:ascii="Gill Sans MT" w:hAnsi="Gill Sans MT"/>
                <w:b w:val="0"/>
                <w:bCs w:val="0"/>
              </w:rPr>
            </w:pPr>
            <w:r>
              <w:rPr>
                <w:rFonts w:ascii="Gill Sans MT" w:hAnsi="Gill Sans MT"/>
                <w:b w:val="0"/>
                <w:bCs w:val="0"/>
              </w:rPr>
              <w:t>F1: Study Efficacy</w:t>
            </w:r>
          </w:p>
        </w:tc>
        <w:tc>
          <w:tcPr>
            <w:tcW w:w="1200" w:type="dxa"/>
            <w:vAlign w:val="center"/>
          </w:tcPr>
          <w:p w14:paraId="04766BA3" w14:textId="77777777" w:rsidR="000718EA" w:rsidRPr="008211B8"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ABC24</w:t>
            </w:r>
          </w:p>
        </w:tc>
        <w:tc>
          <w:tcPr>
            <w:tcW w:w="1897" w:type="dxa"/>
            <w:vAlign w:val="center"/>
          </w:tcPr>
          <w:p w14:paraId="4E0C089B" w14:textId="550CA137" w:rsidR="000718EA" w:rsidRPr="008211B8"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0.5470</w:t>
            </w:r>
          </w:p>
        </w:tc>
        <w:tc>
          <w:tcPr>
            <w:tcW w:w="1897" w:type="dxa"/>
            <w:vAlign w:val="center"/>
          </w:tcPr>
          <w:p w14:paraId="3EB30B95" w14:textId="70C2DE14" w:rsidR="000718EA" w:rsidRPr="008211B8"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1/0997</w:t>
            </w:r>
          </w:p>
        </w:tc>
        <w:tc>
          <w:tcPr>
            <w:tcW w:w="1898" w:type="dxa"/>
            <w:vAlign w:val="center"/>
          </w:tcPr>
          <w:p w14:paraId="75D034D5" w14:textId="74376F6A" w:rsidR="000718EA"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0.3273</w:t>
            </w:r>
          </w:p>
        </w:tc>
      </w:tr>
      <w:tr w:rsidR="000718EA" w:rsidRPr="008211B8" w14:paraId="07B89596" w14:textId="77777777" w:rsidTr="00E02C5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14:paraId="27646230" w14:textId="77777777" w:rsidR="000718EA" w:rsidRPr="008211B8" w:rsidRDefault="000718EA" w:rsidP="00E02C59">
            <w:pPr>
              <w:spacing w:before="0" w:after="0" w:line="240" w:lineRule="auto"/>
              <w:jc w:val="center"/>
              <w:rPr>
                <w:rFonts w:ascii="Gill Sans MT" w:hAnsi="Gill Sans MT"/>
                <w:b w:val="0"/>
                <w:bCs w:val="0"/>
              </w:rPr>
            </w:pPr>
          </w:p>
        </w:tc>
        <w:tc>
          <w:tcPr>
            <w:tcW w:w="1200" w:type="dxa"/>
            <w:vAlign w:val="center"/>
          </w:tcPr>
          <w:p w14:paraId="5117A19B" w14:textId="77777777" w:rsidR="000718EA" w:rsidRPr="008211B8"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ABC17</w:t>
            </w:r>
          </w:p>
        </w:tc>
        <w:tc>
          <w:tcPr>
            <w:tcW w:w="1897" w:type="dxa"/>
            <w:vAlign w:val="center"/>
          </w:tcPr>
          <w:p w14:paraId="129F8CCE" w14:textId="7588C823" w:rsidR="000718EA" w:rsidRPr="008211B8"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0.5443</w:t>
            </w:r>
          </w:p>
        </w:tc>
        <w:tc>
          <w:tcPr>
            <w:tcW w:w="1897" w:type="dxa"/>
            <w:vAlign w:val="center"/>
          </w:tcPr>
          <w:p w14:paraId="0DE977FB" w14:textId="526019DE" w:rsidR="000718EA" w:rsidRPr="008211B8"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1.0641</w:t>
            </w:r>
          </w:p>
        </w:tc>
        <w:tc>
          <w:tcPr>
            <w:tcW w:w="1898" w:type="dxa"/>
            <w:vAlign w:val="center"/>
          </w:tcPr>
          <w:p w14:paraId="50AC940D" w14:textId="36185753" w:rsidR="000718EA"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0.3231</w:t>
            </w:r>
          </w:p>
        </w:tc>
      </w:tr>
      <w:tr w:rsidR="000718EA" w:rsidRPr="008211B8" w14:paraId="73923065" w14:textId="77777777" w:rsidTr="00E02C59">
        <w:trPr>
          <w:trHeight w:val="34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14:paraId="4F4F4D52" w14:textId="77777777" w:rsidR="000718EA" w:rsidRPr="008211B8" w:rsidRDefault="000718EA" w:rsidP="00E02C59">
            <w:pPr>
              <w:spacing w:before="0" w:after="0" w:line="240" w:lineRule="auto"/>
              <w:jc w:val="center"/>
              <w:rPr>
                <w:rFonts w:ascii="Gill Sans MT" w:hAnsi="Gill Sans MT"/>
                <w:b w:val="0"/>
                <w:bCs w:val="0"/>
              </w:rPr>
            </w:pPr>
          </w:p>
        </w:tc>
        <w:tc>
          <w:tcPr>
            <w:tcW w:w="1200" w:type="dxa"/>
            <w:vAlign w:val="center"/>
          </w:tcPr>
          <w:p w14:paraId="3056149D" w14:textId="77777777" w:rsidR="000718EA" w:rsidRPr="008211B8"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ABC21-L</w:t>
            </w:r>
          </w:p>
        </w:tc>
        <w:tc>
          <w:tcPr>
            <w:tcW w:w="1897" w:type="dxa"/>
            <w:vAlign w:val="center"/>
          </w:tcPr>
          <w:p w14:paraId="71618BFF" w14:textId="67A33F2D" w:rsidR="000718EA" w:rsidRPr="008211B8"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0.5437</w:t>
            </w:r>
          </w:p>
        </w:tc>
        <w:tc>
          <w:tcPr>
            <w:tcW w:w="1897" w:type="dxa"/>
            <w:vAlign w:val="center"/>
          </w:tcPr>
          <w:p w14:paraId="4644A1FC" w14:textId="68362078" w:rsidR="000718EA" w:rsidRPr="008211B8"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1.1021</w:t>
            </w:r>
          </w:p>
        </w:tc>
        <w:tc>
          <w:tcPr>
            <w:tcW w:w="1898" w:type="dxa"/>
            <w:vAlign w:val="center"/>
          </w:tcPr>
          <w:p w14:paraId="52070D33" w14:textId="54511E0B" w:rsidR="000718EA"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0.3099</w:t>
            </w:r>
          </w:p>
        </w:tc>
      </w:tr>
      <w:tr w:rsidR="000718EA" w:rsidRPr="008211B8" w14:paraId="3E03D96E" w14:textId="77777777" w:rsidTr="00E02C5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14:paraId="4A578ED9" w14:textId="77777777" w:rsidR="000718EA" w:rsidRPr="008211B8" w:rsidRDefault="000718EA" w:rsidP="00E02C59">
            <w:pPr>
              <w:spacing w:before="0" w:after="0" w:line="240" w:lineRule="auto"/>
              <w:jc w:val="center"/>
              <w:rPr>
                <w:rFonts w:ascii="Gill Sans MT" w:hAnsi="Gill Sans MT"/>
                <w:b w:val="0"/>
                <w:bCs w:val="0"/>
              </w:rPr>
            </w:pPr>
          </w:p>
        </w:tc>
        <w:tc>
          <w:tcPr>
            <w:tcW w:w="1200" w:type="dxa"/>
            <w:vAlign w:val="center"/>
          </w:tcPr>
          <w:p w14:paraId="1C0FF3ED" w14:textId="77777777" w:rsidR="000718EA" w:rsidRPr="008211B8"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ABC17-L</w:t>
            </w:r>
          </w:p>
        </w:tc>
        <w:tc>
          <w:tcPr>
            <w:tcW w:w="1897" w:type="dxa"/>
            <w:vAlign w:val="center"/>
          </w:tcPr>
          <w:p w14:paraId="2B0D7D73" w14:textId="4E776F0C" w:rsidR="000718EA" w:rsidRPr="008211B8"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0.6041</w:t>
            </w:r>
          </w:p>
        </w:tc>
        <w:tc>
          <w:tcPr>
            <w:tcW w:w="1897" w:type="dxa"/>
            <w:vAlign w:val="center"/>
          </w:tcPr>
          <w:p w14:paraId="3F928104" w14:textId="0C69B433" w:rsidR="000718EA" w:rsidRPr="008211B8"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1.1099</w:t>
            </w:r>
          </w:p>
        </w:tc>
        <w:tc>
          <w:tcPr>
            <w:tcW w:w="1898" w:type="dxa"/>
            <w:vAlign w:val="center"/>
          </w:tcPr>
          <w:p w14:paraId="726C40EE" w14:textId="48EC7B91" w:rsidR="000718EA"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0.4184</w:t>
            </w:r>
          </w:p>
        </w:tc>
      </w:tr>
      <w:tr w:rsidR="000718EA" w:rsidRPr="008211B8" w14:paraId="7EF8720B" w14:textId="77777777" w:rsidTr="00E02C59">
        <w:trPr>
          <w:trHeight w:val="340"/>
        </w:trPr>
        <w:tc>
          <w:tcPr>
            <w:cnfStyle w:val="001000000000" w:firstRow="0" w:lastRow="0" w:firstColumn="1" w:lastColumn="0" w:oddVBand="0" w:evenVBand="0" w:oddHBand="0" w:evenHBand="0" w:firstRowFirstColumn="0" w:firstRowLastColumn="0" w:lastRowFirstColumn="0" w:lastRowLastColumn="0"/>
            <w:tcW w:w="1772" w:type="dxa"/>
            <w:vMerge w:val="restart"/>
            <w:vAlign w:val="center"/>
          </w:tcPr>
          <w:p w14:paraId="34B92B40" w14:textId="77777777" w:rsidR="000718EA" w:rsidRPr="008211B8" w:rsidRDefault="000718EA" w:rsidP="00E02C59">
            <w:pPr>
              <w:spacing w:before="0" w:after="0" w:line="240" w:lineRule="auto"/>
              <w:jc w:val="center"/>
              <w:rPr>
                <w:rFonts w:ascii="Gill Sans MT" w:hAnsi="Gill Sans MT"/>
                <w:b w:val="0"/>
                <w:bCs w:val="0"/>
              </w:rPr>
            </w:pPr>
            <w:r>
              <w:rPr>
                <w:rFonts w:ascii="Gill Sans MT" w:hAnsi="Gill Sans MT"/>
                <w:b w:val="0"/>
                <w:bCs w:val="0"/>
              </w:rPr>
              <w:t>F2: Engagement</w:t>
            </w:r>
          </w:p>
        </w:tc>
        <w:tc>
          <w:tcPr>
            <w:tcW w:w="1200" w:type="dxa"/>
            <w:vAlign w:val="center"/>
          </w:tcPr>
          <w:p w14:paraId="3EBD0B5E" w14:textId="77777777" w:rsidR="000718EA" w:rsidRPr="008211B8"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ABC24</w:t>
            </w:r>
          </w:p>
        </w:tc>
        <w:tc>
          <w:tcPr>
            <w:tcW w:w="1897" w:type="dxa"/>
            <w:vAlign w:val="center"/>
          </w:tcPr>
          <w:p w14:paraId="7569FC2C" w14:textId="724FC5D3" w:rsidR="000718EA" w:rsidRPr="008211B8"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0.6452</w:t>
            </w:r>
          </w:p>
        </w:tc>
        <w:tc>
          <w:tcPr>
            <w:tcW w:w="1897" w:type="dxa"/>
            <w:vAlign w:val="center"/>
          </w:tcPr>
          <w:p w14:paraId="7DFC1AD1" w14:textId="3E4E5DBE" w:rsidR="000718EA" w:rsidRPr="008211B8"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1.0409</w:t>
            </w:r>
          </w:p>
        </w:tc>
        <w:tc>
          <w:tcPr>
            <w:tcW w:w="1898" w:type="dxa"/>
            <w:vAlign w:val="center"/>
          </w:tcPr>
          <w:p w14:paraId="4B9DC76D" w14:textId="52827509" w:rsidR="000718EA"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0.3847</w:t>
            </w:r>
          </w:p>
        </w:tc>
      </w:tr>
      <w:tr w:rsidR="000718EA" w:rsidRPr="008211B8" w14:paraId="05EF9AA0" w14:textId="77777777" w:rsidTr="00E02C5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14:paraId="1C3BFAD9" w14:textId="77777777" w:rsidR="000718EA" w:rsidRPr="008211B8" w:rsidRDefault="000718EA" w:rsidP="00E02C59">
            <w:pPr>
              <w:spacing w:before="0" w:after="0" w:line="240" w:lineRule="auto"/>
              <w:jc w:val="center"/>
              <w:rPr>
                <w:rFonts w:ascii="Gill Sans MT" w:hAnsi="Gill Sans MT"/>
                <w:b w:val="0"/>
                <w:bCs w:val="0"/>
              </w:rPr>
            </w:pPr>
          </w:p>
        </w:tc>
        <w:tc>
          <w:tcPr>
            <w:tcW w:w="1200" w:type="dxa"/>
            <w:vAlign w:val="center"/>
          </w:tcPr>
          <w:p w14:paraId="44130B35" w14:textId="77777777" w:rsidR="000718EA" w:rsidRPr="008211B8"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ABC17</w:t>
            </w:r>
          </w:p>
        </w:tc>
        <w:tc>
          <w:tcPr>
            <w:tcW w:w="1897" w:type="dxa"/>
            <w:vAlign w:val="center"/>
          </w:tcPr>
          <w:p w14:paraId="29A1C8D2" w14:textId="73F9B3F3" w:rsidR="000718EA" w:rsidRPr="008211B8"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0.6427</w:t>
            </w:r>
          </w:p>
        </w:tc>
        <w:tc>
          <w:tcPr>
            <w:tcW w:w="1897" w:type="dxa"/>
            <w:vAlign w:val="center"/>
          </w:tcPr>
          <w:p w14:paraId="3EA1EE97" w14:textId="1F1F35E0" w:rsidR="000718EA" w:rsidRPr="008211B8"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0.8862</w:t>
            </w:r>
          </w:p>
        </w:tc>
        <w:tc>
          <w:tcPr>
            <w:tcW w:w="1898" w:type="dxa"/>
            <w:vAlign w:val="center"/>
          </w:tcPr>
          <w:p w14:paraId="654AE993" w14:textId="2E3E510D" w:rsidR="000718EA"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0.4724</w:t>
            </w:r>
          </w:p>
        </w:tc>
      </w:tr>
      <w:tr w:rsidR="000718EA" w:rsidRPr="008211B8" w14:paraId="498BAE50" w14:textId="77777777" w:rsidTr="00E02C59">
        <w:trPr>
          <w:trHeight w:val="34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14:paraId="540BA705" w14:textId="77777777" w:rsidR="000718EA" w:rsidRPr="008211B8" w:rsidRDefault="000718EA" w:rsidP="00E02C59">
            <w:pPr>
              <w:spacing w:before="0" w:after="0" w:line="240" w:lineRule="auto"/>
              <w:jc w:val="center"/>
              <w:rPr>
                <w:rFonts w:ascii="Gill Sans MT" w:hAnsi="Gill Sans MT"/>
                <w:b w:val="0"/>
                <w:bCs w:val="0"/>
              </w:rPr>
            </w:pPr>
          </w:p>
        </w:tc>
        <w:tc>
          <w:tcPr>
            <w:tcW w:w="1200" w:type="dxa"/>
            <w:vAlign w:val="center"/>
          </w:tcPr>
          <w:p w14:paraId="5E133BD0" w14:textId="77777777" w:rsidR="000718EA" w:rsidRPr="008211B8"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ABC21-L</w:t>
            </w:r>
          </w:p>
        </w:tc>
        <w:tc>
          <w:tcPr>
            <w:tcW w:w="1897" w:type="dxa"/>
            <w:vAlign w:val="center"/>
          </w:tcPr>
          <w:p w14:paraId="22EA81F7" w14:textId="709D9396" w:rsidR="000718EA" w:rsidRPr="008211B8"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0.6689</w:t>
            </w:r>
          </w:p>
        </w:tc>
        <w:tc>
          <w:tcPr>
            <w:tcW w:w="1897" w:type="dxa"/>
            <w:vAlign w:val="center"/>
          </w:tcPr>
          <w:p w14:paraId="1988ADAF" w14:textId="17B0084E" w:rsidR="000718EA" w:rsidRPr="008211B8"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1.0843</w:t>
            </w:r>
          </w:p>
        </w:tc>
        <w:tc>
          <w:tcPr>
            <w:tcW w:w="1898" w:type="dxa"/>
            <w:vAlign w:val="center"/>
          </w:tcPr>
          <w:p w14:paraId="2B7BDAF5" w14:textId="144D4D2D" w:rsidR="000718EA"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0.3561</w:t>
            </w:r>
          </w:p>
        </w:tc>
      </w:tr>
      <w:tr w:rsidR="000718EA" w:rsidRPr="008211B8" w14:paraId="06CAE506" w14:textId="77777777" w:rsidTr="00E02C5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14:paraId="0EAB0D94" w14:textId="77777777" w:rsidR="000718EA" w:rsidRPr="008211B8" w:rsidRDefault="000718EA" w:rsidP="00E02C59">
            <w:pPr>
              <w:spacing w:before="0" w:after="0" w:line="240" w:lineRule="auto"/>
              <w:jc w:val="center"/>
              <w:rPr>
                <w:rFonts w:ascii="Gill Sans MT" w:hAnsi="Gill Sans MT"/>
                <w:b w:val="0"/>
                <w:bCs w:val="0"/>
              </w:rPr>
            </w:pPr>
          </w:p>
        </w:tc>
        <w:tc>
          <w:tcPr>
            <w:tcW w:w="1200" w:type="dxa"/>
            <w:vAlign w:val="center"/>
          </w:tcPr>
          <w:p w14:paraId="5334AA6D" w14:textId="77777777" w:rsidR="000718EA" w:rsidRPr="008211B8"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ABC17-L</w:t>
            </w:r>
          </w:p>
        </w:tc>
        <w:tc>
          <w:tcPr>
            <w:tcW w:w="1897" w:type="dxa"/>
            <w:vAlign w:val="center"/>
          </w:tcPr>
          <w:p w14:paraId="267AF243" w14:textId="3EA426A0" w:rsidR="000718EA" w:rsidRPr="008211B8"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0.5379</w:t>
            </w:r>
          </w:p>
        </w:tc>
        <w:tc>
          <w:tcPr>
            <w:tcW w:w="1897" w:type="dxa"/>
            <w:vAlign w:val="center"/>
          </w:tcPr>
          <w:p w14:paraId="55ACC5F0" w14:textId="79169C0D" w:rsidR="000718EA" w:rsidRPr="008211B8"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0.8601</w:t>
            </w:r>
          </w:p>
        </w:tc>
        <w:tc>
          <w:tcPr>
            <w:tcW w:w="1898" w:type="dxa"/>
            <w:vAlign w:val="center"/>
          </w:tcPr>
          <w:p w14:paraId="60325A9B" w14:textId="6AB12D81" w:rsidR="000718EA"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0.3586</w:t>
            </w:r>
          </w:p>
        </w:tc>
      </w:tr>
      <w:tr w:rsidR="000718EA" w:rsidRPr="008211B8" w14:paraId="65C28197" w14:textId="77777777" w:rsidTr="00E02C59">
        <w:trPr>
          <w:trHeight w:val="340"/>
        </w:trPr>
        <w:tc>
          <w:tcPr>
            <w:cnfStyle w:val="001000000000" w:firstRow="0" w:lastRow="0" w:firstColumn="1" w:lastColumn="0" w:oddVBand="0" w:evenVBand="0" w:oddHBand="0" w:evenHBand="0" w:firstRowFirstColumn="0" w:firstRowLastColumn="0" w:lastRowFirstColumn="0" w:lastRowLastColumn="0"/>
            <w:tcW w:w="1772" w:type="dxa"/>
            <w:vMerge w:val="restart"/>
            <w:vAlign w:val="center"/>
          </w:tcPr>
          <w:p w14:paraId="30C0BC32" w14:textId="77777777" w:rsidR="000718EA" w:rsidRDefault="000718EA" w:rsidP="00E02C59">
            <w:pPr>
              <w:spacing w:before="0" w:after="0" w:line="240" w:lineRule="auto"/>
              <w:jc w:val="center"/>
              <w:rPr>
                <w:rFonts w:ascii="Gill Sans MT" w:hAnsi="Gill Sans MT"/>
                <w:b w:val="0"/>
                <w:bCs w:val="0"/>
              </w:rPr>
            </w:pPr>
            <w:r>
              <w:rPr>
                <w:rFonts w:ascii="Gill Sans MT" w:hAnsi="Gill Sans MT"/>
                <w:b w:val="0"/>
                <w:bCs w:val="0"/>
              </w:rPr>
              <w:t>F3: Organization and Planning</w:t>
            </w:r>
          </w:p>
        </w:tc>
        <w:tc>
          <w:tcPr>
            <w:tcW w:w="1200" w:type="dxa"/>
            <w:vAlign w:val="center"/>
          </w:tcPr>
          <w:p w14:paraId="6D0099A9" w14:textId="77777777" w:rsidR="000718EA" w:rsidRPr="008211B8"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ABC24</w:t>
            </w:r>
          </w:p>
        </w:tc>
        <w:tc>
          <w:tcPr>
            <w:tcW w:w="1897" w:type="dxa"/>
            <w:vAlign w:val="center"/>
          </w:tcPr>
          <w:p w14:paraId="4B13DDE2" w14:textId="3818E0B9" w:rsidR="000718EA" w:rsidRPr="008211B8"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0.2576</w:t>
            </w:r>
          </w:p>
        </w:tc>
        <w:tc>
          <w:tcPr>
            <w:tcW w:w="1897" w:type="dxa"/>
            <w:vAlign w:val="center"/>
          </w:tcPr>
          <w:p w14:paraId="5433F9BF" w14:textId="490A7948" w:rsidR="000718EA" w:rsidRPr="008211B8"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0.4430</w:t>
            </w:r>
          </w:p>
        </w:tc>
        <w:tc>
          <w:tcPr>
            <w:tcW w:w="1898" w:type="dxa"/>
            <w:vAlign w:val="center"/>
          </w:tcPr>
          <w:p w14:paraId="6900FBA3" w14:textId="18527135" w:rsidR="000718EA"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0.2375</w:t>
            </w:r>
          </w:p>
        </w:tc>
      </w:tr>
      <w:tr w:rsidR="000718EA" w:rsidRPr="008211B8" w14:paraId="1510417F" w14:textId="77777777" w:rsidTr="00E02C5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14:paraId="71F274D7" w14:textId="77777777" w:rsidR="000718EA" w:rsidRDefault="000718EA" w:rsidP="00E02C59">
            <w:pPr>
              <w:spacing w:before="0" w:after="0" w:line="240" w:lineRule="auto"/>
              <w:jc w:val="center"/>
              <w:rPr>
                <w:rFonts w:ascii="Gill Sans MT" w:hAnsi="Gill Sans MT"/>
                <w:b w:val="0"/>
                <w:bCs w:val="0"/>
              </w:rPr>
            </w:pPr>
          </w:p>
        </w:tc>
        <w:tc>
          <w:tcPr>
            <w:tcW w:w="1200" w:type="dxa"/>
            <w:vAlign w:val="center"/>
          </w:tcPr>
          <w:p w14:paraId="7D794706" w14:textId="77777777" w:rsidR="000718EA" w:rsidRPr="008211B8"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ABC17</w:t>
            </w:r>
          </w:p>
        </w:tc>
        <w:tc>
          <w:tcPr>
            <w:tcW w:w="1897" w:type="dxa"/>
            <w:vAlign w:val="center"/>
          </w:tcPr>
          <w:p w14:paraId="30A6B92D" w14:textId="635AF5D8" w:rsidR="000718EA" w:rsidRPr="008211B8"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0.0234</w:t>
            </w:r>
          </w:p>
        </w:tc>
        <w:tc>
          <w:tcPr>
            <w:tcW w:w="1897" w:type="dxa"/>
            <w:vAlign w:val="center"/>
          </w:tcPr>
          <w:p w14:paraId="071AC0E7" w14:textId="27587B2B" w:rsidR="000718EA" w:rsidRPr="008211B8"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0.0852</w:t>
            </w:r>
          </w:p>
        </w:tc>
        <w:tc>
          <w:tcPr>
            <w:tcW w:w="1898" w:type="dxa"/>
            <w:vAlign w:val="center"/>
          </w:tcPr>
          <w:p w14:paraId="28671152" w14:textId="5508B0FA" w:rsidR="000718EA"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-0.0917</w:t>
            </w:r>
          </w:p>
        </w:tc>
      </w:tr>
      <w:tr w:rsidR="000718EA" w:rsidRPr="008211B8" w14:paraId="0D3318C5" w14:textId="77777777" w:rsidTr="00E02C59">
        <w:trPr>
          <w:trHeight w:val="34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14:paraId="2BAD5C49" w14:textId="77777777" w:rsidR="000718EA" w:rsidRDefault="000718EA" w:rsidP="00E02C59">
            <w:pPr>
              <w:spacing w:before="0" w:after="0" w:line="240" w:lineRule="auto"/>
              <w:jc w:val="center"/>
              <w:rPr>
                <w:rFonts w:ascii="Gill Sans MT" w:hAnsi="Gill Sans MT"/>
                <w:b w:val="0"/>
                <w:bCs w:val="0"/>
              </w:rPr>
            </w:pPr>
          </w:p>
        </w:tc>
        <w:tc>
          <w:tcPr>
            <w:tcW w:w="1200" w:type="dxa"/>
            <w:vAlign w:val="center"/>
          </w:tcPr>
          <w:p w14:paraId="34BA2A5F" w14:textId="77777777" w:rsidR="000718EA" w:rsidRPr="008211B8"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ABC21-L</w:t>
            </w:r>
          </w:p>
        </w:tc>
        <w:tc>
          <w:tcPr>
            <w:tcW w:w="1897" w:type="dxa"/>
            <w:vAlign w:val="center"/>
          </w:tcPr>
          <w:p w14:paraId="64F84DC9" w14:textId="6EC908B8" w:rsidR="000718EA" w:rsidRPr="008211B8"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0.2081</w:t>
            </w:r>
          </w:p>
        </w:tc>
        <w:tc>
          <w:tcPr>
            <w:tcW w:w="1897" w:type="dxa"/>
            <w:vAlign w:val="center"/>
          </w:tcPr>
          <w:p w14:paraId="24CCF89B" w14:textId="749E7BCA" w:rsidR="000718EA" w:rsidRPr="008211B8"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0.3674</w:t>
            </w:r>
          </w:p>
        </w:tc>
        <w:tc>
          <w:tcPr>
            <w:tcW w:w="1898" w:type="dxa"/>
            <w:vAlign w:val="center"/>
          </w:tcPr>
          <w:p w14:paraId="666A0AF4" w14:textId="6378FEF1" w:rsidR="000718EA"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0.2247</w:t>
            </w:r>
          </w:p>
        </w:tc>
      </w:tr>
      <w:tr w:rsidR="000718EA" w:rsidRPr="008211B8" w14:paraId="4C7199CA" w14:textId="77777777" w:rsidTr="00E02C5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14:paraId="7C4A0725" w14:textId="77777777" w:rsidR="000718EA" w:rsidRDefault="000718EA" w:rsidP="00E02C59">
            <w:pPr>
              <w:spacing w:before="0" w:after="0" w:line="240" w:lineRule="auto"/>
              <w:jc w:val="center"/>
              <w:rPr>
                <w:rFonts w:ascii="Gill Sans MT" w:hAnsi="Gill Sans MT"/>
                <w:b w:val="0"/>
                <w:bCs w:val="0"/>
              </w:rPr>
            </w:pPr>
          </w:p>
        </w:tc>
        <w:tc>
          <w:tcPr>
            <w:tcW w:w="1200" w:type="dxa"/>
            <w:vAlign w:val="center"/>
          </w:tcPr>
          <w:p w14:paraId="3F00FE84" w14:textId="77777777" w:rsidR="000718EA" w:rsidRPr="008211B8"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ABC17-L</w:t>
            </w:r>
          </w:p>
        </w:tc>
        <w:tc>
          <w:tcPr>
            <w:tcW w:w="1897" w:type="dxa"/>
            <w:vAlign w:val="center"/>
          </w:tcPr>
          <w:p w14:paraId="2430F355" w14:textId="1244AC5B" w:rsidR="000718EA" w:rsidRPr="008211B8"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0.0234</w:t>
            </w:r>
          </w:p>
        </w:tc>
        <w:tc>
          <w:tcPr>
            <w:tcW w:w="1897" w:type="dxa"/>
            <w:vAlign w:val="center"/>
          </w:tcPr>
          <w:p w14:paraId="04F3D481" w14:textId="79AA924A" w:rsidR="000718EA" w:rsidRPr="008211B8"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0.0852</w:t>
            </w:r>
          </w:p>
        </w:tc>
        <w:tc>
          <w:tcPr>
            <w:tcW w:w="1898" w:type="dxa"/>
            <w:vAlign w:val="center"/>
          </w:tcPr>
          <w:p w14:paraId="192C1D6D" w14:textId="13C954D0" w:rsidR="000718EA"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-0.0917</w:t>
            </w:r>
          </w:p>
        </w:tc>
      </w:tr>
    </w:tbl>
    <w:p w14:paraId="22A2C470" w14:textId="4FF64F12" w:rsidR="000718EA" w:rsidRDefault="000718EA" w:rsidP="00990233">
      <w:pPr>
        <w:pStyle w:val="Tables"/>
      </w:pPr>
      <w:bookmarkStart w:id="242" w:name="_Toc57033210"/>
      <w:r>
        <w:t xml:space="preserve">Table </w:t>
      </w:r>
      <w:r w:rsidR="00800CF2">
        <w:t>3</w:t>
      </w:r>
      <w:r w:rsidR="00997D83">
        <w:t>1</w:t>
      </w:r>
      <w:r>
        <w:t>:</w:t>
      </w:r>
      <w:r w:rsidR="003214C8">
        <w:tab/>
      </w:r>
      <w:r>
        <w:t>Effect size difference in ABC factor means between non-dyslexic (ND) and dyslexic (DI) groups, and between subgroups as defined from the Dx16 Profiler.</w:t>
      </w:r>
      <w:bookmarkEnd w:id="242"/>
    </w:p>
    <w:p w14:paraId="2245B282" w14:textId="77777777" w:rsidR="00AF38E7" w:rsidRPr="00E569D7" w:rsidRDefault="00AF38E7" w:rsidP="00AF38E7">
      <w:pPr>
        <w:rPr>
          <w:rFonts w:ascii="Times New Roman" w:eastAsia="Times New Roman" w:hAnsi="Times New Roman" w:cs="Times New Roman"/>
          <w:sz w:val="24"/>
          <w:szCs w:val="24"/>
          <w:lang w:eastAsia="en-GB"/>
        </w:rPr>
      </w:pPr>
      <w:r w:rsidRPr="00E569D7">
        <w:rPr>
          <w:rFonts w:eastAsia="Times New Roman"/>
          <w:lang w:eastAsia="en-GB"/>
        </w:rPr>
        <w:t>For both Factor 1: Study Efficacy and Factor 2: Engagement, effect sizes between non-dyslexic and dyslexic students were moderate whichever ABC Scale was used, with values ranging from 0.54 &lt;</w:t>
      </w:r>
      <w:r>
        <w:rPr>
          <w:rFonts w:eastAsia="Times New Roman"/>
          <w:lang w:eastAsia="en-GB"/>
        </w:rPr>
        <w:t xml:space="preserve"> </w:t>
      </w:r>
      <w:r w:rsidRPr="00E569D7">
        <w:rPr>
          <w:rFonts w:eastAsia="Times New Roman"/>
          <w:i/>
          <w:iCs/>
          <w:bdr w:val="none" w:sz="0" w:space="0" w:color="auto" w:frame="1"/>
          <w:lang w:eastAsia="en-GB"/>
        </w:rPr>
        <w:t>g</w:t>
      </w:r>
      <w:r>
        <w:rPr>
          <w:rFonts w:eastAsia="Times New Roman"/>
          <w:i/>
          <w:iCs/>
          <w:bdr w:val="none" w:sz="0" w:space="0" w:color="auto" w:frame="1"/>
          <w:lang w:eastAsia="en-GB"/>
        </w:rPr>
        <w:t xml:space="preserve"> </w:t>
      </w:r>
      <w:r w:rsidRPr="00E569D7">
        <w:rPr>
          <w:rFonts w:eastAsia="Times New Roman"/>
          <w:lang w:eastAsia="en-GB"/>
        </w:rPr>
        <w:t>&lt; 0.67</w:t>
      </w:r>
      <w:r>
        <w:rPr>
          <w:rFonts w:eastAsia="Times New Roman"/>
          <w:lang w:eastAsia="en-GB"/>
        </w:rPr>
        <w:t>; this</w:t>
      </w:r>
      <w:r w:rsidRPr="00E569D7">
        <w:rPr>
          <w:rFonts w:eastAsia="Times New Roman"/>
          <w:lang w:eastAsia="en-GB"/>
        </w:rPr>
        <w:t xml:space="preserve"> suggest</w:t>
      </w:r>
      <w:r>
        <w:rPr>
          <w:rFonts w:eastAsia="Times New Roman"/>
          <w:lang w:eastAsia="en-GB"/>
        </w:rPr>
        <w:t xml:space="preserve">s </w:t>
      </w:r>
      <w:r w:rsidRPr="00E569D7">
        <w:rPr>
          <w:rFonts w:eastAsia="Times New Roman"/>
          <w:lang w:eastAsia="en-GB"/>
        </w:rPr>
        <w:t>that non-dyslexic students presented substantially higher academic confidence than their dyslexic peers in both their capacity or power to produce strong academic outputs, and also the degree to which they participated in active dialogues with their lecturers and collaborated academically with their peers. However it was notable that less pronounced or negligible differences were observed in areas of organization and planning (Factor 3).</w:t>
      </w:r>
      <w:r>
        <w:rPr>
          <w:rFonts w:eastAsia="Times New Roman"/>
          <w:lang w:eastAsia="en-GB"/>
        </w:rPr>
        <w:t xml:space="preserve"> </w:t>
      </w:r>
      <w:r w:rsidRPr="00E569D7">
        <w:rPr>
          <w:rFonts w:eastAsia="Times New Roman"/>
          <w:lang w:eastAsia="en-GB"/>
        </w:rPr>
        <w:t>As would be expected, all of the differences in Study Efficacy and Engagement were accentuated when comparisons were made between the Base subgroup of students w</w:t>
      </w:r>
      <w:r>
        <w:rPr>
          <w:rFonts w:eastAsia="Times New Roman"/>
          <w:lang w:eastAsia="en-GB"/>
        </w:rPr>
        <w:t xml:space="preserve">ith </w:t>
      </w:r>
      <w:r w:rsidRPr="00E569D7">
        <w:rPr>
          <w:rFonts w:eastAsia="Times New Roman"/>
          <w:lang w:eastAsia="en-GB"/>
        </w:rPr>
        <w:t>low levels of dyslexia-ness and their strongly dyslexic peers in the Control subgroup, with an effect size range of 0.76 &lt;</w:t>
      </w:r>
      <w:r>
        <w:rPr>
          <w:rFonts w:eastAsia="Times New Roman"/>
          <w:i/>
          <w:iCs/>
          <w:bdr w:val="none" w:sz="0" w:space="0" w:color="auto" w:frame="1"/>
          <w:lang w:eastAsia="en-GB"/>
        </w:rPr>
        <w:t xml:space="preserve"> </w:t>
      </w:r>
      <w:r w:rsidRPr="00E569D7">
        <w:rPr>
          <w:rFonts w:eastAsia="Times New Roman"/>
          <w:i/>
          <w:iCs/>
          <w:bdr w:val="none" w:sz="0" w:space="0" w:color="auto" w:frame="1"/>
          <w:lang w:eastAsia="en-GB"/>
        </w:rPr>
        <w:t>g</w:t>
      </w:r>
      <w:r>
        <w:rPr>
          <w:rFonts w:eastAsia="Times New Roman"/>
          <w:i/>
          <w:iCs/>
          <w:bdr w:val="none" w:sz="0" w:space="0" w:color="auto" w:frame="1"/>
          <w:lang w:eastAsia="en-GB"/>
        </w:rPr>
        <w:t xml:space="preserve"> </w:t>
      </w:r>
      <w:r w:rsidRPr="00E569D7">
        <w:rPr>
          <w:rFonts w:eastAsia="Times New Roman"/>
          <w:lang w:eastAsia="en-GB"/>
        </w:rPr>
        <w:t>&lt; 1.07, and 0.86 &lt;</w:t>
      </w:r>
      <w:r>
        <w:rPr>
          <w:rFonts w:eastAsia="Times New Roman"/>
          <w:lang w:eastAsia="en-GB"/>
        </w:rPr>
        <w:t xml:space="preserve"> </w:t>
      </w:r>
      <w:r w:rsidRPr="00E569D7">
        <w:rPr>
          <w:rFonts w:eastAsia="Times New Roman"/>
          <w:i/>
          <w:iCs/>
          <w:bdr w:val="none" w:sz="0" w:space="0" w:color="auto" w:frame="1"/>
          <w:lang w:eastAsia="en-GB"/>
        </w:rPr>
        <w:t>g &lt;</w:t>
      </w:r>
      <w:r>
        <w:rPr>
          <w:rFonts w:eastAsia="Times New Roman"/>
          <w:i/>
          <w:iCs/>
          <w:bdr w:val="none" w:sz="0" w:space="0" w:color="auto" w:frame="1"/>
          <w:lang w:eastAsia="en-GB"/>
        </w:rPr>
        <w:t xml:space="preserve"> </w:t>
      </w:r>
      <w:r w:rsidRPr="00E569D7">
        <w:rPr>
          <w:rFonts w:eastAsia="Times New Roman"/>
          <w:lang w:eastAsia="en-GB"/>
        </w:rPr>
        <w:t>1.10,</w:t>
      </w:r>
      <w:r>
        <w:rPr>
          <w:rFonts w:eastAsia="Times New Roman"/>
          <w:lang w:eastAsia="en-GB"/>
        </w:rPr>
        <w:t xml:space="preserve"> </w:t>
      </w:r>
      <w:r w:rsidRPr="00E569D7">
        <w:rPr>
          <w:rFonts w:eastAsia="Times New Roman"/>
          <w:lang w:eastAsia="en-GB"/>
        </w:rPr>
        <w:t xml:space="preserve">for subgroups defined from the Dx20, Dx16 Profilers respectively. It is of note that the reduced item Dx16 Profiler </w:t>
      </w:r>
      <w:r>
        <w:rPr>
          <w:rFonts w:eastAsia="Times New Roman"/>
          <w:lang w:eastAsia="en-GB"/>
        </w:rPr>
        <w:t xml:space="preserve">generated </w:t>
      </w:r>
      <w:r w:rsidRPr="00E569D7">
        <w:rPr>
          <w:rFonts w:eastAsia="Times New Roman"/>
          <w:lang w:eastAsia="en-GB"/>
        </w:rPr>
        <w:t xml:space="preserve">slightly higher </w:t>
      </w:r>
      <w:r>
        <w:rPr>
          <w:rFonts w:eastAsia="Times New Roman"/>
          <w:lang w:eastAsia="en-GB"/>
        </w:rPr>
        <w:t>outcomes</w:t>
      </w:r>
      <w:r w:rsidRPr="00E569D7">
        <w:rPr>
          <w:rFonts w:eastAsia="Times New Roman"/>
          <w:lang w:eastAsia="en-GB"/>
        </w:rPr>
        <w:t>. Effect sizes between the Base and Control subgroups for Factor 3: Organization and Planning were moderate when gauged with the ABC24 or the ABC21-L Scales, again with very slightly higher values recorded when the Dx16 Profiler was used.</w:t>
      </w:r>
    </w:p>
    <w:p w14:paraId="079E1D7A" w14:textId="40ED4375" w:rsidR="00AF38E7" w:rsidRDefault="00AF38E7" w:rsidP="00AF38E7">
      <w:bookmarkStart w:id="243" w:name="_Toc9795772"/>
      <w:r w:rsidRPr="00E569D7">
        <w:rPr>
          <w:rFonts w:eastAsia="Times New Roman"/>
          <w:lang w:eastAsia="en-GB"/>
        </w:rPr>
        <w:t>Of greatest interest were differences between the Test</w:t>
      </w:r>
      <w:r>
        <w:rPr>
          <w:rFonts w:eastAsia="Times New Roman"/>
          <w:lang w:eastAsia="en-GB"/>
        </w:rPr>
        <w:t xml:space="preserve"> and</w:t>
      </w:r>
      <w:r w:rsidRPr="00E569D7">
        <w:rPr>
          <w:rFonts w:eastAsia="Times New Roman"/>
          <w:lang w:eastAsia="en-GB"/>
        </w:rPr>
        <w:t xml:space="preserve"> Control subgroup</w:t>
      </w:r>
      <w:r>
        <w:rPr>
          <w:rFonts w:eastAsia="Times New Roman"/>
          <w:lang w:eastAsia="en-GB"/>
        </w:rPr>
        <w:t>s</w:t>
      </w:r>
      <w:r w:rsidRPr="00E569D7">
        <w:rPr>
          <w:rFonts w:eastAsia="Times New Roman"/>
          <w:lang w:eastAsia="en-GB"/>
        </w:rPr>
        <w:t>. Whilst differences in Study</w:t>
      </w:r>
      <w:r>
        <w:rPr>
          <w:rFonts w:eastAsia="Times New Roman"/>
          <w:lang w:eastAsia="en-GB"/>
        </w:rPr>
        <w:t xml:space="preserve"> </w:t>
      </w:r>
      <w:r w:rsidRPr="00E569D7">
        <w:rPr>
          <w:rFonts w:eastAsia="Times New Roman"/>
          <w:lang w:eastAsia="en-GB"/>
        </w:rPr>
        <w:t>Efficacy and Engagement were modest, a similar trend in differences was observed with the quasi-dyslexic students presenting higher levels of academic confidence for these two factors when compared with their dyslexic peers. Effect sizes ranged</w:t>
      </w:r>
      <w:r>
        <w:rPr>
          <w:rFonts w:eastAsia="Times New Roman"/>
          <w:lang w:eastAsia="en-GB"/>
        </w:rPr>
        <w:t xml:space="preserve"> </w:t>
      </w:r>
      <w:r w:rsidRPr="00E569D7">
        <w:rPr>
          <w:rFonts w:eastAsia="Times New Roman"/>
          <w:lang w:eastAsia="en-GB"/>
        </w:rPr>
        <w:t>from a low-to-moderate</w:t>
      </w:r>
      <w:r>
        <w:rPr>
          <w:rFonts w:eastAsia="Times New Roman"/>
          <w:i/>
          <w:iCs/>
          <w:bdr w:val="none" w:sz="0" w:space="0" w:color="auto" w:frame="1"/>
          <w:lang w:eastAsia="en-GB"/>
        </w:rPr>
        <w:t xml:space="preserve"> </w:t>
      </w:r>
      <w:r w:rsidRPr="00E569D7">
        <w:rPr>
          <w:rFonts w:eastAsia="Times New Roman"/>
          <w:i/>
          <w:iCs/>
          <w:bdr w:val="none" w:sz="0" w:space="0" w:color="auto" w:frame="1"/>
          <w:lang w:eastAsia="en-GB"/>
        </w:rPr>
        <w:t>g</w:t>
      </w:r>
      <w:r>
        <w:rPr>
          <w:rFonts w:eastAsia="Times New Roman"/>
          <w:i/>
          <w:iCs/>
          <w:bdr w:val="none" w:sz="0" w:space="0" w:color="auto" w:frame="1"/>
          <w:lang w:eastAsia="en-GB"/>
        </w:rPr>
        <w:t xml:space="preserve"> </w:t>
      </w:r>
      <w:r w:rsidRPr="00E569D7">
        <w:rPr>
          <w:rFonts w:eastAsia="Times New Roman"/>
          <w:lang w:eastAsia="en-GB"/>
        </w:rPr>
        <w:t>= 0.27 when the ABC17-L Scale and the Dx20 Profiler</w:t>
      </w:r>
      <w:r>
        <w:rPr>
          <w:rFonts w:eastAsia="Times New Roman"/>
          <w:lang w:eastAsia="en-GB"/>
        </w:rPr>
        <w:t xml:space="preserve"> </w:t>
      </w:r>
      <w:r w:rsidRPr="00E569D7">
        <w:rPr>
          <w:rFonts w:eastAsia="Times New Roman"/>
          <w:lang w:eastAsia="en-GB"/>
        </w:rPr>
        <w:lastRenderedPageBreak/>
        <w:t>were</w:t>
      </w:r>
      <w:r>
        <w:rPr>
          <w:rFonts w:eastAsia="Times New Roman"/>
          <w:lang w:eastAsia="en-GB"/>
        </w:rPr>
        <w:t xml:space="preserve"> </w:t>
      </w:r>
      <w:r w:rsidRPr="00E569D7">
        <w:rPr>
          <w:rFonts w:eastAsia="Times New Roman"/>
          <w:lang w:eastAsia="en-GB"/>
        </w:rPr>
        <w:t>used to gauge Engagement, to a moderate</w:t>
      </w:r>
      <w:r>
        <w:rPr>
          <w:rFonts w:eastAsia="Times New Roman"/>
          <w:lang w:eastAsia="en-GB"/>
        </w:rPr>
        <w:t xml:space="preserve"> </w:t>
      </w:r>
      <w:r w:rsidRPr="00E569D7">
        <w:rPr>
          <w:rFonts w:eastAsia="Times New Roman"/>
          <w:i/>
          <w:iCs/>
          <w:bdr w:val="none" w:sz="0" w:space="0" w:color="auto" w:frame="1"/>
          <w:lang w:eastAsia="en-GB"/>
        </w:rPr>
        <w:t>g</w:t>
      </w:r>
      <w:r>
        <w:rPr>
          <w:rFonts w:eastAsia="Times New Roman"/>
          <w:i/>
          <w:iCs/>
          <w:bdr w:val="none" w:sz="0" w:space="0" w:color="auto" w:frame="1"/>
          <w:lang w:eastAsia="en-GB"/>
        </w:rPr>
        <w:t xml:space="preserve"> </w:t>
      </w:r>
      <w:r w:rsidRPr="00E569D7">
        <w:rPr>
          <w:rFonts w:eastAsia="Times New Roman"/>
          <w:lang w:eastAsia="en-GB"/>
        </w:rPr>
        <w:t>= 0.47 for the same ABC Factor, gauged with the ABC17 and Dx16 Scales. Although the sample size of the Test subgroup was small (n=18, Dx20; n=19, Dx16) and hence, inferences from these outcomes must be treated tentatively, this result did appear to add to the evidence presented above (</w:t>
      </w:r>
      <w:r w:rsidR="0095426E">
        <w:rPr>
          <w:rFonts w:eastAsia="Times New Roman"/>
          <w:lang w:eastAsia="en-GB"/>
        </w:rPr>
        <w:t>S</w:t>
      </w:r>
      <w:r w:rsidRPr="00E569D7">
        <w:rPr>
          <w:rFonts w:eastAsia="Times New Roman"/>
          <w:lang w:eastAsia="en-GB"/>
        </w:rPr>
        <w:t>ection 4.4) that quasi-dyslexic students exhibit higher levels of academic confidence in many of the dimensions gauged by the ABC Scale(s) than their identified, dyslexic peers. It was notable that the greatest contribution to differences in mean levels of ABC overall was from dimensions related to study efficacy and acad</w:t>
      </w:r>
      <w:r>
        <w:rPr>
          <w:rFonts w:eastAsia="Times New Roman"/>
          <w:lang w:eastAsia="en-GB"/>
        </w:rPr>
        <w:t>e</w:t>
      </w:r>
      <w:r w:rsidRPr="00E569D7">
        <w:rPr>
          <w:rFonts w:eastAsia="Times New Roman"/>
          <w:lang w:eastAsia="en-GB"/>
        </w:rPr>
        <w:t>mic engagement. Confidence related to aspects of organization and planning in academic studies indicated few, or negligible</w:t>
      </w:r>
      <w:r>
        <w:rPr>
          <w:rFonts w:eastAsia="Times New Roman"/>
          <w:lang w:eastAsia="en-GB"/>
        </w:rPr>
        <w:t>,</w:t>
      </w:r>
      <w:r w:rsidRPr="00E569D7">
        <w:rPr>
          <w:rFonts w:eastAsia="Times New Roman"/>
          <w:lang w:eastAsia="en-GB"/>
        </w:rPr>
        <w:t xml:space="preserve"> differences between groups and subgroups of students in this </w:t>
      </w:r>
      <w:r>
        <w:rPr>
          <w:rFonts w:eastAsia="Times New Roman"/>
          <w:lang w:eastAsia="en-GB"/>
        </w:rPr>
        <w:t>study</w:t>
      </w:r>
      <w:r w:rsidRPr="00E569D7">
        <w:rPr>
          <w:rFonts w:eastAsia="Times New Roman"/>
          <w:lang w:eastAsia="en-GB"/>
        </w:rPr>
        <w:t>.</w:t>
      </w:r>
      <w:bookmarkStart w:id="244" w:name="pca_matrix"/>
      <w:bookmarkEnd w:id="244"/>
    </w:p>
    <w:p w14:paraId="30A331A3" w14:textId="77777777" w:rsidR="004D5123" w:rsidRDefault="004D5123" w:rsidP="004E6EF8"/>
    <w:p w14:paraId="3D746D6B" w14:textId="17FA8775" w:rsidR="007B0625" w:rsidRPr="004E6EF8" w:rsidRDefault="007B0625" w:rsidP="004E6EF8">
      <w:pPr>
        <w:pStyle w:val="Heading2"/>
        <w:rPr>
          <w:rFonts w:ascii="Times New Roman" w:eastAsia="Times New Roman" w:hAnsi="Times New Roman" w:cs="Times New Roman"/>
          <w:sz w:val="24"/>
          <w:szCs w:val="24"/>
          <w:lang w:eastAsia="en-GB"/>
        </w:rPr>
      </w:pPr>
      <w:bookmarkStart w:id="245" w:name="_Toc57035935"/>
      <w:r>
        <w:t>4.</w:t>
      </w:r>
      <w:r w:rsidR="0095426E">
        <w:t>6</w:t>
      </w:r>
      <w:r w:rsidR="004D5123">
        <w:tab/>
      </w:r>
      <w:r w:rsidRPr="00215CAC">
        <w:t>Applying multiple regression analysis</w:t>
      </w:r>
      <w:bookmarkEnd w:id="243"/>
      <w:bookmarkEnd w:id="245"/>
    </w:p>
    <w:p w14:paraId="110B097D" w14:textId="77777777" w:rsidR="00AF38E7" w:rsidRPr="00E02C59" w:rsidRDefault="00AF38E7" w:rsidP="00AF38E7">
      <w:pPr>
        <w:rPr>
          <w:rFonts w:eastAsia="Times New Roman"/>
          <w:lang w:eastAsia="en-GB"/>
        </w:rPr>
      </w:pPr>
      <w:bookmarkStart w:id="246" w:name="_Hlk2062377"/>
      <w:r w:rsidRPr="00E02C59">
        <w:rPr>
          <w:rFonts w:eastAsia="Times New Roman"/>
          <w:lang w:eastAsia="en-GB"/>
        </w:rPr>
        <w:t xml:space="preserve">Whilst the rationale for conducting regression analysis was not to attempt to create a prediction model between academic confidence and dyslexia-ness per se, it was considered appropriate to use the process to generate expected outcomes for </w:t>
      </w:r>
      <w:r>
        <w:rPr>
          <w:rFonts w:eastAsia="Times New Roman"/>
          <w:lang w:eastAsia="en-GB"/>
        </w:rPr>
        <w:t xml:space="preserve">ABC </w:t>
      </w:r>
      <w:r w:rsidRPr="00E02C59">
        <w:rPr>
          <w:rFonts w:eastAsia="Times New Roman"/>
          <w:lang w:eastAsia="en-GB"/>
        </w:rPr>
        <w:t>based on Dx inputs, thus enabling comparison</w:t>
      </w:r>
      <w:r>
        <w:rPr>
          <w:rFonts w:eastAsia="Times New Roman"/>
          <w:lang w:eastAsia="en-GB"/>
        </w:rPr>
        <w:t xml:space="preserve"> </w:t>
      </w:r>
      <w:r w:rsidRPr="00E02C59">
        <w:rPr>
          <w:rFonts w:eastAsia="Times New Roman"/>
          <w:lang w:eastAsia="en-GB"/>
        </w:rPr>
        <w:t>with the observed values acquired experimentally from participants in th</w:t>
      </w:r>
      <w:r>
        <w:rPr>
          <w:rFonts w:eastAsia="Times New Roman"/>
          <w:lang w:eastAsia="en-GB"/>
        </w:rPr>
        <w:t>e</w:t>
      </w:r>
      <w:r w:rsidRPr="00E02C59">
        <w:rPr>
          <w:rFonts w:eastAsia="Times New Roman"/>
          <w:lang w:eastAsia="en-GB"/>
        </w:rPr>
        <w:t xml:space="preserve"> current study.</w:t>
      </w:r>
      <w:r>
        <w:rPr>
          <w:rFonts w:eastAsia="Times New Roman"/>
          <w:lang w:eastAsia="en-GB"/>
        </w:rPr>
        <w:t xml:space="preserve"> </w:t>
      </w:r>
      <w:r w:rsidRPr="00E02C59">
        <w:rPr>
          <w:rFonts w:eastAsia="Times New Roman"/>
          <w:lang w:eastAsia="en-GB"/>
        </w:rPr>
        <w:t>The rationale was to explore whether a regression analysis might add supporting evidence that quasi-dyslexic students appear to present higher levels of academic confidence than might</w:t>
      </w:r>
      <w:r>
        <w:rPr>
          <w:rFonts w:eastAsia="Times New Roman"/>
          <w:lang w:eastAsia="en-GB"/>
        </w:rPr>
        <w:t xml:space="preserve"> </w:t>
      </w:r>
      <w:r w:rsidRPr="00E02C59">
        <w:rPr>
          <w:rFonts w:eastAsia="Times New Roman"/>
          <w:lang w:eastAsia="en-GB"/>
        </w:rPr>
        <w:t>be expected based on their levels of dyslexia-ness.</w:t>
      </w:r>
    </w:p>
    <w:p w14:paraId="3228AB76" w14:textId="514E71C1" w:rsidR="00E02C59" w:rsidRDefault="00AF38E7" w:rsidP="007B0625">
      <w:pPr>
        <w:rPr>
          <w:rFonts w:eastAsia="Times New Roman"/>
          <w:lang w:eastAsia="en-GB"/>
        </w:rPr>
      </w:pPr>
      <w:r w:rsidRPr="00E02C59">
        <w:rPr>
          <w:rFonts w:eastAsia="Times New Roman"/>
          <w:lang w:eastAsia="en-GB"/>
        </w:rPr>
        <w:t>In the first instance a simple, linear regression analysis between the full ABC24 Scale and the complete Dx20 Profiler validated a moderate</w:t>
      </w:r>
      <w:r>
        <w:rPr>
          <w:rFonts w:eastAsia="Times New Roman"/>
          <w:lang w:eastAsia="en-GB"/>
        </w:rPr>
        <w:t xml:space="preserve"> </w:t>
      </w:r>
      <w:r w:rsidRPr="00E02C59">
        <w:rPr>
          <w:rFonts w:eastAsia="Times New Roman"/>
          <w:lang w:eastAsia="en-GB"/>
        </w:rPr>
        <w:t xml:space="preserve">association between ABC and Dyslexia Index with an </w:t>
      </w:r>
      <w:r w:rsidRPr="004E6EF8">
        <w:rPr>
          <w:rFonts w:eastAsia="Times New Roman"/>
          <w:lang w:eastAsia="en-GB"/>
        </w:rPr>
        <w:t>R</w:t>
      </w:r>
      <w:r>
        <w:rPr>
          <w:rFonts w:eastAsia="Times New Roman"/>
          <w:vertAlign w:val="superscript"/>
          <w:lang w:eastAsia="en-GB"/>
        </w:rPr>
        <w:t>2</w:t>
      </w:r>
      <w:r>
        <w:rPr>
          <w:rFonts w:eastAsia="Times New Roman"/>
          <w:lang w:eastAsia="en-GB"/>
        </w:rPr>
        <w:t xml:space="preserve"> </w:t>
      </w:r>
      <w:r w:rsidRPr="00E02C59">
        <w:rPr>
          <w:rFonts w:eastAsia="Times New Roman"/>
          <w:lang w:eastAsia="en-GB"/>
        </w:rPr>
        <w:t>value (effect size) of 0.1895 (unbiased R</w:t>
      </w:r>
      <w:r>
        <w:rPr>
          <w:rFonts w:eastAsia="Times New Roman"/>
          <w:vertAlign w:val="superscript"/>
          <w:lang w:eastAsia="en-GB"/>
        </w:rPr>
        <w:t>2</w:t>
      </w:r>
      <w:r w:rsidRPr="00E02C59">
        <w:rPr>
          <w:rFonts w:eastAsia="Times New Roman"/>
          <w:lang w:eastAsia="en-GB"/>
        </w:rPr>
        <w:t xml:space="preserve"> = 0.1853), derived from Pearson’s coefficient of correlation, </w:t>
      </w:r>
      <w:r w:rsidRPr="00E02C59">
        <w:rPr>
          <w:rFonts w:eastAsia="Times New Roman"/>
          <w:i/>
          <w:iCs/>
          <w:lang w:eastAsia="en-GB"/>
        </w:rPr>
        <w:t>r</w:t>
      </w:r>
      <w:r w:rsidRPr="00E02C59">
        <w:rPr>
          <w:rFonts w:eastAsia="Times New Roman"/>
          <w:lang w:eastAsia="en-GB"/>
        </w:rPr>
        <w:t xml:space="preserve"> = 0.4353</w:t>
      </w:r>
      <w:r>
        <w:rPr>
          <w:rFonts w:eastAsia="Times New Roman"/>
          <w:lang w:eastAsia="en-GB"/>
        </w:rPr>
        <w:t xml:space="preserve"> </w:t>
      </w:r>
      <w:r w:rsidRPr="00E02C59">
        <w:rPr>
          <w:rFonts w:eastAsia="Times New Roman"/>
          <w:lang w:eastAsia="en-GB"/>
        </w:rPr>
        <w:t>(Figure 2</w:t>
      </w:r>
      <w:r>
        <w:rPr>
          <w:rFonts w:eastAsia="Times New Roman"/>
          <w:lang w:eastAsia="en-GB"/>
        </w:rPr>
        <w:t>3</w:t>
      </w:r>
      <w:r w:rsidRPr="00E02C59">
        <w:rPr>
          <w:rFonts w:eastAsia="Times New Roman"/>
          <w:lang w:eastAsia="en-GB"/>
        </w:rPr>
        <w:t xml:space="preserve">). </w:t>
      </w:r>
      <w:r>
        <w:rPr>
          <w:rFonts w:eastAsia="Times New Roman"/>
          <w:lang w:eastAsia="en-GB"/>
        </w:rPr>
        <w:t>T</w:t>
      </w:r>
      <w:r w:rsidRPr="00E02C59">
        <w:rPr>
          <w:rFonts w:eastAsia="Times New Roman"/>
          <w:lang w:eastAsia="en-GB"/>
        </w:rPr>
        <w:t xml:space="preserve">his suggested that lower levels of academic confidence might be expected from individuals presenting higher levels of dyslexia-ness, an outcome that has already been demonstrated as likely based on data from students in this </w:t>
      </w:r>
      <w:r>
        <w:rPr>
          <w:rFonts w:eastAsia="Times New Roman"/>
          <w:lang w:eastAsia="en-GB"/>
        </w:rPr>
        <w:t>study</w:t>
      </w:r>
      <w:r w:rsidRPr="00E02C59">
        <w:rPr>
          <w:rFonts w:eastAsia="Times New Roman"/>
          <w:lang w:eastAsia="en-GB"/>
        </w:rPr>
        <w:t xml:space="preserve"> and the analysis above (sub-sections 4.3-4.6). To contextualize this outcome, seven scatterplots with trendlines were produced for all other combinations of ABC Scales and Dx Profilers (not shown) which indicated broadly similar R</w:t>
      </w:r>
      <w:r>
        <w:rPr>
          <w:rFonts w:eastAsia="Times New Roman"/>
          <w:vertAlign w:val="superscript"/>
          <w:lang w:eastAsia="en-GB"/>
        </w:rPr>
        <w:t>2</w:t>
      </w:r>
      <w:r w:rsidRPr="00E02C59">
        <w:rPr>
          <w:rFonts w:eastAsia="Times New Roman"/>
          <w:lang w:eastAsia="en-GB"/>
        </w:rPr>
        <w:t xml:space="preserve"> values, placing</w:t>
      </w:r>
      <w:r>
        <w:rPr>
          <w:rFonts w:eastAsia="Times New Roman"/>
          <w:lang w:eastAsia="en-GB"/>
        </w:rPr>
        <w:t xml:space="preserve"> </w:t>
      </w:r>
      <w:r w:rsidRPr="00E02C59">
        <w:rPr>
          <w:rFonts w:eastAsia="Times New Roman"/>
          <w:lang w:eastAsia="en-GB"/>
        </w:rPr>
        <w:t>this result towards the upper end of the range</w:t>
      </w:r>
      <w:r w:rsidR="00E02C59" w:rsidRPr="00E02C59">
        <w:rPr>
          <w:rFonts w:eastAsia="Times New Roman"/>
          <w:lang w:eastAsia="en-GB"/>
        </w:rPr>
        <w:t xml:space="preserve"> (Table 3</w:t>
      </w:r>
      <w:r w:rsidR="00997D83">
        <w:rPr>
          <w:rFonts w:eastAsia="Times New Roman"/>
          <w:lang w:eastAsia="en-GB"/>
        </w:rPr>
        <w:t>2</w:t>
      </w:r>
      <w:r w:rsidR="00E02C59" w:rsidRPr="00E02C59">
        <w:rPr>
          <w:rFonts w:eastAsia="Times New Roman"/>
          <w:lang w:eastAsia="en-GB"/>
        </w:rPr>
        <w:t>).</w:t>
      </w:r>
    </w:p>
    <w:p w14:paraId="6A02D4D6" w14:textId="418F4A1B" w:rsidR="00800CF2" w:rsidRDefault="00800CF2" w:rsidP="007B0625">
      <w:pPr>
        <w:rPr>
          <w:rFonts w:eastAsia="Times New Roman"/>
          <w:lang w:eastAsia="en-GB"/>
        </w:rPr>
      </w:pPr>
    </w:p>
    <w:p w14:paraId="47D252BE" w14:textId="1036D6A4" w:rsidR="004E6EF8" w:rsidRPr="00410316" w:rsidRDefault="004E6EF8" w:rsidP="004E6EF8">
      <w:pPr>
        <w:rPr>
          <w:rFonts w:eastAsia="Times New Roman"/>
          <w:lang w:eastAsia="en-GB"/>
        </w:rPr>
        <w:sectPr w:rsidR="004E6EF8" w:rsidRPr="00410316" w:rsidSect="00A2665A">
          <w:type w:val="continuous"/>
          <w:pgSz w:w="11906" w:h="16838"/>
          <w:pgMar w:top="720" w:right="964" w:bottom="720" w:left="2268" w:header="708" w:footer="708" w:gutter="0"/>
          <w:cols w:space="708"/>
          <w:docGrid w:linePitch="360"/>
        </w:sectPr>
      </w:pPr>
    </w:p>
    <w:p w14:paraId="75FA6595" w14:textId="587C8397" w:rsidR="007B0625" w:rsidRDefault="00E02C59" w:rsidP="00E02C59">
      <w:pPr>
        <w:sectPr w:rsidR="007B0625" w:rsidSect="00A2665A">
          <w:type w:val="continuous"/>
          <w:pgSz w:w="16838" w:h="11906" w:orient="landscape"/>
          <w:pgMar w:top="1418" w:right="720" w:bottom="964" w:left="1701" w:header="708" w:footer="708" w:gutter="0"/>
          <w:cols w:space="708"/>
          <w:docGrid w:linePitch="360"/>
        </w:sectPr>
      </w:pPr>
      <w:r>
        <w:rPr>
          <w:noProof/>
        </w:rPr>
        <w:lastRenderedPageBreak/>
        <mc:AlternateContent>
          <mc:Choice Requires="wps">
            <w:drawing>
              <wp:anchor distT="0" distB="0" distL="114300" distR="114300" simplePos="0" relativeHeight="251689984" behindDoc="0" locked="0" layoutInCell="1" allowOverlap="1" wp14:anchorId="3BD1166A" wp14:editId="2683E859">
                <wp:simplePos x="0" y="0"/>
                <wp:positionH relativeFrom="column">
                  <wp:posOffset>182245</wp:posOffset>
                </wp:positionH>
                <wp:positionV relativeFrom="paragraph">
                  <wp:posOffset>5523230</wp:posOffset>
                </wp:positionV>
                <wp:extent cx="8062595" cy="635"/>
                <wp:effectExtent l="0" t="0" r="1905" b="12065"/>
                <wp:wrapTopAndBottom/>
                <wp:docPr id="26" name="Text Box 26"/>
                <wp:cNvGraphicFramePr/>
                <a:graphic xmlns:a="http://schemas.openxmlformats.org/drawingml/2006/main">
                  <a:graphicData uri="http://schemas.microsoft.com/office/word/2010/wordprocessingShape">
                    <wps:wsp>
                      <wps:cNvSpPr txBox="1"/>
                      <wps:spPr>
                        <a:xfrm>
                          <a:off x="0" y="0"/>
                          <a:ext cx="8062595" cy="635"/>
                        </a:xfrm>
                        <a:prstGeom prst="rect">
                          <a:avLst/>
                        </a:prstGeom>
                        <a:solidFill>
                          <a:prstClr val="white"/>
                        </a:solidFill>
                        <a:ln>
                          <a:noFill/>
                        </a:ln>
                      </wps:spPr>
                      <wps:txbx>
                        <w:txbxContent>
                          <w:p w14:paraId="43561550" w14:textId="04A2BC06" w:rsidR="00533FBF" w:rsidRPr="00C12724" w:rsidRDefault="00533FBF" w:rsidP="00E02C59">
                            <w:pPr>
                              <w:pStyle w:val="Subtitle"/>
                              <w:rPr>
                                <w:rFonts w:ascii="Muli" w:hAnsi="Muli"/>
                                <w:noProof/>
                                <w:sz w:val="20"/>
                              </w:rPr>
                            </w:pPr>
                            <w:bookmarkStart w:id="247" w:name="_Toc56495242"/>
                            <w:r>
                              <w:t xml:space="preserve">Figure </w:t>
                            </w:r>
                            <w:r w:rsidR="00B568C9">
                              <w:fldChar w:fldCharType="begin"/>
                            </w:r>
                            <w:r w:rsidR="00B568C9">
                              <w:instrText xml:space="preserve"> SEQ Figure \* ARABIC </w:instrText>
                            </w:r>
                            <w:r w:rsidR="00B568C9">
                              <w:fldChar w:fldCharType="separate"/>
                            </w:r>
                            <w:r>
                              <w:rPr>
                                <w:noProof/>
                              </w:rPr>
                              <w:t>23</w:t>
                            </w:r>
                            <w:r w:rsidR="00B568C9">
                              <w:rPr>
                                <w:noProof/>
                              </w:rPr>
                              <w:fldChar w:fldCharType="end"/>
                            </w:r>
                            <w:r>
                              <w:t>:</w:t>
                            </w:r>
                            <w:r>
                              <w:tab/>
                              <w:t>Scatterplot of ABC24 against Dx20 for the complete datapool</w:t>
                            </w:r>
                            <w:bookmarkEnd w:id="2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D1166A" id="Text Box 26" o:spid="_x0000_s1046" type="#_x0000_t202" style="position:absolute;margin-left:14.35pt;margin-top:434.9pt;width:634.85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" stroked="f">
                <v:textbox style="mso-fit-shape-to-text:t" inset="0,0,0,0">
                  <w:txbxContent>
                    <w:p w14:paraId="43561550" w14:textId="04A2BC06" w:rsidR="00533FBF" w:rsidRPr="00C12724" w:rsidRDefault="00533FBF" w:rsidP="00E02C59">
                      <w:pPr>
                        <w:pStyle w:val="Subtitle"/>
                        <w:rPr>
                          <w:rFonts w:ascii="Muli" w:hAnsi="Muli"/>
                          <w:noProof/>
                          <w:sz w:val="20"/>
                        </w:rPr>
                      </w:pPr>
                      <w:bookmarkStart w:id="280" w:name="_Toc56495242"/>
                      <w:r>
                        <w:t xml:space="preserve">Figure </w:t>
                      </w:r>
                      <w:fldSimple w:instr=" SEQ Figure \* ARABIC ">
                        <w:r>
                          <w:rPr>
                            <w:noProof/>
                          </w:rPr>
                          <w:t>23</w:t>
                        </w:r>
                      </w:fldSimple>
                      <w:r>
                        <w:t>:</w:t>
                      </w:r>
                      <w:r>
                        <w:tab/>
                        <w:t>Scatterplot of ABC24 against Dx20 for the complete datapool</w:t>
                      </w:r>
                      <w:bookmarkEnd w:id="280"/>
                    </w:p>
                  </w:txbxContent>
                </v:textbox>
                <w10:wrap type="topAndBottom"/>
              </v:shape>
            </w:pict>
          </mc:Fallback>
        </mc:AlternateContent>
      </w:r>
      <w:r>
        <w:rPr>
          <w:noProof/>
        </w:rPr>
        <w:drawing>
          <wp:anchor distT="0" distB="0" distL="114300" distR="114300" simplePos="0" relativeHeight="251687936" behindDoc="0" locked="0" layoutInCell="1" allowOverlap="1" wp14:anchorId="74984DB1" wp14:editId="2D755315">
            <wp:simplePos x="0" y="0"/>
            <wp:positionH relativeFrom="column">
              <wp:posOffset>182624</wp:posOffset>
            </wp:positionH>
            <wp:positionV relativeFrom="paragraph">
              <wp:posOffset>331</wp:posOffset>
            </wp:positionV>
            <wp:extent cx="8062623" cy="5507897"/>
            <wp:effectExtent l="0" t="0" r="1905" b="4445"/>
            <wp:wrapTopAndBottom/>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ell phone&#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8062623" cy="5507897"/>
                    </a:xfrm>
                    <a:prstGeom prst="rect">
                      <a:avLst/>
                    </a:prstGeom>
                  </pic:spPr>
                </pic:pic>
              </a:graphicData>
            </a:graphic>
            <wp14:sizeRelH relativeFrom="page">
              <wp14:pctWidth>0</wp14:pctWidth>
            </wp14:sizeRelH>
            <wp14:sizeRelV relativeFrom="page">
              <wp14:pctHeight>0</wp14:pctHeight>
            </wp14:sizeRelV>
          </wp:anchor>
        </w:drawing>
      </w:r>
    </w:p>
    <w:p w14:paraId="08B15D3E" w14:textId="77777777" w:rsidR="00800CF2" w:rsidRDefault="00800CF2" w:rsidP="00800CF2">
      <w:pPr>
        <w:rPr>
          <w:rFonts w:eastAsia="Times New Roman"/>
          <w:lang w:eastAsia="en-GB"/>
        </w:rPr>
      </w:pPr>
    </w:p>
    <w:tbl>
      <w:tblPr>
        <w:tblStyle w:val="GridTable5Dark-Accent1"/>
        <w:tblW w:w="0" w:type="auto"/>
        <w:tblLook w:val="04A0" w:firstRow="1" w:lastRow="0" w:firstColumn="1" w:lastColumn="0" w:noHBand="0" w:noVBand="1"/>
      </w:tblPr>
      <w:tblGrid>
        <w:gridCol w:w="1732"/>
        <w:gridCol w:w="1807"/>
        <w:gridCol w:w="1752"/>
        <w:gridCol w:w="1834"/>
        <w:gridCol w:w="1539"/>
      </w:tblGrid>
      <w:tr w:rsidR="00800CF2" w:rsidRPr="008211B8" w14:paraId="29938A66" w14:textId="77777777" w:rsidTr="00D029AE">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732" w:type="dxa"/>
            <w:vAlign w:val="center"/>
          </w:tcPr>
          <w:p w14:paraId="1752C115" w14:textId="77777777" w:rsidR="00800CF2" w:rsidRPr="008211B8" w:rsidRDefault="00800CF2" w:rsidP="00D029AE">
            <w:pPr>
              <w:spacing w:before="0" w:after="0" w:line="240" w:lineRule="auto"/>
              <w:jc w:val="center"/>
              <w:rPr>
                <w:rFonts w:ascii="Gill Sans MT" w:hAnsi="Gill Sans MT"/>
                <w:b w:val="0"/>
                <w:bCs w:val="0"/>
              </w:rPr>
            </w:pPr>
            <w:r>
              <w:rPr>
                <w:rFonts w:ascii="Gill Sans MT" w:hAnsi="Gill Sans MT"/>
                <w:b w:val="0"/>
                <w:bCs w:val="0"/>
              </w:rPr>
              <w:t>Dx Profiler</w:t>
            </w:r>
          </w:p>
        </w:tc>
        <w:tc>
          <w:tcPr>
            <w:tcW w:w="1807" w:type="dxa"/>
            <w:vAlign w:val="center"/>
          </w:tcPr>
          <w:p w14:paraId="5CC606E3" w14:textId="77777777" w:rsidR="00800CF2" w:rsidRPr="008211B8" w:rsidRDefault="00800CF2" w:rsidP="00D029A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ABC24</w:t>
            </w:r>
          </w:p>
        </w:tc>
        <w:tc>
          <w:tcPr>
            <w:tcW w:w="1752" w:type="dxa"/>
            <w:vAlign w:val="center"/>
          </w:tcPr>
          <w:p w14:paraId="34031E83" w14:textId="77777777" w:rsidR="00800CF2" w:rsidRPr="008211B8" w:rsidRDefault="00800CF2" w:rsidP="00D029A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ABC17</w:t>
            </w:r>
          </w:p>
        </w:tc>
        <w:tc>
          <w:tcPr>
            <w:tcW w:w="1834" w:type="dxa"/>
            <w:vAlign w:val="center"/>
          </w:tcPr>
          <w:p w14:paraId="76B65E94" w14:textId="77777777" w:rsidR="00800CF2" w:rsidRPr="008211B8" w:rsidRDefault="00800CF2" w:rsidP="00D029A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ABC21-L</w:t>
            </w:r>
          </w:p>
        </w:tc>
        <w:tc>
          <w:tcPr>
            <w:tcW w:w="1539" w:type="dxa"/>
            <w:vAlign w:val="center"/>
          </w:tcPr>
          <w:p w14:paraId="4D574F8C" w14:textId="77777777" w:rsidR="00800CF2" w:rsidRDefault="00800CF2" w:rsidP="00D029A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ABC17-L</w:t>
            </w:r>
          </w:p>
        </w:tc>
      </w:tr>
      <w:tr w:rsidR="00800CF2" w:rsidRPr="008211B8" w14:paraId="0C66BE71" w14:textId="77777777" w:rsidTr="00D029A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32" w:type="dxa"/>
            <w:vAlign w:val="center"/>
          </w:tcPr>
          <w:p w14:paraId="1C312B0C" w14:textId="77777777" w:rsidR="00800CF2" w:rsidRPr="008211B8" w:rsidRDefault="00800CF2" w:rsidP="00D029AE">
            <w:pPr>
              <w:spacing w:before="0" w:after="0" w:line="240" w:lineRule="auto"/>
              <w:jc w:val="center"/>
              <w:rPr>
                <w:rFonts w:ascii="Gill Sans MT" w:hAnsi="Gill Sans MT"/>
                <w:b w:val="0"/>
                <w:bCs w:val="0"/>
              </w:rPr>
            </w:pPr>
            <w:r>
              <w:rPr>
                <w:rFonts w:ascii="Gill Sans MT" w:hAnsi="Gill Sans MT"/>
                <w:b w:val="0"/>
                <w:bCs w:val="0"/>
              </w:rPr>
              <w:t>Dx20</w:t>
            </w:r>
          </w:p>
        </w:tc>
        <w:tc>
          <w:tcPr>
            <w:tcW w:w="1807" w:type="dxa"/>
            <w:vAlign w:val="center"/>
          </w:tcPr>
          <w:p w14:paraId="254D237C" w14:textId="77777777" w:rsidR="00800CF2" w:rsidRPr="008211B8" w:rsidRDefault="00800CF2" w:rsidP="00D029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0.1895</w:t>
            </w:r>
          </w:p>
        </w:tc>
        <w:tc>
          <w:tcPr>
            <w:tcW w:w="1752" w:type="dxa"/>
            <w:vAlign w:val="center"/>
          </w:tcPr>
          <w:p w14:paraId="1B570166" w14:textId="77777777" w:rsidR="00800CF2" w:rsidRPr="008211B8" w:rsidRDefault="00800CF2" w:rsidP="00D029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0.1946</w:t>
            </w:r>
          </w:p>
        </w:tc>
        <w:tc>
          <w:tcPr>
            <w:tcW w:w="1834" w:type="dxa"/>
            <w:vAlign w:val="center"/>
          </w:tcPr>
          <w:p w14:paraId="73DD661E" w14:textId="77777777" w:rsidR="00800CF2" w:rsidRPr="008211B8" w:rsidRDefault="00800CF2" w:rsidP="00D029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0.1923</w:t>
            </w:r>
          </w:p>
        </w:tc>
        <w:tc>
          <w:tcPr>
            <w:tcW w:w="1539" w:type="dxa"/>
            <w:vAlign w:val="center"/>
          </w:tcPr>
          <w:p w14:paraId="0FA3725B" w14:textId="77777777" w:rsidR="00800CF2" w:rsidRDefault="00800CF2" w:rsidP="00D029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0.1492</w:t>
            </w:r>
          </w:p>
        </w:tc>
      </w:tr>
      <w:tr w:rsidR="00800CF2" w:rsidRPr="008211B8" w14:paraId="1B33214D" w14:textId="77777777" w:rsidTr="00D029AE">
        <w:trPr>
          <w:trHeight w:val="454"/>
        </w:trPr>
        <w:tc>
          <w:tcPr>
            <w:cnfStyle w:val="001000000000" w:firstRow="0" w:lastRow="0" w:firstColumn="1" w:lastColumn="0" w:oddVBand="0" w:evenVBand="0" w:oddHBand="0" w:evenHBand="0" w:firstRowFirstColumn="0" w:firstRowLastColumn="0" w:lastRowFirstColumn="0" w:lastRowLastColumn="0"/>
            <w:tcW w:w="1732" w:type="dxa"/>
            <w:vAlign w:val="center"/>
          </w:tcPr>
          <w:p w14:paraId="5CA49D10" w14:textId="77777777" w:rsidR="00800CF2" w:rsidRPr="008211B8" w:rsidRDefault="00800CF2" w:rsidP="00D029AE">
            <w:pPr>
              <w:spacing w:before="0" w:after="0" w:line="240" w:lineRule="auto"/>
              <w:jc w:val="center"/>
              <w:rPr>
                <w:rFonts w:ascii="Gill Sans MT" w:hAnsi="Gill Sans MT"/>
                <w:b w:val="0"/>
                <w:bCs w:val="0"/>
              </w:rPr>
            </w:pPr>
            <w:r>
              <w:rPr>
                <w:rFonts w:ascii="Gill Sans MT" w:hAnsi="Gill Sans MT"/>
                <w:b w:val="0"/>
                <w:bCs w:val="0"/>
              </w:rPr>
              <w:t>Dx16</w:t>
            </w:r>
          </w:p>
        </w:tc>
        <w:tc>
          <w:tcPr>
            <w:tcW w:w="1807" w:type="dxa"/>
            <w:vAlign w:val="center"/>
          </w:tcPr>
          <w:p w14:paraId="322A4881" w14:textId="77777777" w:rsidR="00800CF2" w:rsidRPr="008211B8" w:rsidRDefault="00800CF2" w:rsidP="00D029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0.1574</w:t>
            </w:r>
          </w:p>
        </w:tc>
        <w:tc>
          <w:tcPr>
            <w:tcW w:w="1752" w:type="dxa"/>
            <w:vAlign w:val="center"/>
          </w:tcPr>
          <w:p w14:paraId="1B2C409A" w14:textId="77777777" w:rsidR="00800CF2" w:rsidRPr="008211B8" w:rsidRDefault="00800CF2" w:rsidP="00D029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0.1609</w:t>
            </w:r>
          </w:p>
        </w:tc>
        <w:tc>
          <w:tcPr>
            <w:tcW w:w="1834" w:type="dxa"/>
            <w:vAlign w:val="center"/>
          </w:tcPr>
          <w:p w14:paraId="0BB70F38" w14:textId="77777777" w:rsidR="00800CF2" w:rsidRPr="008211B8" w:rsidRDefault="00800CF2" w:rsidP="00D029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0.1600</w:t>
            </w:r>
          </w:p>
        </w:tc>
        <w:tc>
          <w:tcPr>
            <w:tcW w:w="1539" w:type="dxa"/>
            <w:vAlign w:val="center"/>
          </w:tcPr>
          <w:p w14:paraId="08CF7E76" w14:textId="77777777" w:rsidR="00800CF2" w:rsidRDefault="00800CF2" w:rsidP="00D029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0.1217</w:t>
            </w:r>
          </w:p>
        </w:tc>
      </w:tr>
    </w:tbl>
    <w:p w14:paraId="139155CD" w14:textId="3AFEB38E" w:rsidR="00800CF2" w:rsidRPr="00410316" w:rsidRDefault="00800CF2" w:rsidP="00990233">
      <w:pPr>
        <w:pStyle w:val="Tables"/>
        <w:rPr>
          <w:rFonts w:eastAsia="Times New Roman"/>
          <w:lang w:eastAsia="en-GB"/>
        </w:rPr>
      </w:pPr>
      <w:bookmarkStart w:id="248" w:name="_Toc57033211"/>
      <w:r>
        <w:rPr>
          <w:rFonts w:eastAsia="Times New Roman"/>
          <w:lang w:eastAsia="en-GB"/>
        </w:rPr>
        <w:t>Table 3</w:t>
      </w:r>
      <w:r w:rsidR="00997D83">
        <w:rPr>
          <w:rFonts w:eastAsia="Times New Roman"/>
          <w:lang w:eastAsia="en-GB"/>
        </w:rPr>
        <w:t>2</w:t>
      </w:r>
      <w:r>
        <w:rPr>
          <w:rFonts w:eastAsia="Times New Roman"/>
          <w:lang w:eastAsia="en-GB"/>
        </w:rPr>
        <w:t>:</w:t>
      </w:r>
      <w:r w:rsidR="003214C8">
        <w:rPr>
          <w:rFonts w:eastAsia="Times New Roman"/>
          <w:lang w:eastAsia="en-GB"/>
        </w:rPr>
        <w:tab/>
      </w:r>
      <w:r>
        <w:rPr>
          <w:rFonts w:eastAsia="Times New Roman"/>
          <w:lang w:eastAsia="en-GB"/>
        </w:rPr>
        <w:t>Values of R</w:t>
      </w:r>
      <w:r>
        <w:rPr>
          <w:rFonts w:eastAsia="Times New Roman"/>
          <w:vertAlign w:val="superscript"/>
          <w:lang w:eastAsia="en-GB"/>
        </w:rPr>
        <w:t>2</w:t>
      </w:r>
      <w:r>
        <w:rPr>
          <w:rFonts w:eastAsia="Times New Roman"/>
          <w:lang w:eastAsia="en-GB"/>
        </w:rPr>
        <w:t xml:space="preserve"> for simple, linear regressions for all permutations of ABC and Dx Profiler Scales.</w:t>
      </w:r>
      <w:bookmarkEnd w:id="248"/>
    </w:p>
    <w:p w14:paraId="4995503F" w14:textId="071C79EE" w:rsidR="00800CF2" w:rsidRDefault="00800CF2" w:rsidP="00800CF2">
      <w:pPr>
        <w:rPr>
          <w:rFonts w:eastAsia="Times New Roman"/>
          <w:lang w:eastAsia="en-GB"/>
        </w:rPr>
      </w:pPr>
      <w:r w:rsidRPr="00410316">
        <w:rPr>
          <w:rFonts w:eastAsia="Times New Roman"/>
          <w:lang w:eastAsia="en-GB"/>
        </w:rPr>
        <w:t>But the Dx Profilers are multi-item scales so it was reasonable to assume that a multiple regression analysis may generate a</w:t>
      </w:r>
      <w:r>
        <w:rPr>
          <w:rFonts w:eastAsia="Times New Roman"/>
          <w:lang w:eastAsia="en-GB"/>
        </w:rPr>
        <w:t xml:space="preserve"> </w:t>
      </w:r>
      <w:r w:rsidRPr="00410316">
        <w:rPr>
          <w:rFonts w:eastAsia="Times New Roman"/>
          <w:lang w:eastAsia="en-GB"/>
        </w:rPr>
        <w:t xml:space="preserve">better model for the data and hence provide a more accurate mechanism for comparing model-generated, expected mean ABC </w:t>
      </w:r>
      <w:r>
        <w:rPr>
          <w:rFonts w:eastAsia="Times New Roman"/>
          <w:lang w:eastAsia="en-GB"/>
        </w:rPr>
        <w:t xml:space="preserve">values </w:t>
      </w:r>
      <w:r w:rsidRPr="00410316">
        <w:rPr>
          <w:rFonts w:eastAsia="Times New Roman"/>
          <w:lang w:eastAsia="en-GB"/>
        </w:rPr>
        <w:t>with experimentally derived data. However, this study has accommodated four versions of the ABC Scale to analyse data derived from two versions of the Dx Profiler.</w:t>
      </w:r>
      <w:r>
        <w:rPr>
          <w:rFonts w:eastAsia="Times New Roman"/>
          <w:lang w:eastAsia="en-GB"/>
        </w:rPr>
        <w:t xml:space="preserve"> </w:t>
      </w:r>
      <w:r w:rsidRPr="00410316">
        <w:rPr>
          <w:rFonts w:eastAsia="Times New Roman"/>
          <w:lang w:eastAsia="en-GB"/>
        </w:rPr>
        <w:t>Hence it was considered that running multiple regression analyses on the eight possible models resulting from permutations of these ABC and Dx Scales would be more appropriately conducted</w:t>
      </w:r>
      <w:r>
        <w:rPr>
          <w:rFonts w:eastAsia="Times New Roman"/>
          <w:lang w:eastAsia="en-GB"/>
        </w:rPr>
        <w:t xml:space="preserve"> </w:t>
      </w:r>
      <w:r w:rsidRPr="00410316">
        <w:rPr>
          <w:rFonts w:eastAsia="Times New Roman"/>
          <w:lang w:eastAsia="en-GB"/>
        </w:rPr>
        <w:t>in a subsequent study, with a clear, research design to focus exclusively</w:t>
      </w:r>
      <w:r>
        <w:rPr>
          <w:rFonts w:eastAsia="Times New Roman"/>
          <w:lang w:eastAsia="en-GB"/>
        </w:rPr>
        <w:t xml:space="preserve"> </w:t>
      </w:r>
      <w:r w:rsidRPr="00410316">
        <w:rPr>
          <w:rFonts w:eastAsia="Times New Roman"/>
          <w:lang w:eastAsia="en-GB"/>
        </w:rPr>
        <w:t>on this aspect of the possible relationships between academic confidence and dyslexia-ness.</w:t>
      </w:r>
    </w:p>
    <w:p w14:paraId="00345243" w14:textId="0B246EB4" w:rsidR="00800CF2" w:rsidRDefault="00800CF2" w:rsidP="00800CF2">
      <w:pPr>
        <w:rPr>
          <w:rFonts w:eastAsia="Times New Roman"/>
          <w:lang w:eastAsia="en-GB"/>
        </w:rPr>
      </w:pPr>
      <w:r>
        <w:rPr>
          <w:rFonts w:eastAsia="Times New Roman"/>
          <w:lang w:eastAsia="en-GB"/>
        </w:rPr>
        <w:t xml:space="preserve">Nevertheless,  </w:t>
      </w:r>
      <w:r w:rsidRPr="00410316">
        <w:rPr>
          <w:rFonts w:eastAsia="Times New Roman"/>
          <w:lang w:eastAsia="en-GB"/>
        </w:rPr>
        <w:t>one multiple regression analysis was conducted using the ABC24 Scale and the Dx20 Profiler, principally as a pilot exercise to determine the feasibility of the processes, to examine whether outputs were meaningful, and hence to indicate whether such a study would be worthwhile.​ </w:t>
      </w:r>
      <w:r w:rsidR="00AF38E7">
        <w:rPr>
          <w:rFonts w:eastAsia="Times New Roman"/>
          <w:lang w:eastAsia="en-GB"/>
        </w:rPr>
        <w:t>T</w:t>
      </w:r>
      <w:r w:rsidRPr="00410316">
        <w:rPr>
          <w:rFonts w:eastAsia="Times New Roman"/>
          <w:lang w:eastAsia="en-GB"/>
        </w:rPr>
        <w:t>hree</w:t>
      </w:r>
      <w:r w:rsidR="00AF38E7">
        <w:rPr>
          <w:rFonts w:eastAsia="Times New Roman"/>
          <w:lang w:eastAsia="en-GB"/>
        </w:rPr>
        <w:t xml:space="preserve"> </w:t>
      </w:r>
      <w:r w:rsidRPr="00410316">
        <w:rPr>
          <w:rFonts w:eastAsia="Times New Roman"/>
          <w:lang w:eastAsia="en-GB"/>
        </w:rPr>
        <w:t>multiple regression analyses were conducted to generate distinct regression equations from which four outcomes were of interest:</w:t>
      </w:r>
    </w:p>
    <w:p w14:paraId="724491DA" w14:textId="77777777" w:rsidR="00800CF2" w:rsidRDefault="00800CF2" w:rsidP="00800CF2">
      <w:pPr>
        <w:spacing w:line="276" w:lineRule="auto"/>
        <w:ind w:left="720"/>
        <w:rPr>
          <w:rFonts w:ascii="Times New Roman" w:eastAsia="Times New Roman" w:hAnsi="Times New Roman"/>
        </w:rPr>
      </w:pPr>
      <w:r>
        <w:t>I - to generate expected ABC24 for all groups and subgroups based on the regression equation derived from Dx20 using data from the complete datapool;</w:t>
      </w:r>
    </w:p>
    <w:p w14:paraId="4B9C5D45" w14:textId="77777777" w:rsidR="00800CF2" w:rsidRDefault="00800CF2" w:rsidP="00800CF2">
      <w:pPr>
        <w:spacing w:line="276" w:lineRule="auto"/>
        <w:ind w:left="720"/>
      </w:pPr>
      <w:r>
        <w:t>II - to generate expected ABC24 for non-dyslexic students based on the regression equation derived from Dx20 data from that research group;</w:t>
      </w:r>
    </w:p>
    <w:p w14:paraId="48B2F8B5" w14:textId="77777777" w:rsidR="00800CF2" w:rsidRDefault="00800CF2" w:rsidP="00800CF2">
      <w:pPr>
        <w:spacing w:line="276" w:lineRule="auto"/>
        <w:ind w:left="720"/>
      </w:pPr>
      <w:r>
        <w:t>III - to generate expected ABC24 for dyslexic students based on the regression equation derived from Dx20 data from that research group;</w:t>
      </w:r>
    </w:p>
    <w:p w14:paraId="14FC0D06" w14:textId="77777777" w:rsidR="00800CF2" w:rsidRDefault="00800CF2" w:rsidP="00800CF2">
      <w:pPr>
        <w:spacing w:line="276" w:lineRule="auto"/>
        <w:ind w:left="720"/>
      </w:pPr>
      <w:r>
        <w:t>IV - to generate expected ABC24 for students in the Test subgroup, based on the regression equation derived from Dx20 data for the dyslexic group.</w:t>
      </w:r>
    </w:p>
    <w:p w14:paraId="248C6DC8" w14:textId="2A3D5728" w:rsidR="00800CF2" w:rsidRDefault="00800CF2" w:rsidP="00800CF2">
      <w:pPr>
        <w:rPr>
          <w:rFonts w:eastAsia="Times New Roman"/>
          <w:lang w:eastAsia="en-GB"/>
        </w:rPr>
      </w:pPr>
      <w:r w:rsidRPr="00410316">
        <w:rPr>
          <w:rFonts w:eastAsia="Times New Roman"/>
          <w:lang w:eastAsia="en-GB"/>
        </w:rPr>
        <w:t>In each of the four models the objective was to compare the expected</w:t>
      </w:r>
      <w:r>
        <w:rPr>
          <w:rFonts w:eastAsia="Times New Roman"/>
          <w:lang w:eastAsia="en-GB"/>
        </w:rPr>
        <w:t xml:space="preserve"> </w:t>
      </w:r>
      <w:r w:rsidRPr="00410316">
        <w:rPr>
          <w:rFonts w:eastAsia="Times New Roman"/>
          <w:lang w:eastAsia="en-GB"/>
        </w:rPr>
        <w:t>mean ABC24 to the observed mean ABC24 so that the closeness of match could be examined. As this was a pilot for a later, more detailed multiple regression analysis, calculating differences between observed and expected mean ABC values was considered sufficient. A more analytical examination could be developed later as part of an appropriate research design. The greatest interest was in the output for model IV</w:t>
      </w:r>
      <w:r w:rsidR="00AF38E7">
        <w:rPr>
          <w:rFonts w:eastAsia="Times New Roman"/>
          <w:lang w:eastAsia="en-GB"/>
        </w:rPr>
        <w:t xml:space="preserve"> </w:t>
      </w:r>
      <w:r w:rsidRPr="00410316">
        <w:rPr>
          <w:rFonts w:eastAsia="Times New Roman"/>
          <w:lang w:eastAsia="en-GB"/>
        </w:rPr>
        <w:t>as both cohorts presented on average, similar levels of dyslexia-ness.</w:t>
      </w:r>
    </w:p>
    <w:p w14:paraId="5871587C" w14:textId="13749D64" w:rsidR="00410316" w:rsidRPr="00410316" w:rsidRDefault="00800CF2" w:rsidP="00800CF2">
      <w:pPr>
        <w:rPr>
          <w:rFonts w:eastAsia="Times New Roman"/>
          <w:lang w:eastAsia="en-GB"/>
        </w:rPr>
      </w:pPr>
      <w:r w:rsidRPr="00410316">
        <w:rPr>
          <w:rFonts w:eastAsia="Times New Roman"/>
          <w:lang w:eastAsia="en-GB"/>
        </w:rPr>
        <w:lastRenderedPageBreak/>
        <w:t>The analysis was considered valid as a consequence of preliminary assumptions and tests thus: According to the study design it was considered highly unlikely that observations would be related, confirmed by the Durbin-Watson test for</w:t>
      </w:r>
      <w:r>
        <w:rPr>
          <w:rFonts w:eastAsia="Times New Roman"/>
          <w:lang w:eastAsia="en-GB"/>
        </w:rPr>
        <w:t xml:space="preserve"> </w:t>
      </w:r>
      <w:r w:rsidRPr="00410316">
        <w:rPr>
          <w:rFonts w:eastAsia="Times New Roman"/>
          <w:lang w:eastAsia="en-GB"/>
        </w:rPr>
        <w:t xml:space="preserve">independence of errors </w:t>
      </w:r>
      <w:r w:rsidR="00410316" w:rsidRPr="00410316">
        <w:rPr>
          <w:rFonts w:eastAsia="Times New Roman"/>
          <w:lang w:eastAsia="en-GB"/>
        </w:rPr>
        <w:t>(residuals), which generated an output of</w:t>
      </w:r>
      <w:r w:rsidR="00410316">
        <w:rPr>
          <w:rFonts w:eastAsia="Times New Roman"/>
          <w:lang w:eastAsia="en-GB"/>
        </w:rPr>
        <w:t xml:space="preserve"> </w:t>
      </w:r>
      <w:r w:rsidR="00410316" w:rsidRPr="00410316">
        <w:rPr>
          <w:rFonts w:eastAsia="Times New Roman"/>
          <w:lang w:eastAsia="en-GB"/>
        </w:rPr>
        <w:t>1.881. A value close to 2 is considered sufficient to demonstrate this (Lund &amp; Lund, 2016-18). Tests for linearity were conducted</w:t>
      </w:r>
      <w:r w:rsidR="004E6EF8">
        <w:rPr>
          <w:rFonts w:eastAsia="Times New Roman"/>
          <w:lang w:eastAsia="en-GB"/>
        </w:rPr>
        <w:t xml:space="preserve"> </w:t>
      </w:r>
      <w:r w:rsidR="00410316" w:rsidRPr="00410316">
        <w:rPr>
          <w:rFonts w:eastAsia="Times New Roman"/>
          <w:lang w:eastAsia="en-GB"/>
        </w:rPr>
        <w:t>by observing</w:t>
      </w:r>
      <w:r w:rsidR="004E6EF8">
        <w:rPr>
          <w:rFonts w:eastAsia="Times New Roman"/>
          <w:lang w:eastAsia="en-GB"/>
        </w:rPr>
        <w:t xml:space="preserve"> </w:t>
      </w:r>
      <w:r w:rsidR="00410316" w:rsidRPr="00410316">
        <w:rPr>
          <w:rFonts w:eastAsia="Times New Roman"/>
          <w:lang w:eastAsia="en-GB"/>
        </w:rPr>
        <w:t>scatterplots of the studentized residuals against the unstandardized predicted values for each of the five regressions. The residuals formed an approximately horizontal band in all scatterplots</w:t>
      </w:r>
      <w:r w:rsidR="00AF38E7">
        <w:rPr>
          <w:rFonts w:eastAsia="Times New Roman"/>
          <w:lang w:eastAsia="en-GB"/>
        </w:rPr>
        <w:t xml:space="preserve"> (not shown)</w:t>
      </w:r>
      <w:r w:rsidR="00410316" w:rsidRPr="00410316">
        <w:rPr>
          <w:rFonts w:eastAsia="Times New Roman"/>
          <w:lang w:eastAsia="en-GB"/>
        </w:rPr>
        <w:t>, so it was assumed that the independent variables collectively are linearly related to the dependent variable. Homoscedasticity was demonstrated through a visual inspection of the scatterplots of studentized residuals against unstandardized predicted values. Interpretation of correlation tables showed that none of the correlation coefficients were &gt; 0.7 for any of the regression models indicating no evidence of multicollinearity.</w:t>
      </w:r>
      <w:r w:rsidR="004E6EF8">
        <w:rPr>
          <w:rFonts w:eastAsia="Times New Roman"/>
          <w:lang w:eastAsia="en-GB"/>
        </w:rPr>
        <w:t xml:space="preserve"> </w:t>
      </w:r>
      <w:r w:rsidR="00410316" w:rsidRPr="00410316">
        <w:rPr>
          <w:rFonts w:eastAsia="Times New Roman"/>
          <w:lang w:eastAsia="en-GB"/>
        </w:rPr>
        <w:t>This was further confirmed by consulting the Table of Collinearity Tolerances where none were less than the recommended critical value of 0.1 (ibid).</w:t>
      </w:r>
    </w:p>
    <w:p w14:paraId="035024CE" w14:textId="490A9566" w:rsidR="00410316" w:rsidRPr="00410316" w:rsidRDefault="00410316" w:rsidP="00410316">
      <w:pPr>
        <w:rPr>
          <w:rFonts w:eastAsia="Times New Roman"/>
          <w:lang w:eastAsia="en-GB"/>
        </w:rPr>
      </w:pPr>
      <w:r w:rsidRPr="00410316">
        <w:rPr>
          <w:rFonts w:eastAsia="Times New Roman"/>
          <w:lang w:eastAsia="en-GB"/>
        </w:rPr>
        <w:t>Significant outliers were not detected on the basis of standardized residuals being greater than +/- 3 standard deviations (SDs). Consulting the studentized deleted residuals also confirmed the unlikelihood of significant outliers as none were greater than +/- 3 SDs. Checking for any datapoints having undue influence on the regressions showed that 93% of the datapoints presented leverage values of &lt;</w:t>
      </w:r>
      <w:r w:rsidR="004E6EF8">
        <w:rPr>
          <w:rFonts w:eastAsia="Times New Roman"/>
          <w:lang w:eastAsia="en-GB"/>
        </w:rPr>
        <w:t xml:space="preserve"> </w:t>
      </w:r>
      <w:r w:rsidRPr="00410316">
        <w:rPr>
          <w:rFonts w:eastAsia="Times New Roman"/>
          <w:lang w:eastAsia="en-GB"/>
        </w:rPr>
        <w:t>0.2, considered the boundary criteria between ‘safe’ and ‘risky’ (ibid), with all datapoints &lt;</w:t>
      </w:r>
      <w:r w:rsidR="004E6EF8">
        <w:rPr>
          <w:rFonts w:eastAsia="Times New Roman"/>
          <w:lang w:eastAsia="en-GB"/>
        </w:rPr>
        <w:t xml:space="preserve"> </w:t>
      </w:r>
      <w:r w:rsidRPr="00410316">
        <w:rPr>
          <w:rFonts w:eastAsia="Times New Roman"/>
          <w:lang w:eastAsia="en-GB"/>
        </w:rPr>
        <w:t>0.289 leverage. As a further test for influential datapoints, Cook’s Distance values were examined and none showed a value &gt;1, considered to be the criteria for testing influence (ibid).</w:t>
      </w:r>
    </w:p>
    <w:p w14:paraId="6A565778" w14:textId="79FD0EA8" w:rsidR="00410316" w:rsidRDefault="00410316" w:rsidP="00410316">
      <w:pPr>
        <w:rPr>
          <w:rFonts w:eastAsia="Times New Roman"/>
          <w:lang w:eastAsia="en-GB"/>
        </w:rPr>
      </w:pPr>
      <w:r w:rsidRPr="00410316">
        <w:rPr>
          <w:rFonts w:eastAsia="Times New Roman"/>
          <w:lang w:eastAsia="en-GB"/>
        </w:rPr>
        <w:t>Visual inspection of Normal P-P plots of the regression standardized residuals indicated that the distributions were approximately normal. To test the ‘goodness of fit’ of the regression models to the data, the proportion of variance explained by each regression model (adjusted R-squared) was I:</w:t>
      </w:r>
      <w:r w:rsidR="00770AA8">
        <w:rPr>
          <w:rFonts w:eastAsia="Times New Roman"/>
          <w:lang w:eastAsia="en-GB"/>
        </w:rPr>
        <w:t xml:space="preserve"> </w:t>
      </w:r>
      <w:r w:rsidRPr="00410316">
        <w:rPr>
          <w:rFonts w:eastAsia="Times New Roman"/>
          <w:lang w:eastAsia="en-GB"/>
        </w:rPr>
        <w:t>43.6%; II:</w:t>
      </w:r>
      <w:r w:rsidR="00770AA8">
        <w:rPr>
          <w:rFonts w:eastAsia="Times New Roman"/>
          <w:lang w:eastAsia="en-GB"/>
        </w:rPr>
        <w:t xml:space="preserve"> </w:t>
      </w:r>
      <w:r w:rsidRPr="00410316">
        <w:rPr>
          <w:rFonts w:eastAsia="Times New Roman"/>
          <w:lang w:eastAsia="en-GB"/>
        </w:rPr>
        <w:t>42.7%; III:</w:t>
      </w:r>
      <w:r w:rsidR="00770AA8">
        <w:rPr>
          <w:rFonts w:eastAsia="Times New Roman"/>
          <w:lang w:eastAsia="en-GB"/>
        </w:rPr>
        <w:t xml:space="preserve"> </w:t>
      </w:r>
      <w:r w:rsidRPr="00410316">
        <w:rPr>
          <w:rFonts w:eastAsia="Times New Roman"/>
          <w:lang w:eastAsia="en-GB"/>
        </w:rPr>
        <w:t>31.6%, suggesting that all models were adequate. To determine the statistical significance of the models, that is, whether they are significantly better at predicating ABC than the mean model, the ANOVA outputs showed that all models returned a statistically significant result</w:t>
      </w:r>
      <w:r w:rsidR="00770AA8">
        <w:rPr>
          <w:rFonts w:eastAsia="Times New Roman"/>
          <w:lang w:eastAsia="en-GB"/>
        </w:rPr>
        <w:t>.</w:t>
      </w:r>
    </w:p>
    <w:p w14:paraId="52AEA0AF" w14:textId="3B59CE36" w:rsidR="00EC032E" w:rsidRPr="00410316" w:rsidRDefault="00410316" w:rsidP="00770AA8">
      <w:pPr>
        <w:rPr>
          <w:rFonts w:eastAsia="Times New Roman"/>
          <w:lang w:eastAsia="en-GB"/>
        </w:rPr>
      </w:pPr>
      <w:r w:rsidRPr="00410316">
        <w:rPr>
          <w:rFonts w:eastAsia="Times New Roman"/>
          <w:lang w:eastAsia="en-GB"/>
        </w:rPr>
        <w:t>The mean ABC values calculated from observed data for the complete datapool, each of the research groups and subgroups, was compared with the expected mean ABC values generated from the models (Table 3</w:t>
      </w:r>
      <w:r w:rsidR="00997D83">
        <w:rPr>
          <w:rFonts w:eastAsia="Times New Roman"/>
          <w:lang w:eastAsia="en-GB"/>
        </w:rPr>
        <w:t>3</w:t>
      </w:r>
      <w:r w:rsidRPr="00410316">
        <w:rPr>
          <w:rFonts w:eastAsia="Times New Roman"/>
          <w:lang w:eastAsia="en-GB"/>
        </w:rPr>
        <w:t>). Differences</w:t>
      </w:r>
      <w:r w:rsidR="004E6EF8">
        <w:rPr>
          <w:rFonts w:eastAsia="Times New Roman"/>
          <w:lang w:eastAsia="en-GB"/>
        </w:rPr>
        <w:t xml:space="preserve"> </w:t>
      </w:r>
      <w:r w:rsidRPr="00410316">
        <w:rPr>
          <w:rFonts w:eastAsia="Times New Roman"/>
          <w:lang w:eastAsia="en-GB"/>
        </w:rPr>
        <w:t>between observed and expected</w:t>
      </w:r>
      <w:r w:rsidR="004E6EF8">
        <w:rPr>
          <w:rFonts w:eastAsia="Times New Roman"/>
          <w:lang w:eastAsia="en-GB"/>
        </w:rPr>
        <w:t xml:space="preserve"> </w:t>
      </w:r>
      <w:r w:rsidRPr="00410316">
        <w:rPr>
          <w:rFonts w:eastAsia="Times New Roman"/>
          <w:lang w:eastAsia="en-GB"/>
        </w:rPr>
        <w:t>mean ABC values are generally small for models used to test their own cohort's data which confirmed the overall validity of the models. For example, the observed mean ABC=58.45 for the dyslexic group is a slim,</w:t>
      </w:r>
      <w:r w:rsidR="004E6EF8">
        <w:rPr>
          <w:rFonts w:eastAsia="Times New Roman"/>
          <w:lang w:eastAsia="en-GB"/>
        </w:rPr>
        <w:t xml:space="preserve"> </w:t>
      </w:r>
      <w:r w:rsidRPr="00410316">
        <w:rPr>
          <w:rFonts w:eastAsia="Times New Roman"/>
          <w:lang w:eastAsia="en-GB"/>
        </w:rPr>
        <w:t>0.01 percentage points below</w:t>
      </w:r>
      <w:r w:rsidR="004E6EF8">
        <w:rPr>
          <w:rFonts w:eastAsia="Times New Roman"/>
          <w:lang w:eastAsia="en-GB"/>
        </w:rPr>
        <w:t xml:space="preserve"> </w:t>
      </w:r>
      <w:r w:rsidRPr="00410316">
        <w:rPr>
          <w:rFonts w:eastAsia="Times New Roman"/>
          <w:lang w:eastAsia="en-GB"/>
        </w:rPr>
        <w:t>the expected</w:t>
      </w:r>
      <w:r w:rsidR="004E6EF8">
        <w:rPr>
          <w:rFonts w:eastAsia="Times New Roman"/>
          <w:lang w:eastAsia="en-GB"/>
        </w:rPr>
        <w:t xml:space="preserve"> </w:t>
      </w:r>
      <w:r w:rsidRPr="00410316">
        <w:rPr>
          <w:rFonts w:eastAsia="Times New Roman"/>
          <w:lang w:eastAsia="en-GB"/>
        </w:rPr>
        <w:lastRenderedPageBreak/>
        <w:t>mean ABC=58.46</w:t>
      </w:r>
      <w:r w:rsidR="004E6EF8">
        <w:rPr>
          <w:rFonts w:eastAsia="Times New Roman"/>
          <w:lang w:eastAsia="en-GB"/>
        </w:rPr>
        <w:t xml:space="preserve"> </w:t>
      </w:r>
      <w:r w:rsidRPr="00410316">
        <w:rPr>
          <w:rFonts w:eastAsia="Times New Roman"/>
          <w:lang w:eastAsia="en-GB"/>
        </w:rPr>
        <w:t>using the regression equation built from this research group’s observed data.</w:t>
      </w:r>
    </w:p>
    <w:tbl>
      <w:tblPr>
        <w:tblStyle w:val="GridTable5Dark-Accent1"/>
        <w:tblW w:w="0" w:type="auto"/>
        <w:tblLook w:val="04A0" w:firstRow="1" w:lastRow="0" w:firstColumn="1" w:lastColumn="0" w:noHBand="0" w:noVBand="1"/>
      </w:tblPr>
      <w:tblGrid>
        <w:gridCol w:w="1696"/>
        <w:gridCol w:w="993"/>
        <w:gridCol w:w="27"/>
        <w:gridCol w:w="1466"/>
        <w:gridCol w:w="21"/>
        <w:gridCol w:w="1473"/>
        <w:gridCol w:w="14"/>
        <w:gridCol w:w="1480"/>
        <w:gridCol w:w="7"/>
        <w:gridCol w:w="1487"/>
      </w:tblGrid>
      <w:tr w:rsidR="00410316" w:rsidRPr="008211B8" w14:paraId="25A2F187" w14:textId="22DDEEB0" w:rsidTr="004A04AF">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5CB81E33" w14:textId="6F63CFC7" w:rsidR="00410316" w:rsidRPr="008211B8" w:rsidRDefault="00B67E2F" w:rsidP="000838AA">
            <w:pPr>
              <w:spacing w:before="0" w:after="0" w:line="240" w:lineRule="auto"/>
              <w:jc w:val="center"/>
              <w:rPr>
                <w:rFonts w:ascii="Gill Sans MT" w:hAnsi="Gill Sans MT"/>
                <w:b w:val="0"/>
                <w:bCs w:val="0"/>
              </w:rPr>
            </w:pPr>
            <w:r>
              <w:rPr>
                <w:rFonts w:ascii="Gill Sans MT" w:hAnsi="Gill Sans MT"/>
                <w:b w:val="0"/>
                <w:bCs w:val="0"/>
              </w:rPr>
              <w:t>Cohort</w:t>
            </w:r>
          </w:p>
        </w:tc>
        <w:tc>
          <w:tcPr>
            <w:tcW w:w="1020" w:type="dxa"/>
            <w:gridSpan w:val="2"/>
            <w:vAlign w:val="center"/>
          </w:tcPr>
          <w:p w14:paraId="1E6B6FC2" w14:textId="7033C55E" w:rsidR="00410316" w:rsidRPr="008211B8" w:rsidRDefault="00B67E2F" w:rsidP="000838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Observed mean ABC24</w:t>
            </w:r>
          </w:p>
        </w:tc>
        <w:tc>
          <w:tcPr>
            <w:tcW w:w="1487" w:type="dxa"/>
            <w:gridSpan w:val="2"/>
            <w:vAlign w:val="center"/>
          </w:tcPr>
          <w:p w14:paraId="51FCA2C2" w14:textId="77777777" w:rsidR="00B67E2F" w:rsidRDefault="00B67E2F" w:rsidP="000838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b w:val="0"/>
                <w:bCs w:val="0"/>
              </w:rPr>
              <w:t xml:space="preserve">Expected mean ABC24: </w:t>
            </w:r>
          </w:p>
          <w:p w14:paraId="1AAB282A" w14:textId="08AC3868" w:rsidR="00410316" w:rsidRPr="008211B8" w:rsidRDefault="00B67E2F" w:rsidP="000838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Model I (datapool)</w:t>
            </w:r>
          </w:p>
        </w:tc>
        <w:tc>
          <w:tcPr>
            <w:tcW w:w="1487" w:type="dxa"/>
            <w:gridSpan w:val="2"/>
            <w:vAlign w:val="center"/>
          </w:tcPr>
          <w:p w14:paraId="56C51C1C" w14:textId="77777777" w:rsidR="00B67E2F" w:rsidRDefault="00B67E2F" w:rsidP="000838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b w:val="0"/>
                <w:bCs w:val="0"/>
              </w:rPr>
              <w:t xml:space="preserve">Expected mean ABC24: </w:t>
            </w:r>
          </w:p>
          <w:p w14:paraId="3330A00F" w14:textId="1DC98377" w:rsidR="00410316" w:rsidRPr="008211B8" w:rsidRDefault="00B67E2F" w:rsidP="000838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Model II (ND)</w:t>
            </w:r>
          </w:p>
        </w:tc>
        <w:tc>
          <w:tcPr>
            <w:tcW w:w="1487" w:type="dxa"/>
            <w:gridSpan w:val="2"/>
            <w:vAlign w:val="center"/>
          </w:tcPr>
          <w:p w14:paraId="02DA383D" w14:textId="77777777" w:rsidR="00B67E2F" w:rsidRDefault="00B67E2F" w:rsidP="000838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b w:val="0"/>
                <w:bCs w:val="0"/>
              </w:rPr>
              <w:t xml:space="preserve">Expected mean ABC24: </w:t>
            </w:r>
          </w:p>
          <w:p w14:paraId="6B794041" w14:textId="62D43AA2" w:rsidR="00410316" w:rsidRDefault="00B67E2F" w:rsidP="000838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Model III (DI)</w:t>
            </w:r>
          </w:p>
        </w:tc>
        <w:tc>
          <w:tcPr>
            <w:tcW w:w="1487" w:type="dxa"/>
            <w:vAlign w:val="center"/>
          </w:tcPr>
          <w:p w14:paraId="371A87FE" w14:textId="0CD410F8" w:rsidR="00410316" w:rsidRDefault="00B67E2F" w:rsidP="00B67E2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Differences: ABC24 observed - expected</w:t>
            </w:r>
          </w:p>
        </w:tc>
      </w:tr>
      <w:tr w:rsidR="00410316" w:rsidRPr="008211B8" w14:paraId="26406BB7" w14:textId="0FDFDBA4" w:rsidTr="001D41C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7718A1E1" w14:textId="302DF01C" w:rsidR="00410316" w:rsidRPr="008211B8" w:rsidRDefault="00B67E2F" w:rsidP="000838AA">
            <w:pPr>
              <w:spacing w:before="0" w:after="0" w:line="240" w:lineRule="auto"/>
              <w:jc w:val="center"/>
              <w:rPr>
                <w:rFonts w:ascii="Gill Sans MT" w:hAnsi="Gill Sans MT"/>
                <w:b w:val="0"/>
                <w:bCs w:val="0"/>
              </w:rPr>
            </w:pPr>
            <w:r>
              <w:rPr>
                <w:rFonts w:ascii="Gill Sans MT" w:hAnsi="Gill Sans MT"/>
                <w:b w:val="0"/>
                <w:bCs w:val="0"/>
              </w:rPr>
              <w:t>Datapool</w:t>
            </w:r>
          </w:p>
        </w:tc>
        <w:tc>
          <w:tcPr>
            <w:tcW w:w="1020" w:type="dxa"/>
            <w:gridSpan w:val="2"/>
            <w:vAlign w:val="center"/>
          </w:tcPr>
          <w:p w14:paraId="07072CC7" w14:textId="283FCC37" w:rsidR="00410316" w:rsidRPr="008211B8" w:rsidRDefault="004A04AF" w:rsidP="000838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63.62</w:t>
            </w:r>
          </w:p>
        </w:tc>
        <w:tc>
          <w:tcPr>
            <w:tcW w:w="1487" w:type="dxa"/>
            <w:gridSpan w:val="2"/>
            <w:vAlign w:val="center"/>
          </w:tcPr>
          <w:p w14:paraId="394D8178" w14:textId="557973AC" w:rsidR="00410316" w:rsidRPr="008211B8" w:rsidRDefault="004A04AF" w:rsidP="000838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63.56</w:t>
            </w:r>
          </w:p>
        </w:tc>
        <w:tc>
          <w:tcPr>
            <w:tcW w:w="1487" w:type="dxa"/>
            <w:gridSpan w:val="2"/>
            <w:vAlign w:val="center"/>
          </w:tcPr>
          <w:p w14:paraId="6D6CB4C1" w14:textId="5846AC8B" w:rsidR="00410316" w:rsidRPr="008211B8" w:rsidRDefault="00410316" w:rsidP="000838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487" w:type="dxa"/>
            <w:gridSpan w:val="2"/>
            <w:vAlign w:val="center"/>
          </w:tcPr>
          <w:p w14:paraId="7E5F39FC" w14:textId="6ABC639F" w:rsidR="00410316" w:rsidRDefault="00410316" w:rsidP="000838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487" w:type="dxa"/>
            <w:vAlign w:val="center"/>
          </w:tcPr>
          <w:p w14:paraId="19F9D72E" w14:textId="33F11357" w:rsidR="00410316" w:rsidRDefault="004A04AF" w:rsidP="00B67E2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+0.04</w:t>
            </w:r>
          </w:p>
        </w:tc>
      </w:tr>
      <w:tr w:rsidR="00410316" w:rsidRPr="008211B8" w14:paraId="26467B07" w14:textId="20C0C6D2" w:rsidTr="001D41C9">
        <w:trPr>
          <w:trHeight w:val="567"/>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10710601" w14:textId="7DB2E376" w:rsidR="00410316" w:rsidRPr="008211B8" w:rsidRDefault="00B67E2F" w:rsidP="000838AA">
            <w:pPr>
              <w:spacing w:before="0" w:after="0" w:line="240" w:lineRule="auto"/>
              <w:jc w:val="center"/>
              <w:rPr>
                <w:rFonts w:ascii="Gill Sans MT" w:hAnsi="Gill Sans MT"/>
                <w:b w:val="0"/>
                <w:bCs w:val="0"/>
              </w:rPr>
            </w:pPr>
            <w:r>
              <w:rPr>
                <w:rFonts w:ascii="Gill Sans MT" w:hAnsi="Gill Sans MT"/>
                <w:b w:val="0"/>
                <w:bCs w:val="0"/>
              </w:rPr>
              <w:t>Non-dyslexic group (ND)</w:t>
            </w:r>
          </w:p>
        </w:tc>
        <w:tc>
          <w:tcPr>
            <w:tcW w:w="1020" w:type="dxa"/>
            <w:gridSpan w:val="2"/>
            <w:vAlign w:val="center"/>
          </w:tcPr>
          <w:p w14:paraId="5B000285" w14:textId="7BB85ED5" w:rsidR="00410316" w:rsidRPr="008211B8" w:rsidRDefault="004A04AF" w:rsidP="000838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67.21</w:t>
            </w:r>
          </w:p>
        </w:tc>
        <w:tc>
          <w:tcPr>
            <w:tcW w:w="1487" w:type="dxa"/>
            <w:gridSpan w:val="2"/>
            <w:vAlign w:val="center"/>
          </w:tcPr>
          <w:p w14:paraId="2A6D7DF6" w14:textId="64E431CB" w:rsidR="00410316" w:rsidRPr="008211B8" w:rsidRDefault="004A04AF" w:rsidP="000838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66.54</w:t>
            </w:r>
          </w:p>
        </w:tc>
        <w:tc>
          <w:tcPr>
            <w:tcW w:w="1487" w:type="dxa"/>
            <w:gridSpan w:val="2"/>
            <w:vAlign w:val="center"/>
          </w:tcPr>
          <w:p w14:paraId="45861172" w14:textId="26AE0AA9" w:rsidR="00410316" w:rsidRPr="008211B8" w:rsidRDefault="004A04AF" w:rsidP="000838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(67.15)</w:t>
            </w:r>
          </w:p>
        </w:tc>
        <w:tc>
          <w:tcPr>
            <w:tcW w:w="1487" w:type="dxa"/>
            <w:gridSpan w:val="2"/>
            <w:vAlign w:val="center"/>
          </w:tcPr>
          <w:p w14:paraId="43581C67" w14:textId="00ADF81B" w:rsidR="00410316" w:rsidRDefault="00410316" w:rsidP="000838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487" w:type="dxa"/>
            <w:vAlign w:val="center"/>
          </w:tcPr>
          <w:p w14:paraId="1E98283A" w14:textId="18923D81" w:rsidR="00410316" w:rsidRDefault="004A04AF" w:rsidP="00B67E2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+0.67, (+0.06)</w:t>
            </w:r>
          </w:p>
        </w:tc>
      </w:tr>
      <w:tr w:rsidR="00B67E2F" w:rsidRPr="008211B8" w14:paraId="68E03647" w14:textId="77777777" w:rsidTr="001D41C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0B2146DF" w14:textId="2414201A" w:rsidR="00B67E2F" w:rsidRDefault="00B67E2F" w:rsidP="000838AA">
            <w:pPr>
              <w:spacing w:before="0" w:after="0" w:line="240" w:lineRule="auto"/>
              <w:jc w:val="center"/>
              <w:rPr>
                <w:rFonts w:ascii="Gill Sans MT" w:hAnsi="Gill Sans MT"/>
                <w:b w:val="0"/>
                <w:bCs w:val="0"/>
              </w:rPr>
            </w:pPr>
            <w:r>
              <w:rPr>
                <w:rFonts w:ascii="Gill Sans MT" w:hAnsi="Gill Sans MT"/>
                <w:b w:val="0"/>
                <w:bCs w:val="0"/>
              </w:rPr>
              <w:t>Dyslexic group (DI)</w:t>
            </w:r>
          </w:p>
        </w:tc>
        <w:tc>
          <w:tcPr>
            <w:tcW w:w="1020" w:type="dxa"/>
            <w:gridSpan w:val="2"/>
            <w:vAlign w:val="center"/>
          </w:tcPr>
          <w:p w14:paraId="16A8940F" w14:textId="7D0780F4" w:rsidR="00B67E2F" w:rsidRDefault="004A04AF" w:rsidP="000838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58.45</w:t>
            </w:r>
          </w:p>
        </w:tc>
        <w:tc>
          <w:tcPr>
            <w:tcW w:w="1487" w:type="dxa"/>
            <w:gridSpan w:val="2"/>
            <w:vAlign w:val="center"/>
          </w:tcPr>
          <w:p w14:paraId="5C44BC05" w14:textId="66D20603" w:rsidR="00B67E2F" w:rsidRDefault="004A04AF" w:rsidP="000838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57.47</w:t>
            </w:r>
          </w:p>
        </w:tc>
        <w:tc>
          <w:tcPr>
            <w:tcW w:w="1487" w:type="dxa"/>
            <w:gridSpan w:val="2"/>
            <w:vAlign w:val="center"/>
          </w:tcPr>
          <w:p w14:paraId="53EDEAF9" w14:textId="77777777" w:rsidR="00B67E2F" w:rsidRDefault="00B67E2F" w:rsidP="000838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487" w:type="dxa"/>
            <w:gridSpan w:val="2"/>
            <w:vAlign w:val="center"/>
          </w:tcPr>
          <w:p w14:paraId="695C4685" w14:textId="520DCF05" w:rsidR="00B67E2F" w:rsidRDefault="004A04AF" w:rsidP="000838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(58.46)</w:t>
            </w:r>
          </w:p>
        </w:tc>
        <w:tc>
          <w:tcPr>
            <w:tcW w:w="1487" w:type="dxa"/>
            <w:vAlign w:val="center"/>
          </w:tcPr>
          <w:p w14:paraId="140A4405" w14:textId="24F5920B" w:rsidR="00B67E2F" w:rsidRDefault="004A04AF" w:rsidP="00B67E2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+0.98, (+0.01)</w:t>
            </w:r>
          </w:p>
        </w:tc>
      </w:tr>
      <w:tr w:rsidR="00B67E2F" w:rsidRPr="008211B8" w14:paraId="3D111807" w14:textId="77777777" w:rsidTr="001D41C9">
        <w:trPr>
          <w:trHeight w:val="567"/>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73D37B8C" w14:textId="4C8877DA" w:rsidR="00B67E2F" w:rsidRDefault="00B67E2F" w:rsidP="000838AA">
            <w:pPr>
              <w:spacing w:before="0" w:after="0" w:line="240" w:lineRule="auto"/>
              <w:jc w:val="center"/>
              <w:rPr>
                <w:rFonts w:ascii="Gill Sans MT" w:hAnsi="Gill Sans MT"/>
                <w:b w:val="0"/>
                <w:bCs w:val="0"/>
              </w:rPr>
            </w:pPr>
            <w:r>
              <w:rPr>
                <w:rFonts w:ascii="Gill Sans MT" w:hAnsi="Gill Sans MT"/>
                <w:b w:val="0"/>
                <w:bCs w:val="0"/>
              </w:rPr>
              <w:t>Base subgroup</w:t>
            </w:r>
          </w:p>
        </w:tc>
        <w:tc>
          <w:tcPr>
            <w:tcW w:w="993" w:type="dxa"/>
            <w:vAlign w:val="center"/>
          </w:tcPr>
          <w:p w14:paraId="13378D11" w14:textId="79A59264" w:rsidR="00B67E2F" w:rsidRDefault="004A04AF" w:rsidP="000838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72.44</w:t>
            </w:r>
          </w:p>
        </w:tc>
        <w:tc>
          <w:tcPr>
            <w:tcW w:w="1493" w:type="dxa"/>
            <w:gridSpan w:val="2"/>
            <w:vAlign w:val="center"/>
          </w:tcPr>
          <w:p w14:paraId="552B8B88" w14:textId="52DF3A95" w:rsidR="00B67E2F" w:rsidRDefault="004A04AF" w:rsidP="000838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71.91</w:t>
            </w:r>
          </w:p>
        </w:tc>
        <w:tc>
          <w:tcPr>
            <w:tcW w:w="1494" w:type="dxa"/>
            <w:gridSpan w:val="2"/>
            <w:vAlign w:val="center"/>
          </w:tcPr>
          <w:p w14:paraId="0294CFC1" w14:textId="4071D671" w:rsidR="00B67E2F" w:rsidRDefault="004A04AF" w:rsidP="000838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(72.60)</w:t>
            </w:r>
          </w:p>
        </w:tc>
        <w:tc>
          <w:tcPr>
            <w:tcW w:w="1494" w:type="dxa"/>
            <w:gridSpan w:val="2"/>
            <w:vAlign w:val="center"/>
          </w:tcPr>
          <w:p w14:paraId="21F2CF72" w14:textId="77777777" w:rsidR="00B67E2F" w:rsidRDefault="00B67E2F" w:rsidP="000838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494" w:type="dxa"/>
            <w:gridSpan w:val="2"/>
            <w:vAlign w:val="center"/>
          </w:tcPr>
          <w:p w14:paraId="7B0D01F5" w14:textId="540402AE" w:rsidR="00B67E2F" w:rsidRDefault="004A04AF" w:rsidP="00B67E2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+0.53, (-0.16)</w:t>
            </w:r>
          </w:p>
        </w:tc>
      </w:tr>
      <w:tr w:rsidR="00B67E2F" w:rsidRPr="008211B8" w14:paraId="55496792" w14:textId="77777777" w:rsidTr="001D41C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26A87458" w14:textId="5256568D" w:rsidR="00B67E2F" w:rsidRDefault="00B67E2F" w:rsidP="000838AA">
            <w:pPr>
              <w:spacing w:before="0" w:after="0" w:line="240" w:lineRule="auto"/>
              <w:jc w:val="center"/>
              <w:rPr>
                <w:rFonts w:ascii="Gill Sans MT" w:hAnsi="Gill Sans MT"/>
                <w:b w:val="0"/>
                <w:bCs w:val="0"/>
              </w:rPr>
            </w:pPr>
            <w:r>
              <w:rPr>
                <w:rFonts w:ascii="Gill Sans MT" w:hAnsi="Gill Sans MT"/>
                <w:b w:val="0"/>
                <w:bCs w:val="0"/>
              </w:rPr>
              <w:t>Test subgroup</w:t>
            </w:r>
          </w:p>
        </w:tc>
        <w:tc>
          <w:tcPr>
            <w:tcW w:w="993" w:type="dxa"/>
            <w:vAlign w:val="center"/>
          </w:tcPr>
          <w:p w14:paraId="27842AAA" w14:textId="306AA3BA" w:rsidR="00B67E2F" w:rsidRDefault="004A04AF" w:rsidP="000838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61.72</w:t>
            </w:r>
          </w:p>
        </w:tc>
        <w:tc>
          <w:tcPr>
            <w:tcW w:w="1493" w:type="dxa"/>
            <w:gridSpan w:val="2"/>
            <w:vAlign w:val="center"/>
          </w:tcPr>
          <w:p w14:paraId="1465754E" w14:textId="06208666" w:rsidR="00B67E2F" w:rsidRDefault="004A04AF" w:rsidP="000838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57.47</w:t>
            </w:r>
          </w:p>
        </w:tc>
        <w:tc>
          <w:tcPr>
            <w:tcW w:w="1494" w:type="dxa"/>
            <w:gridSpan w:val="2"/>
            <w:vAlign w:val="center"/>
          </w:tcPr>
          <w:p w14:paraId="1351F7FF" w14:textId="5793EA1F" w:rsidR="00B67E2F" w:rsidRDefault="004A04AF" w:rsidP="000838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(58.47)</w:t>
            </w:r>
          </w:p>
        </w:tc>
        <w:tc>
          <w:tcPr>
            <w:tcW w:w="1494" w:type="dxa"/>
            <w:gridSpan w:val="2"/>
            <w:vAlign w:val="center"/>
          </w:tcPr>
          <w:p w14:paraId="4AA3B020" w14:textId="103E3F33" w:rsidR="00B67E2F" w:rsidRDefault="004A04AF" w:rsidP="000838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[55.65]</w:t>
            </w:r>
          </w:p>
        </w:tc>
        <w:tc>
          <w:tcPr>
            <w:tcW w:w="1494" w:type="dxa"/>
            <w:gridSpan w:val="2"/>
            <w:vAlign w:val="center"/>
          </w:tcPr>
          <w:p w14:paraId="04A8A833" w14:textId="754A42D6" w:rsidR="00B67E2F" w:rsidRDefault="004A04AF" w:rsidP="00B67E2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+4.25, (+3.35), [+6.07]</w:t>
            </w:r>
          </w:p>
        </w:tc>
      </w:tr>
      <w:tr w:rsidR="00B67E2F" w:rsidRPr="008211B8" w14:paraId="12C90AE0" w14:textId="77777777" w:rsidTr="001D41C9">
        <w:trPr>
          <w:trHeight w:val="567"/>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51892454" w14:textId="6B164E73" w:rsidR="00B67E2F" w:rsidRDefault="00B67E2F" w:rsidP="000838AA">
            <w:pPr>
              <w:spacing w:before="0" w:after="0" w:line="240" w:lineRule="auto"/>
              <w:jc w:val="center"/>
              <w:rPr>
                <w:rFonts w:ascii="Gill Sans MT" w:hAnsi="Gill Sans MT"/>
                <w:b w:val="0"/>
                <w:bCs w:val="0"/>
              </w:rPr>
            </w:pPr>
            <w:r>
              <w:rPr>
                <w:rFonts w:ascii="Gill Sans MT" w:hAnsi="Gill Sans MT"/>
                <w:b w:val="0"/>
                <w:bCs w:val="0"/>
              </w:rPr>
              <w:t>Control subgroup</w:t>
            </w:r>
          </w:p>
        </w:tc>
        <w:tc>
          <w:tcPr>
            <w:tcW w:w="993" w:type="dxa"/>
            <w:vAlign w:val="center"/>
          </w:tcPr>
          <w:p w14:paraId="15439657" w14:textId="6851F1D2" w:rsidR="00B67E2F" w:rsidRDefault="004A04AF" w:rsidP="000838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58.05</w:t>
            </w:r>
          </w:p>
        </w:tc>
        <w:tc>
          <w:tcPr>
            <w:tcW w:w="1493" w:type="dxa"/>
            <w:gridSpan w:val="2"/>
            <w:vAlign w:val="center"/>
          </w:tcPr>
          <w:p w14:paraId="5CEB49B1" w14:textId="59C242FD" w:rsidR="00B67E2F" w:rsidRDefault="004A04AF" w:rsidP="000838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57.84</w:t>
            </w:r>
          </w:p>
        </w:tc>
        <w:tc>
          <w:tcPr>
            <w:tcW w:w="1494" w:type="dxa"/>
            <w:gridSpan w:val="2"/>
            <w:vAlign w:val="center"/>
          </w:tcPr>
          <w:p w14:paraId="4976ED15" w14:textId="77777777" w:rsidR="00B67E2F" w:rsidRDefault="00B67E2F" w:rsidP="000838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494" w:type="dxa"/>
            <w:gridSpan w:val="2"/>
            <w:vAlign w:val="center"/>
          </w:tcPr>
          <w:p w14:paraId="72721A0A" w14:textId="4CEAB07C" w:rsidR="00B67E2F" w:rsidRDefault="001D41C9" w:rsidP="000838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(57.72)</w:t>
            </w:r>
          </w:p>
        </w:tc>
        <w:tc>
          <w:tcPr>
            <w:tcW w:w="1494" w:type="dxa"/>
            <w:gridSpan w:val="2"/>
            <w:vAlign w:val="center"/>
          </w:tcPr>
          <w:p w14:paraId="1E5DE28D" w14:textId="4F3FA014" w:rsidR="00B67E2F" w:rsidRDefault="001D41C9" w:rsidP="00B67E2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+0.21, (+0.33)</w:t>
            </w:r>
          </w:p>
        </w:tc>
      </w:tr>
    </w:tbl>
    <w:p w14:paraId="462C941F" w14:textId="70906F02" w:rsidR="00410316" w:rsidRPr="00410316" w:rsidRDefault="00B67E2F" w:rsidP="00990233">
      <w:pPr>
        <w:pStyle w:val="Tables"/>
        <w:rPr>
          <w:rFonts w:eastAsia="Times New Roman"/>
          <w:lang w:eastAsia="en-GB"/>
        </w:rPr>
      </w:pPr>
      <w:bookmarkStart w:id="249" w:name="_Toc57033212"/>
      <w:r>
        <w:rPr>
          <w:rFonts w:eastAsia="Times New Roman"/>
          <w:lang w:eastAsia="en-GB"/>
        </w:rPr>
        <w:t>Table 3</w:t>
      </w:r>
      <w:r w:rsidR="00997D83">
        <w:rPr>
          <w:rFonts w:eastAsia="Times New Roman"/>
          <w:lang w:eastAsia="en-GB"/>
        </w:rPr>
        <w:t>3</w:t>
      </w:r>
      <w:r>
        <w:rPr>
          <w:rFonts w:eastAsia="Times New Roman"/>
          <w:lang w:eastAsia="en-GB"/>
        </w:rPr>
        <w:t>:</w:t>
      </w:r>
      <w:r w:rsidR="00770AA8">
        <w:rPr>
          <w:rFonts w:eastAsia="Times New Roman"/>
          <w:lang w:eastAsia="en-GB"/>
        </w:rPr>
        <w:tab/>
      </w:r>
      <w:r>
        <w:rPr>
          <w:rFonts w:eastAsia="Times New Roman"/>
          <w:lang w:eastAsia="en-GB"/>
        </w:rPr>
        <w:t>Comparisons of mean ABC24 between observed and expected values according to pilot multiple regression models.</w:t>
      </w:r>
      <w:bookmarkEnd w:id="249"/>
    </w:p>
    <w:bookmarkEnd w:id="246"/>
    <w:p w14:paraId="78C61499" w14:textId="74062248" w:rsidR="008816CD" w:rsidRDefault="00770AA8" w:rsidP="00770AA8">
      <w:r w:rsidRPr="00B67E2F">
        <w:rPr>
          <w:rFonts w:eastAsia="Times New Roman"/>
          <w:lang w:eastAsia="en-GB"/>
        </w:rPr>
        <w:t>However, the results of particular interest showed that the quasi-dyslexic students presented higher than expected levels of academic confidence whichever model was used. The disparity was greatest with</w:t>
      </w:r>
      <w:r>
        <w:rPr>
          <w:rFonts w:eastAsia="Times New Roman"/>
          <w:lang w:eastAsia="en-GB"/>
        </w:rPr>
        <w:t xml:space="preserve"> </w:t>
      </w:r>
      <w:r w:rsidRPr="00B67E2F">
        <w:rPr>
          <w:rFonts w:eastAsia="Times New Roman"/>
          <w:lang w:eastAsia="en-GB"/>
        </w:rPr>
        <w:t>Model IV, which indicated a +6.07 percentage-points, higher-than-expected, average result for these students. Hence, initial evidence from this</w:t>
      </w:r>
      <w:r>
        <w:rPr>
          <w:rFonts w:eastAsia="Times New Roman"/>
          <w:lang w:eastAsia="en-GB"/>
        </w:rPr>
        <w:t xml:space="preserve"> </w:t>
      </w:r>
      <w:r w:rsidRPr="00B67E2F">
        <w:rPr>
          <w:rFonts w:eastAsia="Times New Roman"/>
          <w:lang w:eastAsia="en-GB"/>
        </w:rPr>
        <w:t>multiple regression analysis pilot</w:t>
      </w:r>
      <w:r>
        <w:rPr>
          <w:rFonts w:eastAsia="Times New Roman"/>
          <w:lang w:eastAsia="en-GB"/>
        </w:rPr>
        <w:t xml:space="preserve"> </w:t>
      </w:r>
      <w:r w:rsidRPr="00B67E2F">
        <w:rPr>
          <w:rFonts w:eastAsia="Times New Roman"/>
          <w:lang w:eastAsia="en-GB"/>
        </w:rPr>
        <w:t>indicated that quasi-dyslexic students appeared to present</w:t>
      </w:r>
      <w:r>
        <w:rPr>
          <w:rFonts w:eastAsia="Times New Roman"/>
          <w:lang w:eastAsia="en-GB"/>
        </w:rPr>
        <w:t xml:space="preserve"> </w:t>
      </w:r>
      <w:r w:rsidRPr="00B67E2F">
        <w:rPr>
          <w:rFonts w:eastAsia="Times New Roman"/>
          <w:lang w:eastAsia="en-GB"/>
        </w:rPr>
        <w:t>average levels of academic confidence that were substantially higher than might be expected given their levels of dyslexia-ness. Thus</w:t>
      </w:r>
      <w:r>
        <w:rPr>
          <w:rFonts w:eastAsia="Times New Roman"/>
          <w:lang w:eastAsia="en-GB"/>
        </w:rPr>
        <w:t xml:space="preserve">, </w:t>
      </w:r>
      <w:r w:rsidRPr="00B67E2F">
        <w:rPr>
          <w:rFonts w:eastAsia="Times New Roman"/>
          <w:lang w:eastAsia="en-GB"/>
        </w:rPr>
        <w:t>a subsequent study to conduct a more detailed analysis would be warranted.</w:t>
      </w:r>
    </w:p>
    <w:p w14:paraId="722EF012" w14:textId="0DBCE9CA" w:rsidR="00770AA8" w:rsidRDefault="00770AA8">
      <w:pPr>
        <w:spacing w:before="0" w:after="160" w:line="259" w:lineRule="auto"/>
      </w:pPr>
      <w:bookmarkStart w:id="250" w:name="_Toc9795773"/>
      <w:r>
        <w:br w:type="page"/>
      </w:r>
    </w:p>
    <w:p w14:paraId="774CD96A" w14:textId="77777777" w:rsidR="00471915" w:rsidRDefault="00471915" w:rsidP="008816CD">
      <w:pPr>
        <w:pStyle w:val="Heading1"/>
      </w:pPr>
    </w:p>
    <w:p w14:paraId="2E01812A" w14:textId="4C72D459" w:rsidR="008816CD" w:rsidRPr="00FF6836" w:rsidRDefault="008816CD" w:rsidP="008816CD">
      <w:pPr>
        <w:pStyle w:val="Heading1"/>
      </w:pPr>
      <w:bookmarkStart w:id="251" w:name="_Toc57035936"/>
      <w:r>
        <w:t>5</w:t>
      </w:r>
      <w:bookmarkStart w:id="252" w:name="_Toc533669226"/>
      <w:r w:rsidR="004D5123">
        <w:tab/>
      </w:r>
      <w:r>
        <w:t>Discussion</w:t>
      </w:r>
      <w:bookmarkEnd w:id="250"/>
      <w:bookmarkEnd w:id="251"/>
      <w:bookmarkEnd w:id="252"/>
    </w:p>
    <w:p w14:paraId="65BBEFEE" w14:textId="69A1A3DC" w:rsidR="00471915" w:rsidRDefault="00471915" w:rsidP="00DD39CD">
      <w:pPr>
        <w:pStyle w:val="Heading5"/>
        <w:spacing w:before="0"/>
      </w:pPr>
      <w:bookmarkStart w:id="253" w:name="_Toc9795774"/>
      <w:r>
        <w:t>5.1</w:t>
      </w:r>
      <w:r>
        <w:tab/>
        <w:t>Context of the enquiry</w:t>
      </w:r>
    </w:p>
    <w:p w14:paraId="75F077AA" w14:textId="433E1D27" w:rsidR="00471915" w:rsidRDefault="00471915" w:rsidP="001039E6">
      <w:pPr>
        <w:pStyle w:val="Heading5"/>
        <w:spacing w:before="0"/>
      </w:pPr>
      <w:r>
        <w:tab/>
      </w:r>
      <w:r w:rsidR="001039E6">
        <w:t>I</w:t>
      </w:r>
      <w:r>
        <w:tab/>
        <w:t>Summary overview</w:t>
      </w:r>
    </w:p>
    <w:p w14:paraId="12A62FB3" w14:textId="791BAE19" w:rsidR="00471915" w:rsidRPr="00471915" w:rsidRDefault="00471915" w:rsidP="00DD39CD">
      <w:pPr>
        <w:pStyle w:val="Heading5"/>
        <w:spacing w:before="0"/>
      </w:pPr>
      <w:r>
        <w:tab/>
      </w:r>
      <w:r w:rsidR="001039E6">
        <w:t>II</w:t>
      </w:r>
      <w:r>
        <w:tab/>
        <w:t>Challenges</w:t>
      </w:r>
    </w:p>
    <w:p w14:paraId="252BBEC7" w14:textId="18024B8E" w:rsidR="00471915" w:rsidRDefault="00471915" w:rsidP="00DD39CD">
      <w:pPr>
        <w:pStyle w:val="Heading5"/>
        <w:spacing w:before="0"/>
      </w:pPr>
      <w:r>
        <w:t>5.2</w:t>
      </w:r>
      <w:r>
        <w:tab/>
        <w:t>Summary of the outcomes</w:t>
      </w:r>
    </w:p>
    <w:p w14:paraId="1A42A240" w14:textId="5B3BDBB1" w:rsidR="00471915" w:rsidRDefault="00471915" w:rsidP="00DD39CD">
      <w:pPr>
        <w:pStyle w:val="Heading5"/>
        <w:spacing w:before="0"/>
      </w:pPr>
      <w:r>
        <w:tab/>
      </w:r>
      <w:r w:rsidR="00DD39CD">
        <w:t>I</w:t>
      </w:r>
      <w:r w:rsidR="00DD39CD">
        <w:tab/>
        <w:t>Composition of the datapool</w:t>
      </w:r>
    </w:p>
    <w:p w14:paraId="68379F05" w14:textId="77777777" w:rsidR="00DD39CD" w:rsidRDefault="00471915" w:rsidP="00DD39CD">
      <w:pPr>
        <w:pStyle w:val="Heading5"/>
        <w:spacing w:before="0"/>
      </w:pPr>
      <w:r>
        <w:tab/>
      </w:r>
      <w:r w:rsidR="00DD39CD">
        <w:t>II</w:t>
      </w:r>
      <w:r w:rsidR="00DD39CD">
        <w:tab/>
        <w:t>Prevalence of dyslexia in this current study</w:t>
      </w:r>
    </w:p>
    <w:p w14:paraId="7AA75602" w14:textId="7648D93F" w:rsidR="00DD39CD" w:rsidRDefault="00DD39CD" w:rsidP="00DD39CD">
      <w:pPr>
        <w:pStyle w:val="Heading5"/>
        <w:spacing w:before="0"/>
      </w:pPr>
      <w:r>
        <w:tab/>
        <w:t>III</w:t>
      </w:r>
      <w:r>
        <w:tab/>
        <w:t>The relationship between dyslexia</w:t>
      </w:r>
      <w:r w:rsidR="001D2FCF">
        <w:t>-</w:t>
      </w:r>
      <w:r>
        <w:t>ness and academic confidence</w:t>
      </w:r>
    </w:p>
    <w:p w14:paraId="09572F72" w14:textId="0E1D38C1" w:rsidR="00471915" w:rsidRDefault="00DD39CD" w:rsidP="00DD39CD">
      <w:pPr>
        <w:pStyle w:val="Heading5"/>
        <w:spacing w:before="0"/>
      </w:pPr>
      <w:r>
        <w:tab/>
        <w:t>IV</w:t>
      </w:r>
      <w:r>
        <w:tab/>
        <w:t>Diagnosing dyslexia: Does this impact significantly on academic confidence?</w:t>
      </w:r>
    </w:p>
    <w:p w14:paraId="0DA38885" w14:textId="77777777" w:rsidR="00471915" w:rsidRDefault="00471915">
      <w:pPr>
        <w:spacing w:before="0" w:after="160" w:line="259" w:lineRule="auto"/>
        <w:rPr>
          <w:b/>
          <w:smallCaps/>
          <w:color w:val="4472C4" w:themeColor="accent1"/>
          <w:spacing w:val="5"/>
          <w:sz w:val="26"/>
          <w:szCs w:val="28"/>
        </w:rPr>
      </w:pPr>
      <w:r>
        <w:br w:type="page"/>
      </w:r>
    </w:p>
    <w:p w14:paraId="5EB72A71" w14:textId="4F776CC0" w:rsidR="00B448D2" w:rsidRDefault="008816CD" w:rsidP="008816CD">
      <w:pPr>
        <w:pStyle w:val="Heading2"/>
      </w:pPr>
      <w:bookmarkStart w:id="254" w:name="_Toc57035937"/>
      <w:r>
        <w:lastRenderedPageBreak/>
        <w:t>5.1</w:t>
      </w:r>
      <w:r w:rsidR="004D5123">
        <w:tab/>
      </w:r>
      <w:r w:rsidR="00B448D2">
        <w:t>Context of the enquiry</w:t>
      </w:r>
      <w:bookmarkEnd w:id="254"/>
    </w:p>
    <w:p w14:paraId="34314E30" w14:textId="209F1E70" w:rsidR="00B448D2" w:rsidRPr="00B448D2" w:rsidRDefault="00C13E09" w:rsidP="00B448D2">
      <w:pPr>
        <w:pStyle w:val="Heading4"/>
        <w:rPr>
          <w:rFonts w:ascii="Times New Roman" w:eastAsia="Times New Roman" w:hAnsi="Times New Roman"/>
        </w:rPr>
      </w:pPr>
      <w:r>
        <w:t xml:space="preserve">I  </w:t>
      </w:r>
      <w:r w:rsidR="00B448D2">
        <w:t>Summary</w:t>
      </w:r>
    </w:p>
    <w:p w14:paraId="78758BFC" w14:textId="5398C6CB" w:rsidR="00272A93" w:rsidRPr="00272A93" w:rsidRDefault="00272A93" w:rsidP="00272A93">
      <w:pPr>
        <w:rPr>
          <w:rFonts w:eastAsia="Times New Roman"/>
          <w:lang w:eastAsia="en-GB"/>
        </w:rPr>
      </w:pPr>
      <w:r w:rsidRPr="00272A93">
        <w:rPr>
          <w:rFonts w:eastAsia="Times New Roman"/>
          <w:lang w:eastAsia="en-GB"/>
        </w:rPr>
        <w:t>The selection of literature reviewed above (Section 2), demonstrated that recent research interest in academic confidence in adult learners, especially those in higher education, has indicated the importance of understanding more about how students at university engage with their studies. It has been shown that those who are able to tackle with confidence, the curriculum content and assessment processes that are core features of their learning experiences at university, are not only likely to gain higher academic rewards than their less confident peers, but will have enjoyed their time at university, been consistently well-motivated, will have considered their achievements</w:t>
      </w:r>
      <w:r w:rsidR="00383268">
        <w:rPr>
          <w:rFonts w:eastAsia="Times New Roman"/>
          <w:lang w:eastAsia="en-GB"/>
        </w:rPr>
        <w:t xml:space="preserve"> to be </w:t>
      </w:r>
      <w:r w:rsidRPr="00272A93">
        <w:rPr>
          <w:rFonts w:eastAsia="Times New Roman"/>
          <w:lang w:eastAsia="en-GB"/>
        </w:rPr>
        <w:t>worthy recompense for their investments, both in time and financially, and that the complete experience will be of lifetime benefit. Theoretical perspectives were presented which supported the view that academic confidence can be considered as a sub-construct of academic self-efficacy, itself one component from a plethora of attributes that together, serve to regulate human behaviour. Such self-regulation</w:t>
      </w:r>
      <w:r w:rsidR="001D2FCF">
        <w:rPr>
          <w:rFonts w:eastAsia="Times New Roman"/>
          <w:lang w:eastAsia="en-GB"/>
        </w:rPr>
        <w:t xml:space="preserve"> </w:t>
      </w:r>
      <w:r w:rsidRPr="00272A93">
        <w:rPr>
          <w:rFonts w:eastAsia="Times New Roman"/>
          <w:lang w:eastAsia="en-GB"/>
        </w:rPr>
        <w:t>is argued to be derived from multifactorial influences stemming from interactions between intrinsic personal characteristics, the local and wider environment that serves as the domain for the behaviour, and the behaviour itself. This understanding of the ways in which individuals function co-operatively and independently is enshrined in Bandura's Social Cognitive Theory, a model which has been adapted to the domain of education and learning</w:t>
      </w:r>
      <w:r>
        <w:rPr>
          <w:rFonts w:eastAsia="Times New Roman"/>
          <w:lang w:eastAsia="en-GB"/>
        </w:rPr>
        <w:t xml:space="preserve"> </w:t>
      </w:r>
      <w:r w:rsidRPr="00272A93">
        <w:rPr>
          <w:rFonts w:eastAsia="Times New Roman"/>
          <w:lang w:eastAsia="en-GB"/>
        </w:rPr>
        <w:t>and serves as one of the underpinning theories upon which this research project has been grounded. </w:t>
      </w:r>
      <w:r w:rsidR="00383268">
        <w:rPr>
          <w:rFonts w:eastAsia="Times New Roman"/>
          <w:lang w:eastAsia="en-GB"/>
        </w:rPr>
        <w:t>N</w:t>
      </w:r>
      <w:r w:rsidRPr="00272A93">
        <w:rPr>
          <w:rFonts w:eastAsia="Times New Roman"/>
          <w:lang w:eastAsia="en-GB"/>
        </w:rPr>
        <w:t>o studies have been found to date which specifically focus on how academic confidence - as the mediating variable between students' inherent academic capabilities, their learning styles and preferences, and opportunities presented to them at university - is impacted by their feelings of 'otherness' attributable to being members of an atypical group of learners, notably those with dyslexic learning differences.</w:t>
      </w:r>
    </w:p>
    <w:p w14:paraId="18A42AF3" w14:textId="315671C4" w:rsidR="00B448D2" w:rsidRDefault="00B448D2" w:rsidP="00B448D2">
      <w:r>
        <w:t>Th</w:t>
      </w:r>
      <w:r w:rsidR="00383268">
        <w:t xml:space="preserve">is research </w:t>
      </w:r>
      <w:r>
        <w:t>study has been interested in relating this explanation of how we function as people not just to the domain of learning and teaching, but specifically to try to explore how the model accommodates the more atypical learning characteristics and behaviours of communities of learners from minority groups - in this case, students with dyslexia at university. The clear</w:t>
      </w:r>
      <w:r w:rsidR="00272A93">
        <w:t>ly stated</w:t>
      </w:r>
      <w:r>
        <w:t xml:space="preserve"> aim was to find out more about how the particular attribute which casts them as 'different', 'othered', and 'labelled' might impact on their confidence when tackling the challenges of studying at university, an environment that remains steadfastly literacy-based, and in which they are inherently disadvantaged. For example, one student in this study captured these experiences, saying:</w:t>
      </w:r>
    </w:p>
    <w:p w14:paraId="0B3ACBB5" w14:textId="6B3011E5" w:rsidR="00B448D2" w:rsidRPr="00B448D2" w:rsidRDefault="00B448D2" w:rsidP="00B448D2">
      <w:pPr>
        <w:ind w:left="720"/>
        <w:rPr>
          <w:rFonts w:ascii="Gill Sans MT" w:hAnsi="Gill Sans MT"/>
          <w:spacing w:val="12"/>
        </w:rPr>
      </w:pPr>
      <w:r w:rsidRPr="00B448D2">
        <w:rPr>
          <w:rStyle w:val="color19"/>
          <w:rFonts w:ascii="Gill Sans MT" w:hAnsi="Gill Sans MT"/>
          <w:spacing w:val="12"/>
        </w:rPr>
        <w:lastRenderedPageBreak/>
        <w:t>"I don't like feeling different because people start treating you differently if they know you have dyslexia, and normally they don't want to work with you because of this". (Respondent #85897154; ABC24=47.33; Dx16=850.90).</w:t>
      </w:r>
    </w:p>
    <w:p w14:paraId="69A58710" w14:textId="2378DEC0" w:rsidR="00B448D2" w:rsidRDefault="00B448D2" w:rsidP="00B448D2">
      <w:r>
        <w:t xml:space="preserve">Drawing from prior anecdotal and practitioner-observed evidence in university learning development contexts, the objectives of the research were firstly to establish that students with dyslexia do, indeed, present lower levels of academic confidence in comparison to their non-dyslexic peers, and secondly, to determine whether evidence would emerge to support the conjecture that knowing about one's dyslexia might, in actual fact, compound the additional learning demands relatable to the dyslexia itself. Were this to be established, thence to argue that one remedial course of action may be to adopt an alternative, counter-intuitive approach to current norms for equalizing the learning playing field. At present, these are based firstly on establishing the dyslexia through a 'diagnosis', and secondly by designing and attempting to implement a programme of individualized learning support, grounded in applying 'reasonable adjustments' to teaching and learning engagements for that individual. Paradoxically, those approaches might be said to increase the workload of such students rather than ease their pathways through the rigours of academic study, not least through a regimen of less self-regulated, but more externally directed and supervised learning, which can generate additional demands on time-management, organization and scheduling. Resonating with many comments in this current study, this issue was succinctly </w:t>
      </w:r>
      <w:r w:rsidR="00272A93">
        <w:t>put</w:t>
      </w:r>
      <w:r>
        <w:t> by a dyslexic student from the previous Masters dissertation who said:</w:t>
      </w:r>
    </w:p>
    <w:p w14:paraId="17D34A7E" w14:textId="77777777" w:rsidR="00B448D2" w:rsidRPr="00B448D2" w:rsidRDefault="00B448D2" w:rsidP="00B448D2">
      <w:pPr>
        <w:spacing w:before="0" w:after="0" w:line="276" w:lineRule="auto"/>
        <w:ind w:left="720"/>
        <w:rPr>
          <w:rFonts w:ascii="Gill Sans MT" w:hAnsi="Gill Sans MT"/>
        </w:rPr>
      </w:pPr>
      <w:r w:rsidRPr="00B448D2">
        <w:rPr>
          <w:rStyle w:val="color19"/>
          <w:rFonts w:ascii="Gill Sans MT" w:hAnsi="Gill Sans MT"/>
          <w:spacing w:val="12"/>
        </w:rPr>
        <w:t>"Going for help with my studies takes up more of my time when I'm already</w:t>
      </w:r>
    </w:p>
    <w:p w14:paraId="1FDD808B" w14:textId="77777777" w:rsidR="00B448D2" w:rsidRPr="00B448D2" w:rsidRDefault="00B448D2" w:rsidP="00B448D2">
      <w:pPr>
        <w:spacing w:before="0" w:after="0" w:line="276" w:lineRule="auto"/>
        <w:ind w:left="720"/>
        <w:rPr>
          <w:rFonts w:ascii="Gill Sans MT" w:hAnsi="Gill Sans MT"/>
        </w:rPr>
      </w:pPr>
      <w:r w:rsidRPr="00B448D2">
        <w:rPr>
          <w:rStyle w:val="color19"/>
          <w:rFonts w:ascii="Gill Sans MT" w:hAnsi="Gill Sans MT"/>
          <w:spacing w:val="12"/>
        </w:rPr>
        <w:t>struggling with too much work and not enough time; and it rarely helps as I can't explain why I'm struggling - otherwise I would have just done it on my own in the</w:t>
      </w:r>
    </w:p>
    <w:p w14:paraId="0F9913E4" w14:textId="77777777" w:rsidR="00B448D2" w:rsidRDefault="00B448D2" w:rsidP="00B448D2">
      <w:pPr>
        <w:spacing w:before="0" w:after="0" w:line="276" w:lineRule="auto"/>
        <w:ind w:left="720"/>
      </w:pPr>
      <w:r w:rsidRPr="00B448D2">
        <w:rPr>
          <w:rStyle w:val="color19"/>
          <w:rFonts w:ascii="Gill Sans MT" w:hAnsi="Gill Sans MT"/>
          <w:spacing w:val="12"/>
        </w:rPr>
        <w:t xml:space="preserve">first place". </w:t>
      </w:r>
      <w:r w:rsidRPr="00B448D2">
        <w:rPr>
          <w:rStyle w:val="color19"/>
          <w:rFonts w:ascii="Gill Sans MT" w:hAnsi="Gill Sans MT"/>
          <w:spacing w:val="12"/>
          <w:sz w:val="18"/>
          <w:szCs w:val="18"/>
        </w:rPr>
        <w:t>(Dykes, 2008, Respondent #28);</w:t>
      </w:r>
    </w:p>
    <w:p w14:paraId="7E9CB890" w14:textId="77777777" w:rsidR="00B448D2" w:rsidRDefault="00B448D2" w:rsidP="00B448D2">
      <w:r>
        <w:t>...and in this current study, a student with a moderate level of dyslexia-ness but with a high level of academic confidence suggested that:</w:t>
      </w:r>
    </w:p>
    <w:p w14:paraId="7D05BBB3" w14:textId="79C09E5F" w:rsidR="00B448D2" w:rsidRPr="00B448D2" w:rsidRDefault="00B448D2" w:rsidP="00B448D2">
      <w:pPr>
        <w:spacing w:before="0" w:after="0" w:line="276" w:lineRule="auto"/>
        <w:ind w:left="720"/>
        <w:rPr>
          <w:rFonts w:ascii="Gill Sans MT" w:hAnsi="Gill Sans MT"/>
        </w:rPr>
      </w:pPr>
      <w:r>
        <w:rPr>
          <w:rStyle w:val="wixguard"/>
        </w:rPr>
        <w:t>​</w:t>
      </w:r>
      <w:r w:rsidRPr="00B448D2">
        <w:rPr>
          <w:rStyle w:val="color19"/>
          <w:rFonts w:ascii="Gill Sans MT" w:hAnsi="Gill Sans MT"/>
          <w:spacing w:val="12"/>
        </w:rPr>
        <w:t>"[Support] should not just be for one type or group of people such as those</w:t>
      </w:r>
    </w:p>
    <w:p w14:paraId="5FFEC3A7" w14:textId="2809185E" w:rsidR="00B448D2" w:rsidRPr="00B448D2" w:rsidRDefault="00B448D2" w:rsidP="00B448D2">
      <w:pPr>
        <w:spacing w:before="0" w:after="0" w:line="276" w:lineRule="auto"/>
        <w:ind w:left="720"/>
        <w:rPr>
          <w:rFonts w:ascii="Gill Sans MT" w:hAnsi="Gill Sans MT"/>
        </w:rPr>
      </w:pPr>
      <w:r w:rsidRPr="00B448D2">
        <w:rPr>
          <w:rStyle w:val="color19"/>
          <w:rFonts w:ascii="Gill Sans MT" w:hAnsi="Gill Sans MT"/>
          <w:spacing w:val="12"/>
        </w:rPr>
        <w:t>with particular learning difficulties. I think that puts many people off as soon</w:t>
      </w:r>
    </w:p>
    <w:p w14:paraId="4BA4C0CC" w14:textId="77777777" w:rsidR="00B448D2" w:rsidRPr="00B448D2" w:rsidRDefault="00B448D2" w:rsidP="00B448D2">
      <w:pPr>
        <w:spacing w:before="0" w:after="0" w:line="276" w:lineRule="auto"/>
        <w:ind w:left="720"/>
        <w:rPr>
          <w:rFonts w:ascii="Gill Sans MT" w:hAnsi="Gill Sans MT"/>
          <w:sz w:val="18"/>
          <w:szCs w:val="18"/>
        </w:rPr>
      </w:pPr>
      <w:r w:rsidRPr="00B448D2">
        <w:rPr>
          <w:rStyle w:val="color19"/>
          <w:rFonts w:ascii="Gill Sans MT" w:hAnsi="Gill Sans MT"/>
          <w:spacing w:val="12"/>
        </w:rPr>
        <w:t xml:space="preserve">as they see the term 'learning difficulties'". </w:t>
      </w:r>
      <w:r w:rsidRPr="00B448D2">
        <w:rPr>
          <w:rStyle w:val="color19"/>
          <w:rFonts w:ascii="Gill Sans MT" w:hAnsi="Gill Sans MT"/>
          <w:spacing w:val="12"/>
          <w:sz w:val="18"/>
          <w:szCs w:val="18"/>
        </w:rPr>
        <w:t>(Respondent #71712644; ABC24=86.6;</w:t>
      </w:r>
    </w:p>
    <w:p w14:paraId="0A8537DE" w14:textId="2E7AF0C8" w:rsidR="00B448D2" w:rsidRPr="00B448D2" w:rsidRDefault="00B448D2" w:rsidP="00B448D2">
      <w:pPr>
        <w:spacing w:before="0" w:after="0" w:line="276" w:lineRule="auto"/>
        <w:ind w:left="720"/>
        <w:rPr>
          <w:rStyle w:val="color19"/>
          <w:rFonts w:ascii="Gill Sans MT" w:hAnsi="Gill Sans MT"/>
          <w:spacing w:val="12"/>
          <w:sz w:val="18"/>
          <w:szCs w:val="18"/>
        </w:rPr>
      </w:pPr>
      <w:r w:rsidRPr="00B448D2">
        <w:rPr>
          <w:rStyle w:val="color19"/>
          <w:rFonts w:ascii="Gill Sans MT" w:hAnsi="Gill Sans MT"/>
          <w:spacing w:val="12"/>
          <w:sz w:val="18"/>
          <w:szCs w:val="18"/>
        </w:rPr>
        <w:t>Dx16=542.92).</w:t>
      </w:r>
    </w:p>
    <w:p w14:paraId="3D73FD67" w14:textId="77777777" w:rsidR="00B448D2" w:rsidRDefault="00B448D2" w:rsidP="00B448D2">
      <w:pPr>
        <w:spacing w:before="0" w:after="0" w:line="276" w:lineRule="auto"/>
        <w:ind w:left="720"/>
      </w:pPr>
    </w:p>
    <w:p w14:paraId="3ECBBF96" w14:textId="2DF7AC60" w:rsidR="00B448D2" w:rsidRDefault="00B448D2" w:rsidP="00B448D2">
      <w:r>
        <w:rPr>
          <w:rStyle w:val="wixguard"/>
        </w:rPr>
        <w:t>​</w:t>
      </w:r>
      <w:r>
        <w:t>Hence, evidence has been assembled</w:t>
      </w:r>
      <w:r w:rsidR="00BD5ABA">
        <w:t xml:space="preserve"> </w:t>
      </w:r>
      <w:r>
        <w:t>which first</w:t>
      </w:r>
      <w:r w:rsidR="00383268">
        <w:t>ly</w:t>
      </w:r>
      <w:r w:rsidR="00BD5ABA">
        <w:t xml:space="preserve"> </w:t>
      </w:r>
      <w:r>
        <w:t>indicates an inverse relationship between academic confidence and dyslexia-ness in university students; and secondly, support</w:t>
      </w:r>
      <w:r w:rsidR="00383268">
        <w:t>s</w:t>
      </w:r>
      <w:r>
        <w:t xml:space="preserve"> the polemic that</w:t>
      </w:r>
      <w:r w:rsidR="00BD5ABA">
        <w:t xml:space="preserve"> </w:t>
      </w:r>
      <w:r>
        <w:t>from an academic confidence perspective at least, students with dyslexic learning differences studying at university</w:t>
      </w:r>
      <w:r w:rsidR="00BD5ABA">
        <w:t xml:space="preserve"> </w:t>
      </w:r>
      <w:r>
        <w:t>may be likely to gain academic credentials more in line with their academic capability were they just left to get on with it as best they can</w:t>
      </w:r>
      <w:r w:rsidR="00383268">
        <w:t>. In this case,</w:t>
      </w:r>
      <w:r>
        <w:t xml:space="preserve"> the focus of remedial activities at university should be shifted towards changing the means of curriculum delivery and learning assessment, and </w:t>
      </w:r>
      <w:r>
        <w:lastRenderedPageBreak/>
        <w:t>away from</w:t>
      </w:r>
      <w:r w:rsidR="00BD5ABA">
        <w:t xml:space="preserve"> </w:t>
      </w:r>
      <w:r>
        <w:t>changing the student into one who fits more readily into the more conventional and traditional interpretation of a 'university student' in the UK. </w:t>
      </w:r>
    </w:p>
    <w:p w14:paraId="709C86F6" w14:textId="5C57430B" w:rsidR="00B448D2" w:rsidRDefault="00383268" w:rsidP="00B448D2">
      <w:r>
        <w:t>A</w:t>
      </w:r>
      <w:r w:rsidR="00B448D2">
        <w:t xml:space="preserve">s universities have opened their doors to a much broader spectrum of learners, notably through now well-established widening participation and alternative access schemes, it has become increasingly evident that </w:t>
      </w:r>
      <w:r>
        <w:t xml:space="preserve">all students </w:t>
      </w:r>
      <w:r w:rsidR="00B448D2">
        <w:t>would benefit from a better institutional-level understanding</w:t>
      </w:r>
      <w:r w:rsidR="00BD5ABA">
        <w:t xml:space="preserve"> </w:t>
      </w:r>
      <w:r w:rsidR="00B448D2">
        <w:t xml:space="preserve">of the impact that individual differences can have on educational engagement, ownership of learning, and hence likely attainment. The learning environments and processes that generally prevail at university are not much informed by psychological knowledge. </w:t>
      </w:r>
    </w:p>
    <w:p w14:paraId="55F57C64" w14:textId="0DBEA9B5" w:rsidR="00B448D2" w:rsidRDefault="00B448D2" w:rsidP="00B448D2">
      <w:r>
        <w:t>Hence, progress towards meeting the aspirations ensh</w:t>
      </w:r>
      <w:r w:rsidR="00BD5ABA">
        <w:t>r</w:t>
      </w:r>
      <w:r>
        <w:t>i</w:t>
      </w:r>
      <w:r w:rsidR="00BD5ABA">
        <w:t>n</w:t>
      </w:r>
      <w:r>
        <w:t>ed by UDL</w:t>
      </w:r>
      <w:r w:rsidR="00BD5ABA">
        <w:t xml:space="preserve"> </w:t>
      </w:r>
      <w:r>
        <w:t xml:space="preserve">for example, has, to an extent at least, been stymied. It is not unreasonable to suppose that a slowdown in the learning development initiatives at university that were beginning </w:t>
      </w:r>
      <w:r w:rsidR="00383268">
        <w:t xml:space="preserve">to </w:t>
      </w:r>
      <w:r>
        <w:t xml:space="preserve">bear witness to the value of greater adaptability and flexibility in curriculum delivery and assessment, are likely to have had the greatest impact on communities of learners who come to university with spectra of learning profiles and preferences that are atypical. Of these unconventional learners, some are labelled with difficult-to-define learning 'disabilities' which are likely to be dynamic in nature, and not necessarily an objective fact. Strong arguments have been presented to suggest that it is learning institutions that translate broad profiles of learning strengths and weaknesses into difficulties and disabilities, not least through the strongly literacy-based transmission of knowledge, and the traditional, inflexible assessments of how much of it has been retained. This is especially true for learners with dyslexia, (which, it has been shown, is difficult to define), who comprise the most numerous amongst those deemed to be 'disabled' in our universities. Evidence from this current study readily documents some of the frustrations. </w:t>
      </w:r>
      <w:r w:rsidR="00272A93">
        <w:t>Resonating strongly with the quotation above from the previous study conducted more than a decade prior to this current research, o</w:t>
      </w:r>
      <w:r>
        <w:t>ne participant from the dyslexic group said:</w:t>
      </w:r>
    </w:p>
    <w:p w14:paraId="45B1E158" w14:textId="77777777" w:rsidR="00B448D2" w:rsidRPr="00B448D2" w:rsidRDefault="00B448D2" w:rsidP="00B448D2">
      <w:pPr>
        <w:spacing w:before="0" w:after="0" w:line="276" w:lineRule="auto"/>
        <w:ind w:left="720"/>
        <w:rPr>
          <w:rFonts w:ascii="Gill Sans MT" w:hAnsi="Gill Sans MT"/>
        </w:rPr>
      </w:pPr>
      <w:r w:rsidRPr="00B448D2">
        <w:rPr>
          <w:rStyle w:val="color19"/>
          <w:rFonts w:ascii="Gill Sans MT" w:hAnsi="Gill Sans MT"/>
          <w:spacing w:val="12"/>
        </w:rPr>
        <w:t>"... universities provide support with tutorials geared at helping the individual</w:t>
      </w:r>
    </w:p>
    <w:p w14:paraId="541EBEB7" w14:textId="77777777" w:rsidR="00B448D2" w:rsidRPr="00B448D2" w:rsidRDefault="00B448D2" w:rsidP="00B448D2">
      <w:pPr>
        <w:spacing w:before="0" w:after="0" w:line="276" w:lineRule="auto"/>
        <w:ind w:left="720"/>
        <w:rPr>
          <w:rFonts w:ascii="Gill Sans MT" w:hAnsi="Gill Sans MT"/>
        </w:rPr>
      </w:pPr>
      <w:r w:rsidRPr="00B448D2">
        <w:rPr>
          <w:rStyle w:val="color19"/>
          <w:rFonts w:ascii="Gill Sans MT" w:hAnsi="Gill Sans MT"/>
          <w:spacing w:val="12"/>
        </w:rPr>
        <w:t>with learning, but somehow they seem to expect that a person understands what</w:t>
      </w:r>
    </w:p>
    <w:p w14:paraId="3A8752D7" w14:textId="77777777" w:rsidR="00B448D2" w:rsidRPr="00B448D2" w:rsidRDefault="00B448D2" w:rsidP="00B448D2">
      <w:pPr>
        <w:spacing w:before="0" w:after="0" w:line="276" w:lineRule="auto"/>
        <w:ind w:left="720"/>
        <w:rPr>
          <w:rFonts w:ascii="Gill Sans MT" w:hAnsi="Gill Sans MT"/>
        </w:rPr>
      </w:pPr>
      <w:r w:rsidRPr="00B448D2">
        <w:rPr>
          <w:rStyle w:val="color19"/>
          <w:rFonts w:ascii="Gill Sans MT" w:hAnsi="Gill Sans MT"/>
          <w:spacing w:val="12"/>
        </w:rPr>
        <w:t>they find difficult ... [but] because they have been living with it their whole lives,</w:t>
      </w:r>
    </w:p>
    <w:p w14:paraId="7481CC35" w14:textId="77777777" w:rsidR="00B448D2" w:rsidRPr="00B448D2" w:rsidRDefault="00B448D2" w:rsidP="00B448D2">
      <w:pPr>
        <w:spacing w:before="0" w:after="0" w:line="276" w:lineRule="auto"/>
        <w:ind w:left="720"/>
        <w:rPr>
          <w:rFonts w:ascii="Gill Sans MT" w:hAnsi="Gill Sans MT"/>
          <w:sz w:val="18"/>
          <w:szCs w:val="18"/>
        </w:rPr>
      </w:pPr>
      <w:r w:rsidRPr="00B448D2">
        <w:rPr>
          <w:rStyle w:val="color19"/>
          <w:rFonts w:ascii="Gill Sans MT" w:hAnsi="Gill Sans MT"/>
          <w:spacing w:val="12"/>
        </w:rPr>
        <w:t xml:space="preserve">[they] can't see objectively what is 'wrong' ". </w:t>
      </w:r>
      <w:r w:rsidRPr="00B448D2">
        <w:rPr>
          <w:rStyle w:val="color19"/>
          <w:rFonts w:ascii="Gill Sans MT" w:hAnsi="Gill Sans MT"/>
          <w:spacing w:val="12"/>
          <w:sz w:val="18"/>
          <w:szCs w:val="18"/>
        </w:rPr>
        <w:t>(Respondent #87564798; ABC24=49.17;</w:t>
      </w:r>
    </w:p>
    <w:p w14:paraId="45194334" w14:textId="77777777" w:rsidR="00B448D2" w:rsidRPr="00B448D2" w:rsidRDefault="00B448D2" w:rsidP="00B448D2">
      <w:pPr>
        <w:spacing w:before="0" w:after="0" w:line="276" w:lineRule="auto"/>
        <w:ind w:left="720"/>
        <w:rPr>
          <w:rFonts w:ascii="Gill Sans MT" w:hAnsi="Gill Sans MT"/>
          <w:sz w:val="18"/>
          <w:szCs w:val="18"/>
        </w:rPr>
      </w:pPr>
      <w:r w:rsidRPr="00B448D2">
        <w:rPr>
          <w:rStyle w:val="color19"/>
          <w:rFonts w:ascii="Gill Sans MT" w:hAnsi="Gill Sans MT"/>
          <w:spacing w:val="12"/>
          <w:sz w:val="18"/>
          <w:szCs w:val="18"/>
        </w:rPr>
        <w:t>Dx16=783.20);</w:t>
      </w:r>
    </w:p>
    <w:p w14:paraId="67529AD6" w14:textId="77777777" w:rsidR="00B448D2" w:rsidRDefault="00B448D2" w:rsidP="00B448D2">
      <w:pPr>
        <w:spacing w:before="0" w:after="0" w:line="276" w:lineRule="auto"/>
        <w:ind w:left="720"/>
        <w:rPr>
          <w:rFonts w:ascii="Gill Sans MT" w:hAnsi="Gill Sans MT"/>
        </w:rPr>
      </w:pPr>
    </w:p>
    <w:p w14:paraId="7C67CCBE" w14:textId="7534028C" w:rsidR="00B448D2" w:rsidRPr="00B448D2" w:rsidRDefault="00B448D2" w:rsidP="00B448D2">
      <w:pPr>
        <w:spacing w:before="0" w:after="0" w:line="276" w:lineRule="auto"/>
        <w:rPr>
          <w:rFonts w:ascii="Gill Sans MT" w:hAnsi="Gill Sans MT"/>
        </w:rPr>
      </w:pPr>
      <w:r>
        <w:t>With another respondent echoing experiences of poor levels of institutional understanding:</w:t>
      </w:r>
    </w:p>
    <w:p w14:paraId="352691C8" w14:textId="77777777" w:rsidR="00B448D2" w:rsidRPr="00B448D2" w:rsidRDefault="00B448D2" w:rsidP="00B448D2">
      <w:pPr>
        <w:spacing w:before="0" w:after="0" w:line="276" w:lineRule="auto"/>
        <w:rPr>
          <w:rFonts w:ascii="Gill Sans MT" w:hAnsi="Gill Sans MT"/>
        </w:rPr>
      </w:pPr>
      <w:r>
        <w:rPr>
          <w:rStyle w:val="wixguard"/>
          <w:spacing w:val="12"/>
        </w:rPr>
        <w:t>​</w:t>
      </w:r>
    </w:p>
    <w:p w14:paraId="23B369C5" w14:textId="77777777" w:rsidR="00B448D2" w:rsidRPr="00B448D2" w:rsidRDefault="00B448D2" w:rsidP="00B448D2">
      <w:pPr>
        <w:spacing w:before="0" w:after="0" w:line="276" w:lineRule="auto"/>
        <w:ind w:left="720"/>
        <w:rPr>
          <w:rFonts w:ascii="Gill Sans MT" w:hAnsi="Gill Sans MT"/>
        </w:rPr>
      </w:pPr>
      <w:r w:rsidRPr="00B448D2">
        <w:rPr>
          <w:rStyle w:val="color19"/>
          <w:rFonts w:ascii="Gill Sans MT" w:hAnsi="Gill Sans MT"/>
          <w:spacing w:val="12"/>
        </w:rPr>
        <w:t>"I think there could be more support for students with learning difficulties. As yet,</w:t>
      </w:r>
    </w:p>
    <w:p w14:paraId="606007D5" w14:textId="77777777" w:rsidR="00B448D2" w:rsidRPr="00B448D2" w:rsidRDefault="00B448D2" w:rsidP="00B448D2">
      <w:pPr>
        <w:spacing w:before="0" w:after="0" w:line="276" w:lineRule="auto"/>
        <w:ind w:left="720"/>
        <w:rPr>
          <w:rFonts w:ascii="Gill Sans MT" w:hAnsi="Gill Sans MT"/>
          <w:sz w:val="18"/>
          <w:szCs w:val="18"/>
        </w:rPr>
      </w:pPr>
      <w:r w:rsidRPr="00B448D2">
        <w:rPr>
          <w:rStyle w:val="color19"/>
          <w:rFonts w:ascii="Gill Sans MT" w:hAnsi="Gill Sans MT"/>
          <w:spacing w:val="12"/>
        </w:rPr>
        <w:t xml:space="preserve">the dyslexic team haven't been very helpful or supportive" </w:t>
      </w:r>
      <w:r w:rsidRPr="00B448D2">
        <w:rPr>
          <w:rStyle w:val="color19"/>
          <w:rFonts w:ascii="Gill Sans MT" w:hAnsi="Gill Sans MT"/>
          <w:spacing w:val="12"/>
          <w:sz w:val="18"/>
          <w:szCs w:val="18"/>
        </w:rPr>
        <w:t>(Respondent #61502858; ABC24=61.88; Dx16=629.90)</w:t>
      </w:r>
      <w:r w:rsidRPr="00B448D2">
        <w:rPr>
          <w:rStyle w:val="color19"/>
          <w:rFonts w:ascii="Gill Sans MT" w:hAnsi="Gill Sans MT"/>
          <w:sz w:val="18"/>
          <w:szCs w:val="18"/>
        </w:rPr>
        <w:t>;</w:t>
      </w:r>
    </w:p>
    <w:p w14:paraId="6D96B2EE" w14:textId="77777777" w:rsidR="00B448D2" w:rsidRDefault="00B448D2" w:rsidP="00B448D2">
      <w:pPr>
        <w:spacing w:before="0" w:after="0" w:line="276" w:lineRule="auto"/>
        <w:ind w:left="720"/>
        <w:rPr>
          <w:rFonts w:ascii="Gill Sans MT" w:hAnsi="Gill Sans MT"/>
        </w:rPr>
      </w:pPr>
    </w:p>
    <w:p w14:paraId="11841648" w14:textId="21AFC40B" w:rsidR="00B448D2" w:rsidRPr="00B448D2" w:rsidRDefault="00B448D2" w:rsidP="00B448D2">
      <w:pPr>
        <w:rPr>
          <w:rFonts w:ascii="Gill Sans MT" w:hAnsi="Gill Sans MT"/>
        </w:rPr>
      </w:pPr>
      <w:r>
        <w:lastRenderedPageBreak/>
        <w:t>... and one of her non-dyslexic peers appeared to indicate unmet, or possibly unrealistic expectations about the learning experiences ahead of her, or at the very least </w:t>
      </w:r>
      <w:r w:rsidR="00272A93">
        <w:t xml:space="preserve">showed </w:t>
      </w:r>
      <w:r>
        <w:t xml:space="preserve">a lack of understanding and preparedness for the challenges that university learning would present, and that these were </w:t>
      </w:r>
      <w:r w:rsidR="00272A93">
        <w:t xml:space="preserve">considered </w:t>
      </w:r>
      <w:r>
        <w:t xml:space="preserve">not </w:t>
      </w:r>
      <w:r w:rsidR="00272A93">
        <w:t xml:space="preserve">to have been </w:t>
      </w:r>
      <w:r>
        <w:t>met by an appropriate institutional level response:</w:t>
      </w:r>
    </w:p>
    <w:p w14:paraId="1FA476B7" w14:textId="7B9D185B" w:rsidR="00B448D2" w:rsidRPr="00B448D2" w:rsidRDefault="00B448D2" w:rsidP="00B448D2">
      <w:pPr>
        <w:spacing w:before="0" w:after="0" w:line="276" w:lineRule="auto"/>
        <w:ind w:left="720"/>
        <w:rPr>
          <w:rFonts w:ascii="Gill Sans MT" w:hAnsi="Gill Sans MT"/>
        </w:rPr>
      </w:pPr>
      <w:r>
        <w:rPr>
          <w:rStyle w:val="wixguard"/>
          <w:spacing w:val="12"/>
        </w:rPr>
        <w:t>​</w:t>
      </w:r>
      <w:r w:rsidRPr="00B448D2">
        <w:rPr>
          <w:rStyle w:val="color19"/>
          <w:rFonts w:ascii="Gill Sans MT" w:hAnsi="Gill Sans MT"/>
          <w:spacing w:val="12"/>
        </w:rPr>
        <w:t>"Ways that studying at university can be improved is by far, to teach students</w:t>
      </w:r>
    </w:p>
    <w:p w14:paraId="036AFEDC" w14:textId="77777777" w:rsidR="00B448D2" w:rsidRPr="00B448D2" w:rsidRDefault="00B448D2" w:rsidP="00B448D2">
      <w:pPr>
        <w:spacing w:before="0" w:after="0" w:line="276" w:lineRule="auto"/>
        <w:ind w:left="720"/>
        <w:rPr>
          <w:rFonts w:ascii="Gill Sans MT" w:hAnsi="Gill Sans MT"/>
        </w:rPr>
      </w:pPr>
      <w:r w:rsidRPr="00B448D2">
        <w:rPr>
          <w:rStyle w:val="color19"/>
          <w:rFonts w:ascii="Gill Sans MT" w:hAnsi="Gill Sans MT"/>
          <w:spacing w:val="12"/>
        </w:rPr>
        <w:t>how to learn. We're always taught the content for a specific subject, but has</w:t>
      </w:r>
    </w:p>
    <w:p w14:paraId="0AA4AF3C" w14:textId="77777777" w:rsidR="00B448D2" w:rsidRPr="00B448D2" w:rsidRDefault="00B448D2" w:rsidP="00B448D2">
      <w:pPr>
        <w:spacing w:before="0" w:after="0" w:line="276" w:lineRule="auto"/>
        <w:ind w:left="720"/>
        <w:rPr>
          <w:rFonts w:ascii="Gill Sans MT" w:hAnsi="Gill Sans MT"/>
          <w:sz w:val="18"/>
          <w:szCs w:val="18"/>
        </w:rPr>
      </w:pPr>
      <w:r w:rsidRPr="00B448D2">
        <w:rPr>
          <w:rStyle w:val="color19"/>
          <w:rFonts w:ascii="Gill Sans MT" w:hAnsi="Gill Sans MT"/>
          <w:spacing w:val="12"/>
        </w:rPr>
        <w:t xml:space="preserve">anyone ever taught a student on how to learn?" </w:t>
      </w:r>
      <w:r w:rsidRPr="00B448D2">
        <w:rPr>
          <w:rStyle w:val="color19"/>
          <w:rFonts w:ascii="Gill Sans MT" w:hAnsi="Gill Sans MT"/>
          <w:spacing w:val="12"/>
          <w:sz w:val="18"/>
          <w:szCs w:val="18"/>
        </w:rPr>
        <w:t>(Respondent #52289216; ABC24=56.88; Dx16=547.61).</w:t>
      </w:r>
    </w:p>
    <w:p w14:paraId="2CDE762C" w14:textId="77777777" w:rsidR="00B448D2" w:rsidRDefault="00B448D2" w:rsidP="00B448D2">
      <w:pPr>
        <w:spacing w:before="0" w:after="0" w:line="276" w:lineRule="auto"/>
        <w:ind w:left="720"/>
        <w:rPr>
          <w:rFonts w:ascii="Gill Sans MT" w:hAnsi="Gill Sans MT"/>
        </w:rPr>
      </w:pPr>
    </w:p>
    <w:p w14:paraId="486AF8FE" w14:textId="4957C55C" w:rsidR="004D5123" w:rsidRDefault="00BD5ABA" w:rsidP="004D5123">
      <w:r w:rsidRPr="00BD5ABA">
        <w:rPr>
          <w:rFonts w:eastAsia="Times New Roman"/>
          <w:lang w:eastAsia="en-GB"/>
        </w:rPr>
        <w:t>These comments were neither uncommon, nor have been taken out of context, were all drawn from the dyslexic students' group in this current study, and they echoed much of the qualitative data collected in the preceding Masters dissertation. It is regretful that this appears to indicate, anecdotally, and for those students at least, that little, or at best, patchy progress has been made at institutional levels t</w:t>
      </w:r>
      <w:r w:rsidR="00383268">
        <w:rPr>
          <w:rFonts w:eastAsia="Times New Roman"/>
          <w:lang w:eastAsia="en-GB"/>
        </w:rPr>
        <w:t>hat demonstrates</w:t>
      </w:r>
      <w:r w:rsidRPr="00BD5ABA">
        <w:rPr>
          <w:rFonts w:eastAsia="Times New Roman"/>
          <w:lang w:eastAsia="en-GB"/>
        </w:rPr>
        <w:t xml:space="preserve"> understanding more about how to accommodate more readily the learning development needs of such students.</w:t>
      </w:r>
    </w:p>
    <w:p w14:paraId="503A1FC6" w14:textId="6B869EA5" w:rsidR="00B448D2" w:rsidRPr="004D5123" w:rsidRDefault="00C13E09" w:rsidP="004D5123">
      <w:pPr>
        <w:pStyle w:val="Heading4"/>
        <w:rPr>
          <w:rFonts w:eastAsia="Times New Roman"/>
          <w:lang w:eastAsia="en-GB"/>
        </w:rPr>
      </w:pPr>
      <w:r>
        <w:t xml:space="preserve">II  </w:t>
      </w:r>
      <w:r w:rsidR="00B448D2">
        <w:t>Challenges</w:t>
      </w:r>
    </w:p>
    <w:p w14:paraId="65B5B32C" w14:textId="6B008074" w:rsidR="00B448D2" w:rsidRDefault="00B448D2" w:rsidP="00B448D2">
      <w:r>
        <w:t xml:space="preserve">The challenges facing this research topic have been considerable, notably because the syndrome of dyslexia remains controversially defined, not least because the research surrounding its aetiology and manifestation of the learning differences that </w:t>
      </w:r>
      <w:r w:rsidR="00383268">
        <w:t>are</w:t>
      </w:r>
      <w:r>
        <w:t xml:space="preserve"> purported to be attributable to it, remain varied, sometimes co-morbid with other disadvantaging learning or physical characteristics, and apparently explainable from several different angles. Furthermore, the majority of research has involved</w:t>
      </w:r>
      <w:r w:rsidR="00BD5ABA">
        <w:t xml:space="preserve"> </w:t>
      </w:r>
      <w:r>
        <w:t>children, not unreasonably stemming from an educationally desirable response to explain the slow uptake of reading and other literacy skills amongst a sizeable minority of early-</w:t>
      </w:r>
      <w:r w:rsidR="00292999">
        <w:t xml:space="preserve">years learners. Only </w:t>
      </w:r>
      <w:r>
        <w:t>elatively recently has research attention widened to include exploring more about the nature of dyslexia in adults, more particularly</w:t>
      </w:r>
      <w:r w:rsidR="00BD5ABA">
        <w:t xml:space="preserve"> </w:t>
      </w:r>
      <w:r>
        <w:t xml:space="preserve">in adult learners, where a review of a wide range of selected literature, suggested that taking dyslexia to be an information processing difference </w:t>
      </w:r>
      <w:r w:rsidR="00383268">
        <w:t>(</w:t>
      </w:r>
      <w:r>
        <w:t>a multifactorial condition existing in many learners in varying degrees</w:t>
      </w:r>
      <w:r w:rsidR="00383268">
        <w:t>)</w:t>
      </w:r>
      <w:r>
        <w:t xml:space="preserve"> would be the most neutral and unbiased perspective to adopt. The multifactorial approach fits well with the BDA's description of what it means to be dyslexic, notably where this adopts the idea of a </w:t>
      </w:r>
      <w:r>
        <w:rPr>
          <w:i/>
          <w:iCs/>
        </w:rPr>
        <w:t>continuum</w:t>
      </w:r>
      <w:r w:rsidR="00BD5ABA">
        <w:t xml:space="preserve"> </w:t>
      </w:r>
      <w:r>
        <w:t>for</w:t>
      </w:r>
      <w:r w:rsidR="00BD5ABA">
        <w:t xml:space="preserve"> </w:t>
      </w:r>
      <w:r w:rsidR="00272A93">
        <w:t xml:space="preserve">cataloguing </w:t>
      </w:r>
      <w:r>
        <w:t>the characteristics and attributes of dyslexia, acknowledging that due to its wide and varied nature, it remains difficult to adopt a binary approach to the existence of an individual's dyslexia. Hence in this current study, the continuous nature of dyslexia as a variable led to the establishment of</w:t>
      </w:r>
      <w:r w:rsidR="00BD5ABA">
        <w:t xml:space="preserve"> </w:t>
      </w:r>
      <w:r>
        <w:rPr>
          <w:i/>
          <w:iCs/>
        </w:rPr>
        <w:t>dyslexia-ness</w:t>
      </w:r>
      <w:r>
        <w:t> as the quantifier, and thus, The Dyslexia-ness Continuum.</w:t>
      </w:r>
    </w:p>
    <w:p w14:paraId="06A78A96" w14:textId="192C3CE4" w:rsidR="00B448D2" w:rsidRDefault="00B448D2" w:rsidP="00B448D2">
      <w:r>
        <w:lastRenderedPageBreak/>
        <w:t>This led to the most substantive</w:t>
      </w:r>
      <w:r w:rsidR="00BD5ABA">
        <w:t xml:space="preserve"> </w:t>
      </w:r>
      <w:r>
        <w:t>challenge of the study which was to design a data collection instrument that could gauge dyslexia-ness sensitively, and across a sample of the complete university community. This meant that it had to be able to reliably determine levels of dyslexia-ness but not be a dyslexia screener, which would have had ethical implications were one to have been covertly used to collect data. Drawing </w:t>
      </w:r>
      <w:r w:rsidR="00272A93">
        <w:t>from</w:t>
      </w:r>
      <w:r>
        <w:t xml:space="preserve"> a balance of theory taken from the multifactorial explanations of the dyslexic condition with an interpretation of the prevalence of characteristics (dimensions) of dyslexia noted in practical, university dyslexia-support situations, the Dyslexia Index (Dx) Profiler met its design objectives by providing a realistically dependable and reliable interpretation of research participants' levels of dyslexia-ness, and hence their location along the Dyslexia-ness Continuum. However, and aside from its use in this current study, the Dx Profiler remains unique and untested as a data collection tool, which naturally limits the generalizability of its findings. </w:t>
      </w:r>
      <w:r w:rsidR="00383268">
        <w:t>T</w:t>
      </w:r>
      <w:r>
        <w:t>he concepts upon which it is based</w:t>
      </w:r>
      <w:r w:rsidR="00383268">
        <w:t xml:space="preserve"> being </w:t>
      </w:r>
      <w:r>
        <w:t>theoretically sound, and following anticipated publication shortly relating its development and use to a wider research audience, it is hoped that the opportunity will arise to refine and strengthen both the Dx Profiler itself, and also the concept of dyslexia-ness which it aims to gauge.</w:t>
      </w:r>
    </w:p>
    <w:p w14:paraId="1B816057" w14:textId="352FBF3A" w:rsidR="00A21951" w:rsidRPr="00A21951" w:rsidRDefault="00B448D2" w:rsidP="00A21951">
      <w:r>
        <w:rPr>
          <w:rStyle w:val="wixguard"/>
          <w:spacing w:val="12"/>
        </w:rPr>
        <w:t>​</w:t>
      </w:r>
      <w:r w:rsidR="00383268">
        <w:rPr>
          <w:rFonts w:eastAsia="Times New Roman"/>
          <w:lang w:eastAsia="en-GB"/>
        </w:rPr>
        <w:t>A</w:t>
      </w:r>
      <w:r w:rsidR="00A21951" w:rsidRPr="00A21951">
        <w:rPr>
          <w:rFonts w:eastAsia="Times New Roman"/>
          <w:lang w:eastAsia="en-GB"/>
        </w:rPr>
        <w:t>dditional challenges arose through use of the existing but also recently developed Academic Behavioural Confidence (ABC) Scale, and the questionnaires that were designed to measure levels of ABC amongst university students. Although the Scale has been deployed effectively in a range of prior studies, and thus is some years ahead of the Dx Profiler along its development journey, it too warrants further refinement. For example, this might be to acknowledge more readily the local nature of the factor structure of the ABC Scale, where sub-scales that emerged from the dataset-specific interpretation of reliability analysis and data reduction in this current study suggested that accepting a degree of fluidity around its factorial composition should be an important component in understanding its determining characteristics, and hence, what the outcomes from the Scale(s) mean, both locally, and for that interpretation to be more widely generalizable.</w:t>
      </w:r>
    </w:p>
    <w:p w14:paraId="5F723A69" w14:textId="0BDC8295" w:rsidR="00B448D2" w:rsidRDefault="00B448D2" w:rsidP="00B448D2">
      <w:r>
        <w:t xml:space="preserve">But this is surely the nature of all measuring scales and instruments that are attempting to gauge tenuous, psychological and educational constructs that are not overtly measurable. It means that outcomes must be treated cautiously and that either repetitive use of the instruments in highly similar experimental circumstances, or otherwise careful meta-analyses of a number of studies should be conducted so that such scales can become more robust and dependable. In this current study, this led to outputs being generated from four versions of the ABC Scale, two being existing, apparently standardized versions, and two developed from a local interpretation of factor </w:t>
      </w:r>
      <w:r>
        <w:lastRenderedPageBreak/>
        <w:t>and reliability analysis. Far from this exposing weaknesses in the study design, it was considered as a strength since outcomes were all broadly similar, taken to indicate that whichever version of the ABC Scale w</w:t>
      </w:r>
      <w:r w:rsidR="00F148CA">
        <w:t>as</w:t>
      </w:r>
      <w:r>
        <w:t xml:space="preserve"> used, it would be possible to draw generalizable conclusions from the outcomes.</w:t>
      </w:r>
    </w:p>
    <w:p w14:paraId="4B8EEB1E" w14:textId="44DEC766" w:rsidR="00BD5ABA" w:rsidRDefault="00BD5ABA" w:rsidP="00B448D2"/>
    <w:p w14:paraId="24D8CC6B" w14:textId="69079CB4" w:rsidR="00BD5ABA" w:rsidRDefault="00BD5ABA" w:rsidP="00BD5ABA">
      <w:pPr>
        <w:pStyle w:val="Heading2"/>
      </w:pPr>
      <w:bookmarkStart w:id="255" w:name="_Toc57035938"/>
      <w:r>
        <w:t>5.2</w:t>
      </w:r>
      <w:r w:rsidR="004D5123">
        <w:tab/>
      </w:r>
      <w:r>
        <w:t>Summary of the outcomes</w:t>
      </w:r>
      <w:bookmarkEnd w:id="255"/>
    </w:p>
    <w:p w14:paraId="5F6019ED" w14:textId="5B41F9D2" w:rsidR="004D5123" w:rsidRPr="00BD5ABA" w:rsidRDefault="00BD5ABA" w:rsidP="00BD5ABA">
      <w:pPr>
        <w:rPr>
          <w:rFonts w:eastAsia="Times New Roman"/>
          <w:lang w:eastAsia="en-GB"/>
        </w:rPr>
      </w:pPr>
      <w:r w:rsidRPr="00BD5ABA">
        <w:rPr>
          <w:rFonts w:eastAsia="Times New Roman"/>
          <w:lang w:eastAsia="en-GB"/>
        </w:rPr>
        <w:t>The data collected in this study w</w:t>
      </w:r>
      <w:r w:rsidR="00292999">
        <w:rPr>
          <w:rFonts w:eastAsia="Times New Roman"/>
          <w:lang w:eastAsia="en-GB"/>
        </w:rPr>
        <w:t>ere</w:t>
      </w:r>
      <w:r w:rsidRPr="00BD5ABA">
        <w:rPr>
          <w:rFonts w:eastAsia="Times New Roman"/>
          <w:lang w:eastAsia="en-GB"/>
        </w:rPr>
        <w:t xml:space="preserve"> rich and varied, </w:t>
      </w:r>
      <w:r w:rsidR="00F148CA">
        <w:rPr>
          <w:rFonts w:eastAsia="Times New Roman"/>
          <w:lang w:eastAsia="en-GB"/>
        </w:rPr>
        <w:t xml:space="preserve">elicited from </w:t>
      </w:r>
      <w:r w:rsidRPr="00BD5ABA">
        <w:rPr>
          <w:rFonts w:eastAsia="Times New Roman"/>
          <w:lang w:eastAsia="en-GB"/>
        </w:rPr>
        <w:t xml:space="preserve">80 dimensional statements that participants were requested to apply their best judgement to respond to. </w:t>
      </w:r>
      <w:r w:rsidR="00F148CA">
        <w:rPr>
          <w:rFonts w:eastAsia="Times New Roman"/>
          <w:lang w:eastAsia="en-GB"/>
        </w:rPr>
        <w:t xml:space="preserve">The questionnaire </w:t>
      </w:r>
      <w:r w:rsidRPr="00BD5ABA">
        <w:rPr>
          <w:rFonts w:eastAsia="Times New Roman"/>
          <w:lang w:eastAsia="en-GB"/>
        </w:rPr>
        <w:t xml:space="preserve">was designed </w:t>
      </w:r>
      <w:r w:rsidR="00F148CA">
        <w:rPr>
          <w:rFonts w:eastAsia="Times New Roman"/>
          <w:lang w:eastAsia="en-GB"/>
        </w:rPr>
        <w:t xml:space="preserve">to be </w:t>
      </w:r>
      <w:r w:rsidRPr="00BD5ABA">
        <w:rPr>
          <w:rFonts w:eastAsia="Times New Roman"/>
          <w:lang w:eastAsia="en-GB"/>
        </w:rPr>
        <w:t>concise, easy to navigate, interesting and accessible to engage with, and especially easy to record responses through use of innovative range-slider input fields. It has not been possible to estimate a response rate because the process used to publicize the questionnaire and hence recruit participants was twofold, and neither mechanism gauged how many students subsequently chose to take part as a proportion of the number who actively read the summary of the research purpose and the invitation to participate. However, of the 183 questionnaire datasets that were returned, only 17 were discarded through being less than 50% completed. Hence, the questionnaire design parameters were considered vindicated, and the size of the datapool deemed to be sufficient for meaningful outcomes to emerge.</w:t>
      </w:r>
    </w:p>
    <w:p w14:paraId="339E0FBE" w14:textId="273F5E6D" w:rsidR="00BD5ABA" w:rsidRDefault="00BD5ABA" w:rsidP="00BD5ABA">
      <w:pPr>
        <w:pStyle w:val="Heading3"/>
        <w:rPr>
          <w:rFonts w:eastAsia="Times New Roman"/>
          <w:lang w:eastAsia="en-GB"/>
        </w:rPr>
      </w:pPr>
      <w:bookmarkStart w:id="256" w:name="_Toc57035939"/>
      <w:r>
        <w:rPr>
          <w:rFonts w:eastAsia="Times New Roman"/>
          <w:lang w:eastAsia="en-GB"/>
        </w:rPr>
        <w:t>I</w:t>
      </w:r>
      <w:r w:rsidR="004D5123">
        <w:rPr>
          <w:rFonts w:eastAsia="Times New Roman"/>
          <w:lang w:eastAsia="en-GB"/>
        </w:rPr>
        <w:tab/>
      </w:r>
      <w:r>
        <w:rPr>
          <w:rFonts w:eastAsia="Times New Roman"/>
          <w:lang w:eastAsia="en-GB"/>
        </w:rPr>
        <w:t>Composition of the datapool</w:t>
      </w:r>
      <w:bookmarkEnd w:id="256"/>
    </w:p>
    <w:p w14:paraId="59917DBC" w14:textId="796343E3" w:rsidR="00BD5ABA" w:rsidRDefault="00BD5ABA" w:rsidP="00BD5ABA">
      <w:pPr>
        <w:rPr>
          <w:rFonts w:eastAsia="Times New Roman"/>
          <w:lang w:eastAsia="en-GB"/>
        </w:rPr>
      </w:pPr>
      <w:r w:rsidRPr="00BD5ABA">
        <w:rPr>
          <w:rFonts w:eastAsia="Times New Roman"/>
          <w:lang w:eastAsia="en-GB"/>
        </w:rPr>
        <w:t xml:space="preserve">The datapool comprised 98 students who did not declare a dyslexic learning difference and 68 who did. Overall, these 166 students were considered to be a reasonable reflection of the composition of university students more generally, </w:t>
      </w:r>
      <w:r w:rsidR="00F148CA">
        <w:rPr>
          <w:rFonts w:eastAsia="Times New Roman"/>
          <w:lang w:eastAsia="en-GB"/>
        </w:rPr>
        <w:t xml:space="preserve">as </w:t>
      </w:r>
      <w:r w:rsidRPr="00BD5ABA">
        <w:rPr>
          <w:rFonts w:eastAsia="Times New Roman"/>
          <w:lang w:eastAsia="en-GB"/>
        </w:rPr>
        <w:t>dist</w:t>
      </w:r>
      <w:r w:rsidR="006429C1">
        <w:rPr>
          <w:rFonts w:eastAsia="Times New Roman"/>
          <w:lang w:eastAsia="en-GB"/>
        </w:rPr>
        <w:t>r</w:t>
      </w:r>
      <w:r w:rsidRPr="00BD5ABA">
        <w:rPr>
          <w:rFonts w:eastAsia="Times New Roman"/>
          <w:lang w:eastAsia="en-GB"/>
        </w:rPr>
        <w:t xml:space="preserve">ibutions according to study level, domicile and gender </w:t>
      </w:r>
      <w:r w:rsidR="00F148CA">
        <w:rPr>
          <w:rFonts w:eastAsia="Times New Roman"/>
          <w:lang w:eastAsia="en-GB"/>
        </w:rPr>
        <w:t>were unremarkable</w:t>
      </w:r>
      <w:r w:rsidR="00E60E29">
        <w:rPr>
          <w:rFonts w:eastAsia="Times New Roman"/>
          <w:lang w:eastAsia="en-GB"/>
        </w:rPr>
        <w:t xml:space="preserve"> in comparison to the national trend (</w:t>
      </w:r>
      <w:r w:rsidR="009E10FA">
        <w:rPr>
          <w:rFonts w:eastAsia="Times New Roman"/>
          <w:lang w:eastAsia="en-GB"/>
        </w:rPr>
        <w:t>HESA, 2018</w:t>
      </w:r>
      <w:r w:rsidR="00E60E29">
        <w:rPr>
          <w:rFonts w:eastAsia="Times New Roman"/>
          <w:lang w:eastAsia="en-GB"/>
        </w:rPr>
        <w:t>)</w:t>
      </w:r>
      <w:r w:rsidR="00F148CA">
        <w:rPr>
          <w:rFonts w:eastAsia="Times New Roman"/>
          <w:lang w:eastAsia="en-GB"/>
        </w:rPr>
        <w:t xml:space="preserve">, </w:t>
      </w:r>
      <w:r w:rsidRPr="00BD5ABA">
        <w:rPr>
          <w:rFonts w:eastAsia="Times New Roman"/>
          <w:lang w:eastAsia="en-GB"/>
        </w:rPr>
        <w:t xml:space="preserve">although overall, approximately twice as many female students as males took part. Since the analysis was not designed to look specifically for relationships between gender, dyslexia-ness and academic confidence, this bias was not deemed to be of consequence, although as these data were collected, scope for examining whether gender might have an impact on the relationships between academic confidence and dyslexia-ness could form part of a subsequent study. A second, notable exception to the generality of the datapool was indicated by the very small proportion of non-UK students in the dyslexic group, where the ratio of home to non-UK students in the complete datapool was approximately representative of the national distribution. Rather than this being an indication of a low proportion of non-UK students with dyslexia studying at UK universities more widely (which would be an inappropriate conclusion to draw based on the relatively small datapool in this current study), it may be more likely </w:t>
      </w:r>
      <w:r w:rsidRPr="00BD5ABA">
        <w:rPr>
          <w:rFonts w:eastAsia="Times New Roman"/>
          <w:lang w:eastAsia="en-GB"/>
        </w:rPr>
        <w:lastRenderedPageBreak/>
        <w:t>accounted for by assuming that non-UK students with dyslexia were not known to the university's Disability and Dyslexia Service, and hence were not on the Service's e-mail distribution list</w:t>
      </w:r>
      <w:r w:rsidR="00F148CA">
        <w:rPr>
          <w:rFonts w:eastAsia="Times New Roman"/>
          <w:lang w:eastAsia="en-GB"/>
        </w:rPr>
        <w:t xml:space="preserve"> that was used for recruitment</w:t>
      </w:r>
      <w:r w:rsidRPr="00BD5ABA">
        <w:rPr>
          <w:rFonts w:eastAsia="Times New Roman"/>
          <w:lang w:eastAsia="en-GB"/>
        </w:rPr>
        <w:t>. Assuming that access to the Service's advice, support, guidance and resources would be primar</w:t>
      </w:r>
      <w:r w:rsidR="006429C1">
        <w:rPr>
          <w:rFonts w:eastAsia="Times New Roman"/>
          <w:lang w:eastAsia="en-GB"/>
        </w:rPr>
        <w:t>i</w:t>
      </w:r>
      <w:r w:rsidRPr="00BD5ABA">
        <w:rPr>
          <w:rFonts w:eastAsia="Times New Roman"/>
          <w:lang w:eastAsia="en-GB"/>
        </w:rPr>
        <w:t>ly driven by acknowled</w:t>
      </w:r>
      <w:r w:rsidR="006429C1">
        <w:rPr>
          <w:rFonts w:eastAsia="Times New Roman"/>
          <w:lang w:eastAsia="en-GB"/>
        </w:rPr>
        <w:t>g</w:t>
      </w:r>
      <w:r w:rsidRPr="00BD5ABA">
        <w:rPr>
          <w:rFonts w:eastAsia="Times New Roman"/>
          <w:lang w:eastAsia="en-GB"/>
        </w:rPr>
        <w:t>ing students with dyslexia who had applied for the DSA through the university, it is no surprise that international students with dyslexia slip are unknown to the Service.</w:t>
      </w:r>
    </w:p>
    <w:p w14:paraId="2BECB906" w14:textId="04EF7A54" w:rsidR="00BD5ABA" w:rsidRDefault="00BD5ABA" w:rsidP="00BD5ABA">
      <w:pPr>
        <w:pStyle w:val="Heading3"/>
        <w:rPr>
          <w:rFonts w:eastAsia="Times New Roman"/>
          <w:lang w:eastAsia="en-GB"/>
        </w:rPr>
      </w:pPr>
      <w:bookmarkStart w:id="257" w:name="_Toc57035940"/>
      <w:r>
        <w:rPr>
          <w:rFonts w:eastAsia="Times New Roman"/>
          <w:lang w:eastAsia="en-GB"/>
        </w:rPr>
        <w:t>II</w:t>
      </w:r>
      <w:r w:rsidR="004D5123">
        <w:rPr>
          <w:rFonts w:eastAsia="Times New Roman"/>
          <w:lang w:eastAsia="en-GB"/>
        </w:rPr>
        <w:tab/>
      </w:r>
      <w:r>
        <w:rPr>
          <w:rFonts w:eastAsia="Times New Roman"/>
          <w:lang w:eastAsia="en-GB"/>
        </w:rPr>
        <w:t>Prevalence of dyslexia in this current study</w:t>
      </w:r>
      <w:bookmarkEnd w:id="257"/>
    </w:p>
    <w:p w14:paraId="502B4D3C" w14:textId="213E7F3D" w:rsidR="0018518C" w:rsidRDefault="00BD5ABA" w:rsidP="00BD5ABA">
      <w:pPr>
        <w:rPr>
          <w:rFonts w:eastAsia="Times New Roman"/>
          <w:lang w:eastAsia="en-GB"/>
        </w:rPr>
      </w:pPr>
      <w:r w:rsidRPr="00BD5ABA">
        <w:rPr>
          <w:rFonts w:eastAsia="Times New Roman"/>
          <w:lang w:eastAsia="en-GB"/>
        </w:rPr>
        <w:t>The prevalence of dyslexia amongst university students in the UK (and elsewhere) is notoriously difficult to determine for several reasons. For example, the true proportion may be obfuscated through a reluctance to disclose by some dyslexic students due to perceptions of the likely consequences outweighing the possibly marginal benefits; but also</w:t>
      </w:r>
      <w:r w:rsidR="00A21951">
        <w:rPr>
          <w:rFonts w:eastAsia="Times New Roman"/>
          <w:lang w:eastAsia="en-GB"/>
        </w:rPr>
        <w:t>,</w:t>
      </w:r>
      <w:r w:rsidRPr="00BD5ABA">
        <w:rPr>
          <w:rFonts w:eastAsia="Times New Roman"/>
          <w:lang w:eastAsia="en-GB"/>
        </w:rPr>
        <w:t xml:space="preserve"> that the student community is likely to include a significant proportion of unidentif</w:t>
      </w:r>
      <w:r>
        <w:rPr>
          <w:rFonts w:eastAsia="Times New Roman"/>
          <w:lang w:eastAsia="en-GB"/>
        </w:rPr>
        <w:t>i</w:t>
      </w:r>
      <w:r w:rsidRPr="00BD5ABA">
        <w:rPr>
          <w:rFonts w:eastAsia="Times New Roman"/>
          <w:lang w:eastAsia="en-GB"/>
        </w:rPr>
        <w:t xml:space="preserve">ed dyslexia. Taken with issues about how dyslexia is defined and thus, how this raises challenges for measuring it, the proportion of quasi-dyslexic students identified in this current study was of no surprise. Indeed, this was exactly the outcome that was anticipated in the foundation stages of designing the enquiry, and is consistent with evidence from </w:t>
      </w:r>
      <w:r w:rsidR="00DC31CB">
        <w:rPr>
          <w:rFonts w:eastAsia="Times New Roman"/>
          <w:lang w:eastAsia="en-GB"/>
        </w:rPr>
        <w:t xml:space="preserve">earlier </w:t>
      </w:r>
      <w:r w:rsidRPr="00BD5ABA">
        <w:rPr>
          <w:rFonts w:eastAsia="Times New Roman"/>
          <w:lang w:eastAsia="en-GB"/>
        </w:rPr>
        <w:t xml:space="preserve">studies that dyslexia amongst university students </w:t>
      </w:r>
      <w:r w:rsidR="00DC31CB">
        <w:rPr>
          <w:rFonts w:eastAsia="Times New Roman"/>
          <w:lang w:eastAsia="en-GB"/>
        </w:rPr>
        <w:t xml:space="preserve">may be </w:t>
      </w:r>
      <w:r w:rsidRPr="00BD5ABA">
        <w:rPr>
          <w:rFonts w:eastAsia="Times New Roman"/>
          <w:lang w:eastAsia="en-GB"/>
        </w:rPr>
        <w:t>under-reported</w:t>
      </w:r>
      <w:r w:rsidR="00DC31CB">
        <w:rPr>
          <w:rFonts w:eastAsia="Times New Roman"/>
          <w:lang w:eastAsia="en-GB"/>
        </w:rPr>
        <w:t xml:space="preserve"> </w:t>
      </w:r>
      <w:r w:rsidR="00E60E29" w:rsidRPr="00592F75">
        <w:t>(Richardson &amp; Wydell, 2003</w:t>
      </w:r>
      <w:r w:rsidR="00E60E29">
        <w:t>;</w:t>
      </w:r>
      <w:r w:rsidR="00E60E29" w:rsidRPr="00592F75">
        <w:t xml:space="preserve"> Stampoltzis &amp; Polychronopoulou, 2008)</w:t>
      </w:r>
      <w:r w:rsidR="00E60E29">
        <w:t xml:space="preserve">, </w:t>
      </w:r>
      <w:r w:rsidR="00DC31CB">
        <w:rPr>
          <w:rFonts w:eastAsia="Times New Roman"/>
          <w:lang w:eastAsia="en-GB"/>
        </w:rPr>
        <w:t xml:space="preserve">or </w:t>
      </w:r>
      <w:r w:rsidRPr="00BD5ABA">
        <w:rPr>
          <w:rFonts w:eastAsia="Times New Roman"/>
          <w:lang w:eastAsia="en-GB"/>
        </w:rPr>
        <w:t>that a substantial number of dyslexic students in UK HE are only</w:t>
      </w:r>
      <w:r w:rsidR="00DC31CB">
        <w:rPr>
          <w:rFonts w:eastAsia="Times New Roman"/>
          <w:lang w:eastAsia="en-GB"/>
        </w:rPr>
        <w:t xml:space="preserve"> </w:t>
      </w:r>
      <w:r w:rsidRPr="00BD5ABA">
        <w:rPr>
          <w:rFonts w:eastAsia="Times New Roman"/>
          <w:lang w:eastAsia="en-GB"/>
        </w:rPr>
        <w:t>identified after their enrolment at university</w:t>
      </w:r>
      <w:r w:rsidR="00F148CA">
        <w:rPr>
          <w:rFonts w:eastAsia="Times New Roman"/>
          <w:lang w:eastAsia="en-GB"/>
        </w:rPr>
        <w:t xml:space="preserve"> (</w:t>
      </w:r>
      <w:r w:rsidR="00DC31CB">
        <w:rPr>
          <w:rFonts w:eastAsia="Times New Roman"/>
          <w:lang w:eastAsia="en-GB"/>
        </w:rPr>
        <w:t>Singleton, et.al.,1999; Singleton &amp; Aisbitt, 2001)</w:t>
      </w:r>
      <w:r w:rsidRPr="00BD5ABA">
        <w:rPr>
          <w:rFonts w:eastAsia="Times New Roman"/>
          <w:lang w:eastAsia="en-GB"/>
        </w:rPr>
        <w:t>. With all participants levels of dyslexia-ness determined by the outputs of the Dx Profilers, it was heartening to note that the small sub-group of 18 (Dx20) or</w:t>
      </w:r>
      <w:r>
        <w:rPr>
          <w:rFonts w:eastAsia="Times New Roman"/>
          <w:lang w:eastAsia="en-GB"/>
        </w:rPr>
        <w:t xml:space="preserve"> </w:t>
      </w:r>
      <w:r w:rsidRPr="00BD5ABA">
        <w:rPr>
          <w:rFonts w:eastAsia="Times New Roman"/>
          <w:lang w:eastAsia="en-GB"/>
        </w:rPr>
        <w:t xml:space="preserve">19(Dx16) quasi-dyslexic students were identifiable from the group of participants who had declared no dyslexic learning differences. At close to 20% of the non-dyslexic group, this sub-group represented a substantial minority although in absolute terms was still a small sample. </w:t>
      </w:r>
    </w:p>
    <w:p w14:paraId="3B5782C5" w14:textId="202B3C27" w:rsidR="00BD5ABA" w:rsidRPr="00BD5ABA" w:rsidRDefault="00BD5ABA" w:rsidP="00BD5ABA">
      <w:pPr>
        <w:rPr>
          <w:rFonts w:eastAsia="Times New Roman"/>
          <w:lang w:eastAsia="en-GB"/>
        </w:rPr>
      </w:pPr>
      <w:r w:rsidRPr="00BD5ABA">
        <w:rPr>
          <w:rFonts w:eastAsia="Times New Roman"/>
          <w:lang w:eastAsia="en-GB"/>
        </w:rPr>
        <w:t>The Dx Profiler was not designed to be a dyslexia screener, but its</w:t>
      </w:r>
      <w:r w:rsidR="0018518C">
        <w:rPr>
          <w:rFonts w:eastAsia="Times New Roman"/>
          <w:lang w:eastAsia="en-GB"/>
        </w:rPr>
        <w:t xml:space="preserve"> </w:t>
      </w:r>
      <w:r w:rsidRPr="00BD5ABA">
        <w:rPr>
          <w:rFonts w:eastAsia="Times New Roman"/>
          <w:lang w:eastAsia="en-GB"/>
        </w:rPr>
        <w:t>composition did include a breadth of gauging parameters that would not be misplaced in a screener. So</w:t>
      </w:r>
      <w:r w:rsidR="00A21951">
        <w:rPr>
          <w:rFonts w:eastAsia="Times New Roman"/>
          <w:lang w:eastAsia="en-GB"/>
        </w:rPr>
        <w:t>,</w:t>
      </w:r>
      <w:r w:rsidRPr="00BD5ABA">
        <w:rPr>
          <w:rFonts w:eastAsia="Times New Roman"/>
          <w:lang w:eastAsia="en-GB"/>
        </w:rPr>
        <w:t xml:space="preserve"> it is not unreasonable to suppose that of the eighteen or nineteen students comprising this sub-group, a proportion, possibly a significant proportion, may be unidentified with dyslexia. To put this in context the most recent data available from HESA (</w:t>
      </w:r>
      <w:r w:rsidR="00DC31CB">
        <w:rPr>
          <w:rFonts w:eastAsia="Times New Roman"/>
          <w:lang w:eastAsia="en-GB"/>
        </w:rPr>
        <w:t>2016/17</w:t>
      </w:r>
      <w:r w:rsidRPr="00BD5ABA">
        <w:rPr>
          <w:rFonts w:eastAsia="Times New Roman"/>
          <w:lang w:eastAsia="en-GB"/>
        </w:rPr>
        <w:t>) indicated that students in UK HE institutions who disclosed a learning disability accounted for 4.8% of the student population overall. This was the incidence of all 'defined' learning disabilities, which, in addition to dyslexia, includes dyspraxia, ADHD, and Asperger's Sy</w:t>
      </w:r>
      <w:r>
        <w:rPr>
          <w:rFonts w:eastAsia="Times New Roman"/>
          <w:lang w:eastAsia="en-GB"/>
        </w:rPr>
        <w:t>n</w:t>
      </w:r>
      <w:r w:rsidRPr="00BD5ABA">
        <w:rPr>
          <w:rFonts w:eastAsia="Times New Roman"/>
          <w:lang w:eastAsia="en-GB"/>
        </w:rPr>
        <w:t>drome. Although there is currently no mechanism in place in their data collection process for discriminating students with dyslexia as a discrete subgroup of those disclosing learning disabilities, it was indicated that HESA view</w:t>
      </w:r>
      <w:r w:rsidR="00AF008B">
        <w:rPr>
          <w:rFonts w:eastAsia="Times New Roman"/>
          <w:lang w:eastAsia="en-GB"/>
        </w:rPr>
        <w:t xml:space="preserve">s </w:t>
      </w:r>
      <w:r w:rsidRPr="00BD5ABA">
        <w:rPr>
          <w:rFonts w:eastAsia="Times New Roman"/>
          <w:lang w:eastAsia="en-GB"/>
        </w:rPr>
        <w:t xml:space="preserve">dyslexia </w:t>
      </w:r>
      <w:r w:rsidR="00AF008B">
        <w:rPr>
          <w:rFonts w:eastAsia="Times New Roman"/>
          <w:lang w:eastAsia="en-GB"/>
        </w:rPr>
        <w:t xml:space="preserve">as </w:t>
      </w:r>
      <w:r w:rsidRPr="00BD5ABA">
        <w:rPr>
          <w:rFonts w:eastAsia="Times New Roman"/>
          <w:lang w:eastAsia="en-GB"/>
        </w:rPr>
        <w:t>the most represented subgroup. However</w:t>
      </w:r>
      <w:r w:rsidR="00A21951">
        <w:rPr>
          <w:rFonts w:eastAsia="Times New Roman"/>
          <w:lang w:eastAsia="en-GB"/>
        </w:rPr>
        <w:t>,</w:t>
      </w:r>
      <w:r w:rsidRPr="00BD5ABA">
        <w:rPr>
          <w:rFonts w:eastAsia="Times New Roman"/>
          <w:lang w:eastAsia="en-GB"/>
        </w:rPr>
        <w:t xml:space="preserve"> it is important not to consider this apparently </w:t>
      </w:r>
      <w:r w:rsidRPr="00BD5ABA">
        <w:rPr>
          <w:rFonts w:eastAsia="Times New Roman"/>
          <w:lang w:eastAsia="en-GB"/>
        </w:rPr>
        <w:lastRenderedPageBreak/>
        <w:t>significant incidence of quasi-dyslexia in this study as a 'dyslexia fact', because the preval</w:t>
      </w:r>
      <w:r>
        <w:rPr>
          <w:rFonts w:eastAsia="Times New Roman"/>
          <w:lang w:eastAsia="en-GB"/>
        </w:rPr>
        <w:t>e</w:t>
      </w:r>
      <w:r w:rsidRPr="00BD5ABA">
        <w:rPr>
          <w:rFonts w:eastAsia="Times New Roman"/>
          <w:lang w:eastAsia="en-GB"/>
        </w:rPr>
        <w:t>nce of dyslexia amongst university students remains inaccurate, and</w:t>
      </w:r>
      <w:r w:rsidR="00AF008B">
        <w:rPr>
          <w:rFonts w:eastAsia="Times New Roman"/>
          <w:lang w:eastAsia="en-GB"/>
        </w:rPr>
        <w:t xml:space="preserve"> </w:t>
      </w:r>
      <w:r w:rsidRPr="00BD5ABA">
        <w:rPr>
          <w:rFonts w:eastAsia="Times New Roman"/>
          <w:lang w:eastAsia="en-GB"/>
        </w:rPr>
        <w:t>the 'dyslexia debate' continues to be controversial and to a point, contested</w:t>
      </w:r>
      <w:r w:rsidR="00AF008B">
        <w:rPr>
          <w:rFonts w:eastAsia="Times New Roman"/>
          <w:lang w:eastAsia="en-GB"/>
        </w:rPr>
        <w:t xml:space="preserve"> (e.g.: Elliott &amp; Grigorenko, 2014)</w:t>
      </w:r>
      <w:r w:rsidRPr="00BD5ABA">
        <w:rPr>
          <w:rFonts w:eastAsia="Times New Roman"/>
          <w:lang w:eastAsia="en-GB"/>
        </w:rPr>
        <w:t xml:space="preserve">. </w:t>
      </w:r>
      <w:r w:rsidR="00AF008B">
        <w:rPr>
          <w:rFonts w:eastAsia="Times New Roman"/>
          <w:lang w:eastAsia="en-GB"/>
        </w:rPr>
        <w:t>E</w:t>
      </w:r>
      <w:r w:rsidRPr="00BD5ABA">
        <w:rPr>
          <w:rFonts w:eastAsia="Times New Roman"/>
          <w:lang w:eastAsia="en-GB"/>
        </w:rPr>
        <w:t>qually this is a result not to be ignored, nor set aside as a data analysis glitch, because the Dx Profiler which revealed this subgroup of students, demonstrated good, if not strong sensitivity when applied to students in the known dyslexic group, subsequently used as the control.</w:t>
      </w:r>
    </w:p>
    <w:p w14:paraId="437845D9" w14:textId="680EE868" w:rsidR="00BD5ABA" w:rsidRDefault="00BD5ABA" w:rsidP="00BD5ABA">
      <w:pPr>
        <w:pStyle w:val="Heading3"/>
        <w:rPr>
          <w:rFonts w:eastAsia="Times New Roman"/>
          <w:lang w:eastAsia="en-GB"/>
        </w:rPr>
      </w:pPr>
      <w:bookmarkStart w:id="258" w:name="_Toc57035941"/>
      <w:r>
        <w:rPr>
          <w:rFonts w:eastAsia="Times New Roman"/>
          <w:lang w:eastAsia="en-GB"/>
        </w:rPr>
        <w:t>III</w:t>
      </w:r>
      <w:r w:rsidR="004D5123">
        <w:rPr>
          <w:rFonts w:eastAsia="Times New Roman"/>
          <w:lang w:eastAsia="en-GB"/>
        </w:rPr>
        <w:tab/>
      </w:r>
      <w:r>
        <w:rPr>
          <w:rFonts w:eastAsia="Times New Roman"/>
          <w:lang w:eastAsia="en-GB"/>
        </w:rPr>
        <w:t>The relationships between dyslexia-ness and academic confidence</w:t>
      </w:r>
      <w:bookmarkEnd w:id="258"/>
    </w:p>
    <w:p w14:paraId="68AD8E67" w14:textId="6BD3978E" w:rsidR="00BD5ABA" w:rsidRDefault="00BD5ABA" w:rsidP="00BD5ABA">
      <w:pPr>
        <w:rPr>
          <w:rFonts w:ascii="Times New Roman" w:eastAsia="Times New Roman" w:hAnsi="Times New Roman"/>
        </w:rPr>
      </w:pPr>
      <w:r>
        <w:t xml:space="preserve">This study set out to </w:t>
      </w:r>
      <w:r w:rsidR="00AF008B">
        <w:t xml:space="preserve">explore the extent to which </w:t>
      </w:r>
      <w:r>
        <w:t xml:space="preserve">students with dyslexia at university are less confident about their academic studies than their non-dyslexic peers. The nature of academic confidence as a distinct, but related construct to academic self-efficacy has been extensively discussed earlier, validating its theoretical underpinnings. Academic confidence, as a construct that is measurable, emerged from an interest in explaining differences in learning preferences between students on similar academic pathways. Early studies led to the reimagining of the metric to acknowledge a more keenly focused interest on study actions and behaviours as the measurable indicators of students' confidence for tackling the rigours and challenges of university study. Thus, the Academic Behavioural Confidence Scale emerged as a practical means to operationalize and gauge levels of academic confidence amongst university students. </w:t>
      </w:r>
      <w:r w:rsidR="00AF008B">
        <w:t>V</w:t>
      </w:r>
      <w:r>
        <w:t xml:space="preserve">ery few studies have been found to date which have used the scale to look at how disabilities impact on academic confidence - at least within the same framework that has defined academic confidence for this current study - and none have taken dyslexia as a specific focus. Whether or not dyslexia, as a difficult-to-define syndrome, should feature on the disability agenda remains a contested point. </w:t>
      </w:r>
      <w:r w:rsidR="00AF008B">
        <w:t>T</w:t>
      </w:r>
      <w:r>
        <w:t xml:space="preserve">o adopt a position of relative neutrality, this current study has taken the position that dyslexia is best considered as a multifactorial, information processing difference, but one where many individuals beset with a range of its dominant characteristics in varying degrees, </w:t>
      </w:r>
      <w:r w:rsidR="005B3FDB">
        <w:t xml:space="preserve">persistently remain </w:t>
      </w:r>
      <w:r>
        <w:t xml:space="preserve">disabled by the broadly literacy-based learning environment </w:t>
      </w:r>
      <w:r w:rsidR="005B3FDB">
        <w:t xml:space="preserve">with </w:t>
      </w:r>
      <w:r>
        <w:t>which they are striving to engage</w:t>
      </w:r>
      <w:r w:rsidR="005B3FDB">
        <w:t xml:space="preserve">; this only serves to erode </w:t>
      </w:r>
      <w:r>
        <w:t>their confidence in tackling their studies at university. </w:t>
      </w:r>
      <w:r w:rsidR="005B3FDB">
        <w:t xml:space="preserve">This position has been grounded in evidence from the literature reviewed and discussed in Section 2. </w:t>
      </w:r>
      <w:r>
        <w:t>Hence, the research framework defined academic confidence as a sub-construct of academic self-efficacy; and considered dyslexia from the multifactorial perspective, for which a new metric, the Dyslexia Index Profiler, was introduced to operationalize the extent and levels of individuals' aggregation of characteristics or dimensions of dyslexia, their levels of 'dyslexia-ness'. </w:t>
      </w:r>
    </w:p>
    <w:p w14:paraId="6E1C5850" w14:textId="4E61500B" w:rsidR="00BD5ABA" w:rsidRDefault="00BD5ABA" w:rsidP="00BD5ABA">
      <w:r>
        <w:t xml:space="preserve">From the outset two, clear objectives were established: firstly to establish that students with dyslexia, in whatever form it is defined, consistently show lower levels of academic </w:t>
      </w:r>
      <w:r>
        <w:lastRenderedPageBreak/>
        <w:t xml:space="preserve">confidence (as gauged from the ABC Scale) than their non-dyslexic peers; and secondly, to </w:t>
      </w:r>
      <w:r w:rsidR="005B3FDB">
        <w:t xml:space="preserve">determine whether </w:t>
      </w:r>
      <w:r>
        <w:t xml:space="preserve">quasi-dyslexic students' levels of academic confidence </w:t>
      </w:r>
      <w:r w:rsidR="005B3FDB">
        <w:t xml:space="preserve">might be </w:t>
      </w:r>
      <w:r>
        <w:t>less severely depressed, hence suggesting that studying in ignorance that the pattern of challenges and difficulties experience</w:t>
      </w:r>
      <w:r w:rsidR="005B3FDB">
        <w:t>d</w:t>
      </w:r>
      <w:r>
        <w:t xml:space="preserve"> are comparable with the dyslexia envelope, carries with it a reduced impact on their academic confidence.</w:t>
      </w:r>
    </w:p>
    <w:p w14:paraId="045CD107" w14:textId="77777777" w:rsidR="005B3FDB" w:rsidRDefault="005B3FDB" w:rsidP="005B3FDB">
      <w:r>
        <w:t xml:space="preserve">Meeting the first of these objectives was relatively straightforward, subsequent to the development of a suitable data-gathering instrument. With two clearly demarcated groups of students in the datapool - those who had declared dyslexic learning differences, and those who had not - individual levels of academic confidence were gauged using the ABC Scale and mean average outcomes were constructed for each group. The results affirmed an inverse relationship between academic confidence and dyslexia-ness. That is, higher levels of dyslexia-ness tended to be associated with lower levels of academic confidence. However, it cannot be said from this that dyslexia, or dyslexia-like learning and study characteristics </w:t>
      </w:r>
      <w:r w:rsidRPr="00A21951">
        <w:rPr>
          <w:i/>
          <w:iCs/>
        </w:rPr>
        <w:t>cause</w:t>
      </w:r>
      <w:r>
        <w:t xml:space="preserve"> reduced levels of academic confidence because firstly, the dataset collected was too small to support such a radical claim; and secondly, no attempt was made to control for other factors that may also have a bearing on levels of academic confidence in university students. These could be wide-ranging and possibly include social, cultural or ethnic influences on prior learning experiences and history, or intrinsic personal, psychological factors such as anxiety, self-esteem, predisposition towards academic procrastination, and so forth, or academic credentials on course-commencement, for example. But this datapool of university students was firstly, considered to be reasonably representative of students more generally, and secondly too small to permit analysis at the micro level required were groups and subgroups reduced in sample size to accommodate the distributions of these other factors. Hence the recommendation for further studies to be undertaken to consider this level of analysis.</w:t>
      </w:r>
    </w:p>
    <w:p w14:paraId="30A10C1B" w14:textId="11344F92" w:rsidR="005B3FDB" w:rsidRDefault="005B3FDB" w:rsidP="005B3FDB">
      <w:r>
        <w:t xml:space="preserve">In the event, those students with dyslexia presented levels of ABC that were on average nine percentage points lower than their non-dyslexic peers, representing 12-13% lower absolute levels of academic confidence. This was a consistent outcome across the four versions of the ABC Scale. Adjusting values to account for sample sizes and distribution variances, the differences also consistently generated moderate effect sizes, with average ABC values shown to be significantly lower for the dyslexic group. When students were further sifted according to their levels of dyslexia-ness, as determined from outcomes from either of the Dx Profilers used for the data analysis, students from the non-dyslexic group with low levels of dyslexia-ness showed substantially higher levels of ABC in comparison to the control group of dyslexic students with relatively high levels of dyslexia-ness, where the greatest difference of 14.96 percentage points </w:t>
      </w:r>
      <w:r>
        <w:lastRenderedPageBreak/>
        <w:t>emerged from analysis using the ABC 17-dimension Scale and the 16-dimension version of the Dx Profiler. This appeared to indicate that students with low levels of dyslexia-ness were presenting levels of academic confidence some 20% higher on average than their strongly dyslexic peers (Tables 1</w:t>
      </w:r>
      <w:r w:rsidR="00C13E09">
        <w:t>5</w:t>
      </w:r>
      <w:r>
        <w:t>, 1</w:t>
      </w:r>
      <w:r w:rsidR="00C13E09">
        <w:t>6</w:t>
      </w:r>
      <w:r>
        <w:t>; sub-section 4.3/IV</w:t>
      </w:r>
      <w:r w:rsidR="00C13E09">
        <w:t>.</w:t>
      </w:r>
      <w:r>
        <w:t xml:space="preserve">II). At a factorial level, where dimension reduction had indicated two factors relating to the </w:t>
      </w:r>
      <w:r>
        <w:rPr>
          <w:i/>
          <w:iCs/>
        </w:rPr>
        <w:t>academic</w:t>
      </w:r>
      <w:r>
        <w:t xml:space="preserve"> processes of studying with the third concerned with how these processes were planned and organized, outcomes showed that differences were most notable at the academic rather than the planning levels. Indeed, the data showed that all students in the datapool had similar levels of confidence in their capability to plan and organize their studies to meet their academic challenges, and that dyslexic students in the Control subgroup presented similar average ABC levels to their non-dyslexic peers with low levels of dyslexia-ness in the Base subgroup. For the other two factors of Study Efficacy, and Academic Engagement, differences between these subgroups were significant, with the non-dyslexic students showing much higher levels of ABC (Table</w:t>
      </w:r>
      <w:r w:rsidR="00A76632">
        <w:t>s</w:t>
      </w:r>
      <w:r>
        <w:t xml:space="preserve"> </w:t>
      </w:r>
      <w:r w:rsidR="00A76632">
        <w:t>30-32</w:t>
      </w:r>
      <w:r>
        <w:t>, sub-section 4.5/V). So it became clear that these two 'academic' factors were the strongest contributors to reduced levels of ABC overall for the dyslexic group.</w:t>
      </w:r>
    </w:p>
    <w:p w14:paraId="318BFB1D" w14:textId="77777777" w:rsidR="005B3FDB" w:rsidRDefault="005B3FDB" w:rsidP="005B3FDB">
      <w:r>
        <w:t>At the very least, it is argued that these outcomes are cause for reflection about how students with dyslexia engage with their university learning experience, perhaps indicating that the academic tasks and challenges of this learning experienced could be more appropriately packaged and presented. Hence, a logical conclusion is that more could be done to enable equitable levels of academic confidence to be an outcome of initiatives designed to improve the 'lot' for students with dyslexia, especially if these can make them feel less othered, different and disabled. Such initiatives are likely to be of benefit to all students as a result of more accessible and flexible learning situations, that are individually adaptable so that academic performance and achievement are more accurate reflections of their capabilities and learning potential.</w:t>
      </w:r>
    </w:p>
    <w:p w14:paraId="0ABD325B" w14:textId="7F1964F1" w:rsidR="00BD5ABA" w:rsidRDefault="00BD5ABA" w:rsidP="00BD5ABA">
      <w:pPr>
        <w:pStyle w:val="Heading3"/>
      </w:pPr>
      <w:bookmarkStart w:id="259" w:name="_Toc57035942"/>
      <w:r>
        <w:t>IV</w:t>
      </w:r>
      <w:r w:rsidR="004D5123">
        <w:tab/>
      </w:r>
      <w:r>
        <w:t xml:space="preserve">Diagnosing dyslexia: </w:t>
      </w:r>
      <w:r w:rsidR="00A21951">
        <w:t xml:space="preserve">Does </w:t>
      </w:r>
      <w:r>
        <w:t xml:space="preserve">this </w:t>
      </w:r>
      <w:r w:rsidR="006429C1">
        <w:t xml:space="preserve">impact </w:t>
      </w:r>
      <w:r w:rsidR="00A21951">
        <w:t xml:space="preserve">significantly </w:t>
      </w:r>
      <w:r w:rsidR="006429C1">
        <w:t>on academic confidence?</w:t>
      </w:r>
      <w:bookmarkEnd w:id="259"/>
    </w:p>
    <w:p w14:paraId="1324654B" w14:textId="6C9E2651" w:rsidR="006429C1" w:rsidRDefault="005B3FDB" w:rsidP="006429C1">
      <w:pPr>
        <w:rPr>
          <w:rFonts w:ascii="Times New Roman" w:eastAsia="Times New Roman" w:hAnsi="Times New Roman"/>
        </w:rPr>
      </w:pPr>
      <w:r>
        <w:t>A</w:t>
      </w:r>
      <w:r w:rsidR="006429C1">
        <w:t>n additional focus of this study has been to consider whether there may be evidence that the process of identifying dyslexia in university students (or in their prior learning) is likely to have had an impact on their academic confidence.</w:t>
      </w:r>
      <w:r w:rsidR="00373AC5">
        <w:t xml:space="preserve"> </w:t>
      </w:r>
    </w:p>
    <w:p w14:paraId="2A5F44E9" w14:textId="243C02A3" w:rsidR="006429C1" w:rsidRPr="00A21951" w:rsidRDefault="005B3FDB" w:rsidP="00A21951">
      <w:pPr>
        <w:rPr>
          <w:spacing w:val="12"/>
        </w:rPr>
      </w:pPr>
      <w:r w:rsidRPr="00A21951">
        <w:rPr>
          <w:rFonts w:eastAsia="Times New Roman"/>
          <w:lang w:eastAsia="en-GB"/>
        </w:rPr>
        <w:t>It has been argued that the outcome of a 'disability diagnosis' may lead individuals with dyslexia to perceive themselves to be valued less by their peers, or even by society more generally</w:t>
      </w:r>
      <w:r>
        <w:rPr>
          <w:rFonts w:eastAsia="Times New Roman"/>
          <w:lang w:eastAsia="en-GB"/>
        </w:rPr>
        <w:t>;</w:t>
      </w:r>
      <w:r w:rsidRPr="00A21951">
        <w:rPr>
          <w:rFonts w:eastAsia="Times New Roman"/>
          <w:lang w:eastAsia="en-GB"/>
        </w:rPr>
        <w:t xml:space="preserve"> a characteristic typically associated with stigmatization</w:t>
      </w:r>
      <w:r w:rsidR="00FD2813">
        <w:rPr>
          <w:rFonts w:eastAsia="Times New Roman"/>
          <w:lang w:eastAsia="en-GB"/>
        </w:rPr>
        <w:t xml:space="preserve">, and an </w:t>
      </w:r>
      <w:r w:rsidR="00EB269D">
        <w:t>acknowledg</w:t>
      </w:r>
      <w:r w:rsidR="00FD2813">
        <w:t>ement</w:t>
      </w:r>
      <w:r w:rsidR="00EB269D" w:rsidRPr="00E7312D">
        <w:t xml:space="preserve"> of </w:t>
      </w:r>
      <w:r w:rsidR="00FD2813">
        <w:t xml:space="preserve">the </w:t>
      </w:r>
      <w:r w:rsidR="00EB269D" w:rsidRPr="00E7312D">
        <w:t>stigma that is reportedly associated with the dyslexia</w:t>
      </w:r>
      <w:r w:rsidR="00EB269D">
        <w:t xml:space="preserve"> label</w:t>
      </w:r>
      <w:r w:rsidR="00EB269D" w:rsidRPr="00E7312D">
        <w:t xml:space="preserve"> (Morris &amp; Turnbull, 2007</w:t>
      </w:r>
      <w:r w:rsidR="00EB269D">
        <w:t>;</w:t>
      </w:r>
      <w:r w:rsidR="00EB269D" w:rsidRPr="00E7312D">
        <w:t xml:space="preserve"> Lisle &amp; Wade, 2013). </w:t>
      </w:r>
      <w:r w:rsidRPr="00A21951">
        <w:rPr>
          <w:rFonts w:eastAsia="Times New Roman"/>
          <w:lang w:eastAsia="en-GB"/>
        </w:rPr>
        <w:t xml:space="preserve">It has been suggested that the </w:t>
      </w:r>
      <w:r w:rsidRPr="00A21951">
        <w:rPr>
          <w:rFonts w:eastAsia="Times New Roman"/>
          <w:lang w:eastAsia="en-GB"/>
        </w:rPr>
        <w:lastRenderedPageBreak/>
        <w:t>significant part of these feelings may stem from associating 'diagnosis' with curative treatments, and uncertainty about what they are for or whether they will work. It has been shown in Section 2 that affective responses are known to influence compliance with remedial regimes constructed around the modification of behavioural intentions and actions. Translated into the dyslexia context, it is reasonable to suppose that individuals whose dyslexia is diagnosed to them as a learning disability are likely to experience aversive emotional responses to the fact - perhaps even perceiving dyslexia as an illness without a cure</w:t>
      </w:r>
      <w:r w:rsidR="007679D0">
        <w:rPr>
          <w:rFonts w:eastAsia="Times New Roman"/>
          <w:lang w:eastAsia="en-GB"/>
        </w:rPr>
        <w:t xml:space="preserve">. </w:t>
      </w:r>
      <w:r w:rsidR="007679D0">
        <w:t>T</w:t>
      </w:r>
      <w:r w:rsidR="007679D0" w:rsidRPr="00E7312D">
        <w:t>he negative construction of disability</w:t>
      </w:r>
      <w:r w:rsidR="007679D0">
        <w:t xml:space="preserve"> is widespread</w:t>
      </w:r>
      <w:r w:rsidR="007679D0" w:rsidRPr="00E7312D">
        <w:t xml:space="preserve"> in society </w:t>
      </w:r>
      <w:r w:rsidR="007679D0">
        <w:t>by being frequently associated with a clinical condition</w:t>
      </w:r>
      <w:r w:rsidR="007679D0" w:rsidRPr="00E7312D">
        <w:t xml:space="preserve"> (e</w:t>
      </w:r>
      <w:r w:rsidR="00FD2813">
        <w:t>.</w:t>
      </w:r>
      <w:r w:rsidR="007679D0" w:rsidRPr="00E7312D">
        <w:t>g</w:t>
      </w:r>
      <w:r w:rsidR="00FD2813">
        <w:t>.</w:t>
      </w:r>
      <w:r w:rsidR="007679D0" w:rsidRPr="00E7312D">
        <w:t>: Connor &amp; Lynne, 2006, Phelan, 2010)</w:t>
      </w:r>
      <w:r w:rsidR="007679D0" w:rsidRPr="00A21951">
        <w:rPr>
          <w:rFonts w:eastAsia="Times New Roman"/>
          <w:lang w:eastAsia="en-GB"/>
        </w:rPr>
        <w:t xml:space="preserve">. </w:t>
      </w:r>
      <w:r w:rsidRPr="00A21951">
        <w:rPr>
          <w:rFonts w:eastAsia="Times New Roman"/>
          <w:lang w:eastAsia="en-GB"/>
        </w:rPr>
        <w:t>A student's reaction to their new situation could be unpredictable, and may impact on their perceptions of their capacity to study, not least from any lasting issues associated with a reimagining of their self-identity and impact on their confidence more widely</w:t>
      </w:r>
      <w:r w:rsidR="007679D0">
        <w:rPr>
          <w:rFonts w:eastAsia="Times New Roman"/>
          <w:lang w:eastAsia="en-GB"/>
        </w:rPr>
        <w:t xml:space="preserve">. This may be particularly notable when </w:t>
      </w:r>
      <w:r w:rsidR="007679D0" w:rsidRPr="00A21951">
        <w:rPr>
          <w:rFonts w:eastAsia="Times New Roman"/>
          <w:lang w:eastAsia="en-GB"/>
        </w:rPr>
        <w:t>disability has</w:t>
      </w:r>
      <w:r w:rsidR="007679D0">
        <w:rPr>
          <w:rFonts w:eastAsia="Times New Roman"/>
          <w:lang w:eastAsia="en-GB"/>
        </w:rPr>
        <w:t xml:space="preserve"> </w:t>
      </w:r>
      <w:r w:rsidR="007679D0" w:rsidRPr="00A21951">
        <w:rPr>
          <w:rFonts w:eastAsia="Times New Roman"/>
          <w:lang w:eastAsia="en-GB"/>
        </w:rPr>
        <w:t xml:space="preserve">been </w:t>
      </w:r>
      <w:r w:rsidR="007679D0">
        <w:rPr>
          <w:rFonts w:eastAsia="Times New Roman"/>
          <w:lang w:eastAsia="en-GB"/>
        </w:rPr>
        <w:t xml:space="preserve">perceived as </w:t>
      </w:r>
      <w:r w:rsidR="007679D0" w:rsidRPr="00A21951">
        <w:rPr>
          <w:rFonts w:eastAsia="Times New Roman"/>
          <w:lang w:eastAsia="en-GB"/>
        </w:rPr>
        <w:t>imposed, especially if this was unexpected</w:t>
      </w:r>
      <w:r w:rsidRPr="00A21951">
        <w:rPr>
          <w:rFonts w:eastAsia="Times New Roman"/>
          <w:lang w:eastAsia="en-GB"/>
        </w:rPr>
        <w:t>.</w:t>
      </w:r>
      <w:r w:rsidR="00A21951" w:rsidRPr="00A21951">
        <w:rPr>
          <w:rFonts w:eastAsia="Times New Roman"/>
          <w:lang w:eastAsia="en-GB"/>
        </w:rPr>
        <w:t xml:space="preserve"> One student in this current study whose dyslexia was diagnosed as a disability said:</w:t>
      </w:r>
      <w:r w:rsidR="006429C1">
        <w:rPr>
          <w:rStyle w:val="wixguard"/>
          <w:rFonts w:ascii="Times New Roman" w:hAnsi="Times New Roman" w:cs="Times New Roman"/>
          <w:spacing w:val="12"/>
        </w:rPr>
        <w:t>​</w:t>
      </w:r>
    </w:p>
    <w:p w14:paraId="7288C7CF" w14:textId="6679AB76" w:rsidR="006429C1" w:rsidRPr="006429C1" w:rsidRDefault="006429C1" w:rsidP="006429C1">
      <w:pPr>
        <w:pStyle w:val="font8"/>
        <w:spacing w:line="312" w:lineRule="atLeast"/>
        <w:ind w:left="600"/>
        <w:rPr>
          <w:rFonts w:ascii="Gill Sans MT" w:hAnsi="Gill Sans MT"/>
          <w:sz w:val="20"/>
          <w:szCs w:val="20"/>
        </w:rPr>
      </w:pPr>
      <w:r w:rsidRPr="006429C1">
        <w:rPr>
          <w:rStyle w:val="color19"/>
          <w:rFonts w:ascii="Gill Sans MT" w:hAnsi="Gill Sans MT"/>
          <w:spacing w:val="12"/>
          <w:sz w:val="20"/>
          <w:szCs w:val="20"/>
        </w:rPr>
        <w:t>"[Only] In the first year of my degree I found out I was dyslexic and I was massively</w:t>
      </w:r>
      <w:r>
        <w:rPr>
          <w:rFonts w:ascii="Gill Sans MT" w:hAnsi="Gill Sans MT"/>
          <w:sz w:val="20"/>
          <w:szCs w:val="20"/>
        </w:rPr>
        <w:t xml:space="preserve"> </w:t>
      </w:r>
      <w:r w:rsidRPr="006429C1">
        <w:rPr>
          <w:rStyle w:val="color19"/>
          <w:rFonts w:ascii="Gill Sans MT" w:hAnsi="Gill Sans MT"/>
          <w:spacing w:val="12"/>
          <w:sz w:val="20"/>
          <w:szCs w:val="20"/>
        </w:rPr>
        <w:t>traumatised by it. I thought learning would never be the same again due to my</w:t>
      </w:r>
      <w:r>
        <w:rPr>
          <w:rFonts w:ascii="Gill Sans MT" w:hAnsi="Gill Sans MT"/>
          <w:sz w:val="20"/>
          <w:szCs w:val="20"/>
        </w:rPr>
        <w:t xml:space="preserve"> </w:t>
      </w:r>
      <w:r w:rsidRPr="006429C1">
        <w:rPr>
          <w:rStyle w:val="color19"/>
          <w:rFonts w:ascii="Gill Sans MT" w:hAnsi="Gill Sans MT"/>
          <w:spacing w:val="12"/>
          <w:sz w:val="20"/>
          <w:szCs w:val="20"/>
        </w:rPr>
        <w:t>learning disabilities" (Respondent #89059542; ABC24=53.25; Dx16=811.71)</w:t>
      </w:r>
    </w:p>
    <w:p w14:paraId="73CE55BB" w14:textId="4FA5214C" w:rsidR="005B3FDB" w:rsidRDefault="005B3FDB" w:rsidP="005B3FDB">
      <w:r>
        <w:t xml:space="preserve">In Section 2 it was suggested that the process of identifying dyslexia, the dyslexic 'label' that is the outcome, and especially the manner through which the label is attached to the individual concerned, may be a critical factor in establishing whether the affective response to this knowledge is positive or not. One of the strands of this study is acknowledgement of the stigma that is reportedly associated with the dyslexia label. Notably characterized as the ‘dilemma of difference’, there is a persistent and unresolved debate about the value of attributing labels to individuals with atypical educational needs </w:t>
      </w:r>
      <w:r w:rsidR="007679D0">
        <w:t xml:space="preserve">(e.g.: Norwich, 1999; Warnock, 2005; Terzi, 2005) </w:t>
      </w:r>
      <w:r>
        <w:t xml:space="preserve">as discussed earlier. At the time of designing this study, no literature had been found which considered exploring as a variable, the impact of the different ways in which dyslexia is communicated to an individual as a result of a screening or assessment at university. Some studies have examined other psychosocial experiences of receiving an identification of dyslexia, but none appear to have explored the possible significance of </w:t>
      </w:r>
      <w:r>
        <w:rPr>
          <w:i/>
          <w:iCs/>
        </w:rPr>
        <w:t>how </w:t>
      </w:r>
      <w:r>
        <w:t xml:space="preserve">individuals were told of their dyslexia, always referring to dyslexia being diagnosed with nothing being found to indicate that the term ‘diagnosis’ had been considered as a likely impactor on an individual's internalization of their new knowledge about their dyslexia. To attempt to gauge this impact through the lens of academic confidence is unique. </w:t>
      </w:r>
    </w:p>
    <w:p w14:paraId="443481D1" w14:textId="520D38D8" w:rsidR="006429C1" w:rsidRDefault="005B3FDB" w:rsidP="006429C1">
      <w:r>
        <w:lastRenderedPageBreak/>
        <w:t>Analysis of results showed that students in this study whose dyslexia was diagnosed to them presented a substantially lower ABC when compared with students whose dyslexia was identified, described or disclosed to them. The outcomes were similar whether dyslexia was diagnosed as a disability or as a difficulty, and it was notable that nearly two-thirds of dyslexic students who participated in this study had been diagnosed with dyslexia, and of those, more than half recalled their dyslexia being described to them as a disability. The absolute difference in average ABC between the subgroup whose dyslexia was diagnosed as a disability and those where dyslexia was identified, disclosed or described as a difference or a difficulty was more than ten percentage points, indicating that amongst the students in this sample at least, the academic confidence of the diagnosed/disability subgroup was depressed by more than 14%. This was a statistically significant difference, and when adjusted to account for sample sizes and variances, showed a moderate-to-large effect size of </w:t>
      </w:r>
      <w:r>
        <w:rPr>
          <w:i/>
          <w:iCs/>
        </w:rPr>
        <w:t>g</w:t>
      </w:r>
      <w:r>
        <w:t> = 0.64. A deeper interpretation of the results revealed that students whose dyslexia was diagnosed, were, in particular, less confident about attending their lectures, seminars and other university teaching situations, and less confident about engaging with their peers or lecturers when they were there. Such behaviour appears consistent with observations in Cameron's (2016) study of the day-to-day learning lives of dyslexic students at university, which revealed that as members of a class, seminar or lecture in the company of other students, participants often found these learning experiences uncomfortable or threatening, reporting 'fear of speaking out in seminars or discussions' so as not to appear 'stupid or incompetent in some way'; that they all felt 'different from others', 'less able or intelligent' and that they 'didn't belong' in academic spaces. Similar feelings were reported by some dyslexic students in this current study.</w:t>
      </w:r>
      <w:r w:rsidR="006429C1">
        <w:t xml:space="preserve"> One participant said:</w:t>
      </w:r>
    </w:p>
    <w:p w14:paraId="6DD72197" w14:textId="1A9B04E7" w:rsidR="006429C1" w:rsidRPr="006429C1" w:rsidRDefault="006429C1" w:rsidP="006429C1">
      <w:pPr>
        <w:pStyle w:val="font8"/>
        <w:spacing w:line="312" w:lineRule="atLeast"/>
        <w:ind w:left="600"/>
        <w:rPr>
          <w:rFonts w:ascii="Gill Sans MT" w:hAnsi="Gill Sans MT"/>
          <w:sz w:val="20"/>
          <w:szCs w:val="20"/>
        </w:rPr>
      </w:pPr>
      <w:r w:rsidRPr="006429C1">
        <w:rPr>
          <w:rStyle w:val="color19"/>
          <w:rFonts w:ascii="Gill Sans MT" w:hAnsi="Gill Sans MT"/>
          <w:spacing w:val="12"/>
          <w:sz w:val="20"/>
          <w:szCs w:val="20"/>
        </w:rPr>
        <w:t>"I don't speak in class because I am not very confident in answering questions</w:t>
      </w:r>
      <w:r>
        <w:rPr>
          <w:rFonts w:ascii="Gill Sans MT" w:hAnsi="Gill Sans MT"/>
          <w:sz w:val="20"/>
          <w:szCs w:val="20"/>
        </w:rPr>
        <w:t xml:space="preserve"> </w:t>
      </w:r>
      <w:r w:rsidRPr="006429C1">
        <w:rPr>
          <w:rStyle w:val="color19"/>
          <w:rFonts w:ascii="Gill Sans MT" w:hAnsi="Gill Sans MT"/>
          <w:spacing w:val="12"/>
          <w:sz w:val="20"/>
          <w:szCs w:val="20"/>
        </w:rPr>
        <w:t>in case I get them wrong and people laugh" (Respondent #85897154; ABC24=41.54; Dx16=862.79)</w:t>
      </w:r>
      <w:r w:rsidRPr="006429C1">
        <w:rPr>
          <w:rStyle w:val="color19"/>
          <w:rFonts w:ascii="Gill Sans MT" w:hAnsi="Gill Sans MT"/>
          <w:sz w:val="20"/>
          <w:szCs w:val="20"/>
        </w:rPr>
        <w:t>;</w:t>
      </w:r>
    </w:p>
    <w:p w14:paraId="710FB87D" w14:textId="55CB236E" w:rsidR="006429C1" w:rsidRDefault="006429C1" w:rsidP="006429C1">
      <w:r>
        <w:rPr>
          <w:spacing w:val="12"/>
        </w:rPr>
        <w:t>... with another reporting the lasting impact of feelings of difference stemming from earlier educational experiences:</w:t>
      </w:r>
    </w:p>
    <w:p w14:paraId="3CD8584B" w14:textId="0B5548F9" w:rsidR="006429C1" w:rsidRPr="006429C1" w:rsidRDefault="006429C1" w:rsidP="006429C1">
      <w:pPr>
        <w:pStyle w:val="font8"/>
        <w:spacing w:line="312" w:lineRule="atLeast"/>
        <w:ind w:left="600"/>
        <w:rPr>
          <w:rFonts w:ascii="Gill Sans MT" w:hAnsi="Gill Sans MT"/>
          <w:sz w:val="20"/>
          <w:szCs w:val="20"/>
        </w:rPr>
      </w:pPr>
      <w:r w:rsidRPr="006429C1">
        <w:rPr>
          <w:rStyle w:val="color19"/>
          <w:rFonts w:ascii="Gill Sans MT" w:hAnsi="Gill Sans MT"/>
          <w:spacing w:val="12"/>
          <w:sz w:val="20"/>
          <w:szCs w:val="20"/>
        </w:rPr>
        <w:t>"[In class] I do have to battle with elements of doubt ... particularly influenced</w:t>
      </w:r>
      <w:r>
        <w:rPr>
          <w:rFonts w:ascii="Gill Sans MT" w:hAnsi="Gill Sans MT"/>
          <w:sz w:val="20"/>
          <w:szCs w:val="20"/>
        </w:rPr>
        <w:t xml:space="preserve"> </w:t>
      </w:r>
      <w:r w:rsidRPr="006429C1">
        <w:rPr>
          <w:rStyle w:val="color19"/>
          <w:rFonts w:ascii="Gill Sans MT" w:hAnsi="Gill Sans MT"/>
          <w:spacing w:val="12"/>
          <w:sz w:val="20"/>
          <w:szCs w:val="20"/>
        </w:rPr>
        <w:t>by bullying at primary and secondary school to do with 'stupidity' and 'slowness'</w:t>
      </w:r>
      <w:r>
        <w:rPr>
          <w:rFonts w:ascii="Gill Sans MT" w:hAnsi="Gill Sans MT"/>
          <w:sz w:val="20"/>
          <w:szCs w:val="20"/>
        </w:rPr>
        <w:t xml:space="preserve"> </w:t>
      </w:r>
      <w:r w:rsidRPr="006429C1">
        <w:rPr>
          <w:rStyle w:val="color19"/>
          <w:rFonts w:ascii="Gill Sans MT" w:hAnsi="Gill Sans MT"/>
          <w:spacing w:val="12"/>
          <w:sz w:val="20"/>
          <w:szCs w:val="20"/>
        </w:rPr>
        <w:t>and my seemingly unrelated comments to topics at the time" (Respondent #87564798; ABC24=49.17; Dx16=783.20)</w:t>
      </w:r>
      <w:r w:rsidRPr="006429C1">
        <w:rPr>
          <w:rStyle w:val="color19"/>
          <w:rFonts w:ascii="Gill Sans MT" w:hAnsi="Gill Sans MT"/>
          <w:sz w:val="20"/>
          <w:szCs w:val="20"/>
        </w:rPr>
        <w:t>;</w:t>
      </w:r>
    </w:p>
    <w:p w14:paraId="631CAEC9" w14:textId="77777777" w:rsidR="005B3FDB" w:rsidRDefault="005B3FDB" w:rsidP="005B3FDB">
      <w:r>
        <w:t xml:space="preserve">Another study (Thompson et.al., 2015) established that the majority of participants indicated a greater alliance with the perception of dyslexia as differences in ability than with disability, despite the apparently contradictory finding that many felt encumbered by an identity of dyslexia as a disability in </w:t>
      </w:r>
      <w:r>
        <w:rPr>
          <w:i/>
          <w:iCs/>
        </w:rPr>
        <w:t>educational</w:t>
      </w:r>
      <w:r>
        <w:t xml:space="preserve"> contexts. In the Thompson et al. </w:t>
      </w:r>
      <w:r>
        <w:lastRenderedPageBreak/>
        <w:t>study, three distinct identity personae were identifiable: firstly, that of being learning-disabled, where the dyslexia was focused on impairments and deficits; secondly, of being differently-enabled, in which dyslexic individuals were able to focus on their strengths and celebrate their alternative ways of thinking and learning as an asset rather than a liability; and thirdly as a dyslexia-identity construction rooted in social-disablement, where individuals admitted to feeling disabled by the ways in which their conceptualized, diagnosed, disabling factors were transformed into barriers which they felt prevented them from conforming to the aspirations of a society focused on literacy as a marker of ability, achievement and normality. Evidence of these identity constructions also emerged from data in the current study, with multiple examples of all three being received.</w:t>
      </w:r>
    </w:p>
    <w:p w14:paraId="46366867" w14:textId="77777777" w:rsidR="005B3FDB" w:rsidRPr="00EA1034" w:rsidRDefault="005B3FDB" w:rsidP="005B3FDB">
      <w:pPr>
        <w:rPr>
          <w:rFonts w:eastAsia="Times New Roman"/>
          <w:lang w:eastAsia="en-GB"/>
        </w:rPr>
      </w:pPr>
      <w:r w:rsidRPr="00EA1034">
        <w:rPr>
          <w:rFonts w:eastAsia="Times New Roman"/>
          <w:lang w:eastAsia="en-GB"/>
        </w:rPr>
        <w:t>Hence, there appears to be a likelihood that the means by which dyslexic students are informed about their dyslexia may be a contributing factor to a measurable, negative impact on their ABC, and by logical deduction, on their academic confidence about approaching their studies at university. What seems clear is that the manner in which individuals make sense of their dyslexia and internalize it into their academic self-identity, and especially how this impacts on their engagement with their learning, is an under-researched area - no other studies were found that took this topic as the focus. It also seems reasonable to suggest that greater effort needs to be made firstly, to recognize dyslexia as a difference rather than as a disability; and secondly</w:t>
      </w:r>
      <w:r>
        <w:rPr>
          <w:rFonts w:eastAsia="Times New Roman"/>
          <w:lang w:eastAsia="en-GB"/>
        </w:rPr>
        <w:t>,</w:t>
      </w:r>
      <w:r w:rsidRPr="00EA1034">
        <w:rPr>
          <w:rFonts w:eastAsia="Times New Roman"/>
          <w:lang w:eastAsia="en-GB"/>
        </w:rPr>
        <w:t xml:space="preserve"> that for definitions of the syndrome and the labelling of individuals with dyslexia to remain apposite in educational contexts, care must be taken about how th</w:t>
      </w:r>
      <w:r>
        <w:rPr>
          <w:rFonts w:eastAsia="Times New Roman"/>
          <w:lang w:eastAsia="en-GB"/>
        </w:rPr>
        <w:t>e</w:t>
      </w:r>
      <w:r w:rsidRPr="00EA1034">
        <w:rPr>
          <w:rFonts w:eastAsia="Times New Roman"/>
          <w:lang w:eastAsia="en-GB"/>
        </w:rPr>
        <w:t xml:space="preserve"> dyslexic label is communicated to </w:t>
      </w:r>
      <w:r>
        <w:rPr>
          <w:rFonts w:eastAsia="Times New Roman"/>
          <w:lang w:eastAsia="en-GB"/>
        </w:rPr>
        <w:t>students</w:t>
      </w:r>
      <w:r w:rsidRPr="00EA1034">
        <w:rPr>
          <w:rFonts w:eastAsia="Times New Roman"/>
          <w:lang w:eastAsia="en-GB"/>
        </w:rPr>
        <w:t xml:space="preserve">. </w:t>
      </w:r>
      <w:r>
        <w:rPr>
          <w:rFonts w:eastAsia="Times New Roman"/>
          <w:lang w:eastAsia="en-GB"/>
        </w:rPr>
        <w:t>L</w:t>
      </w:r>
      <w:r w:rsidRPr="00EA1034">
        <w:rPr>
          <w:rFonts w:eastAsia="Times New Roman"/>
          <w:lang w:eastAsia="en-GB"/>
        </w:rPr>
        <w:t>astly, we are drawn back to the recurring strand that runs throughout this project, that were learning environments designed and structured in more genuinely inclusive ways, the impact of such learning differences on academic confidence would be at least minimized, perhaps eliminated, as one of the factors that affect confidence in tackling academic studies. Taking this approach is likely to enhance learning quality, and hence likely achievement for students whose learning styles, needs and preferences are atypical.</w:t>
      </w:r>
    </w:p>
    <w:p w14:paraId="7B2D03F7" w14:textId="77777777" w:rsidR="00E60E29" w:rsidRDefault="00E60E29" w:rsidP="00E60E29">
      <w:r>
        <w:t>However, the final part of this discussion is driven by results that appear to suggest that it may be best to leave students considered likely to be dyslexic to some degree, in ignorance of the fact. This is a radical conclusion, and although it is tempered by the small sample upon which the results are based, detailed analysis and re-analysis using all permutations of the metrics used in this study, generated broadly similar outcomes. If subsequent studies produce similar outcomes, it may raise difficult ethical issues relating to disclosure that might have to be resolved. The outcome is based on average levels of ABC from the subgroup of students in this current study categorized as 'quasi-</w:t>
      </w:r>
      <w:r>
        <w:lastRenderedPageBreak/>
        <w:t xml:space="preserve">dyslexic'. Whichever versions of the ABC Scale were used to determine these students' academic confidence, and whether their dyslexia-ness was assessed from the 20-item or the 16-item Dx Profiler, this subgroup of students showed higher levels of academic confidence than their dyslexia-identified peers, across twenty of the twenty-four ABC dimensions of the full scale. </w:t>
      </w:r>
      <w:r w:rsidRPr="00C05F42">
        <w:rPr>
          <w:rFonts w:eastAsia="Times New Roman"/>
          <w:lang w:eastAsia="en-GB"/>
        </w:rPr>
        <w:t>Of these, dimensions where the greatest effect sizes were</w:t>
      </w:r>
      <w:r>
        <w:rPr>
          <w:rFonts w:eastAsia="Times New Roman"/>
          <w:lang w:eastAsia="en-GB"/>
        </w:rPr>
        <w:t xml:space="preserve"> </w:t>
      </w:r>
      <w:r w:rsidRPr="00C05F42">
        <w:rPr>
          <w:rFonts w:eastAsia="Times New Roman"/>
          <w:lang w:eastAsia="en-GB"/>
        </w:rPr>
        <w:t>noted, were confidence to 'attain good grades' (ABC24.#7), and to 'read the recommended background material' (ABC24.#14). We can relate these specific dimensional differences between the dyslexic and quasi-dyslexic students into SCT theory, and also into the practical realization of academic confidence as</w:t>
      </w:r>
      <w:r>
        <w:rPr>
          <w:rFonts w:eastAsia="Times New Roman"/>
          <w:lang w:eastAsia="en-GB"/>
        </w:rPr>
        <w:t xml:space="preserve"> </w:t>
      </w:r>
      <w:r w:rsidRPr="00C05F42">
        <w:rPr>
          <w:rFonts w:eastAsia="Times New Roman"/>
          <w:lang w:eastAsia="en-GB"/>
        </w:rPr>
        <w:t xml:space="preserve">Sander's academic </w:t>
      </w:r>
      <w:r w:rsidRPr="00C05F42">
        <w:rPr>
          <w:rFonts w:eastAsia="Times New Roman"/>
          <w:i/>
          <w:iCs/>
          <w:lang w:eastAsia="en-GB"/>
        </w:rPr>
        <w:t xml:space="preserve">behavioural </w:t>
      </w:r>
      <w:r w:rsidRPr="00C05F42">
        <w:rPr>
          <w:rFonts w:eastAsia="Times New Roman"/>
          <w:lang w:eastAsia="en-GB"/>
        </w:rPr>
        <w:t>confidence</w:t>
      </w:r>
      <w:r>
        <w:rPr>
          <w:rFonts w:eastAsia="Times New Roman"/>
          <w:lang w:eastAsia="en-GB"/>
        </w:rPr>
        <w:t>.</w:t>
      </w:r>
      <w:r w:rsidRPr="00C05F42">
        <w:rPr>
          <w:rFonts w:eastAsia="Times New Roman"/>
          <w:lang w:eastAsia="en-GB"/>
        </w:rPr>
        <w:t xml:space="preserve"> The logical strand that connects Bandura's (1995) broad statement about self-efficacy being an individual's context-specific beliefs about their capability to get something done with Sander's adaptation of this idea into academic </w:t>
      </w:r>
      <w:r>
        <w:rPr>
          <w:rFonts w:eastAsia="Times New Roman"/>
          <w:lang w:eastAsia="en-GB"/>
        </w:rPr>
        <w:t xml:space="preserve">(behavioural) </w:t>
      </w:r>
      <w:r w:rsidRPr="00C05F42">
        <w:rPr>
          <w:rFonts w:eastAsia="Times New Roman"/>
          <w:lang w:eastAsia="en-GB"/>
        </w:rPr>
        <w:t>confidence is illustrated by these confidence differences in 'attaining good grades</w:t>
      </w:r>
      <w:r>
        <w:rPr>
          <w:rFonts w:eastAsia="Times New Roman"/>
          <w:lang w:eastAsia="en-GB"/>
        </w:rPr>
        <w:t>,</w:t>
      </w:r>
      <w:r w:rsidRPr="00C05F42">
        <w:rPr>
          <w:rFonts w:eastAsia="Times New Roman"/>
          <w:lang w:eastAsia="en-GB"/>
        </w:rPr>
        <w:t>' for example. Identified dyslexic students expressed reduced confidence in this dimension, both measured against their non-dyslexic peers but particularly against quasi-dyslexic students where confidence</w:t>
      </w:r>
      <w:r>
        <w:rPr>
          <w:rFonts w:eastAsia="Times New Roman"/>
          <w:lang w:eastAsia="en-GB"/>
        </w:rPr>
        <w:t xml:space="preserve"> </w:t>
      </w:r>
      <w:r w:rsidRPr="00C05F42">
        <w:rPr>
          <w:rFonts w:eastAsia="Times New Roman"/>
          <w:lang w:eastAsia="en-GB"/>
        </w:rPr>
        <w:t>remained substantially higher than the average ABC level of their dyslexic peers.</w:t>
      </w:r>
      <w:r>
        <w:rPr>
          <w:rFonts w:eastAsia="Times New Roman"/>
          <w:lang w:eastAsia="en-GB"/>
        </w:rPr>
        <w:t xml:space="preserve"> </w:t>
      </w:r>
      <w:r w:rsidRPr="00C05F42">
        <w:rPr>
          <w:rFonts w:eastAsia="Times New Roman"/>
          <w:lang w:eastAsia="en-GB"/>
        </w:rPr>
        <w:t>In one study</w:t>
      </w:r>
      <w:r>
        <w:rPr>
          <w:rFonts w:eastAsia="Times New Roman"/>
          <w:lang w:eastAsia="en-GB"/>
        </w:rPr>
        <w:t>,</w:t>
      </w:r>
      <w:r w:rsidRPr="00C05F42">
        <w:rPr>
          <w:rFonts w:eastAsia="Times New Roman"/>
          <w:lang w:eastAsia="en-GB"/>
        </w:rPr>
        <w:t xml:space="preserve"> Sander and Sanders observed that students' confidence in their capability to perform well academically was </w:t>
      </w:r>
      <w:r>
        <w:rPr>
          <w:rFonts w:eastAsia="Times New Roman"/>
          <w:lang w:eastAsia="en-GB"/>
        </w:rPr>
        <w:t>affected</w:t>
      </w:r>
      <w:r w:rsidRPr="00C05F42">
        <w:rPr>
          <w:rFonts w:eastAsia="Times New Roman"/>
          <w:lang w:eastAsia="en-GB"/>
        </w:rPr>
        <w:t xml:space="preserve"> by later outcomes of their assessments, not least due to setting unrealistic expectations about their academic performance. Hence it is possible to surmise that dyslexic students may attribute both their poor performance and their unrealistic expectations of their ability, to their </w:t>
      </w:r>
      <w:r w:rsidRPr="00C05F42">
        <w:rPr>
          <w:rFonts w:eastAsia="Times New Roman"/>
          <w:i/>
          <w:iCs/>
          <w:lang w:eastAsia="en-GB"/>
        </w:rPr>
        <w:t>identified</w:t>
      </w:r>
      <w:r w:rsidRPr="00C05F42">
        <w:rPr>
          <w:rFonts w:eastAsia="Times New Roman"/>
          <w:lang w:eastAsia="en-GB"/>
        </w:rPr>
        <w:t xml:space="preserve"> dyslexic learning challenges, whereas quasi-dyslexic students with likely similar learning challenges may not echo similar attributions. Thus, their confidence levels are not as notably depressed when academic expectations are not matched by outcomes.</w:t>
      </w:r>
    </w:p>
    <w:p w14:paraId="57ED0A5B" w14:textId="7568B015" w:rsidR="00E60E29" w:rsidRDefault="00E60E29" w:rsidP="00E60E29">
      <w:r>
        <w:t>Effect sizes between quasi-dyslexic and dyslexic students in overall ABC were small - but not negligible - when the Test subgroup of quasi-dyslexic students was determined by outcomes from the full Dx20 Scale. When the reduced, Dx16 Scale was used as the subgroup sieve, effect sizes were higher, falling well into the 'moderate' category (Tables 1</w:t>
      </w:r>
      <w:r w:rsidR="0061285F">
        <w:t>5</w:t>
      </w:r>
      <w:r>
        <w:t>, 1</w:t>
      </w:r>
      <w:r w:rsidR="0061285F">
        <w:t>6</w:t>
      </w:r>
      <w:r>
        <w:t>; Section 4.3/IV(II)). Although significant differences were not detected, some outcomes were marginal. In terms of absolute mean ABC levels, values for this subgroup were squarely between those for the Base subgroup of non-dyslexic students with low levels of dyslexia-ness and the Control subgroup of strongly dyslexic students. At the factorial level, it became clear that the major influences on effect size differences in ABC between the Test and Control subgroups emerged from the two academic process factors of Study Efficacy and Academic Engagement, with negligible differences noted for Organization and Planning. </w:t>
      </w:r>
    </w:p>
    <w:p w14:paraId="3BB33AEC" w14:textId="77777777" w:rsidR="00E60E29" w:rsidRDefault="00E60E29" w:rsidP="00E60E29">
      <w:r>
        <w:lastRenderedPageBreak/>
        <w:t xml:space="preserve">Assuming that these quasi-dyslexic students would emerge as dyslexic following a standardized dyslexia assessment, this outcome appears to suggest that knowing about being dyslexic is an impacting factor that depresses academic confidence. It is not likely to be the only impacting factor, however, as if so, it would be expected that these students' academic confidence would not be dissimilar to levels for the non-dyslexic group overall, which it was not. Indeed, the tentative regression analysis conducted more as a pilot for future studies than as a major contributor to the analysis outcomes for this current study also indicated that for the students in this datapool at least, the quasi-dyslexic subgroup presented higher than expected levels of academic confidence which although might be thought of as marginal, was nevertheless, not negligible or to be dismissed as a natural variation of the data. </w:t>
      </w:r>
    </w:p>
    <w:p w14:paraId="65E83EDB" w14:textId="589A36F2" w:rsidR="00E60E29" w:rsidRDefault="00E60E29" w:rsidP="00E60E29">
      <w:r>
        <w:t>These outcomes suggest firstly, that a more detailed analysis of individual differences in ABC levels at a dimensional level is worthy of investigation, but more so, that future studies are warranted so that the academic confidence of quasi-dyslexic students can be assessed, compared, and subsequently aggregated with the results established here. From this, perhaps a clearer indication may emerge about the extent to which dyslexia is to be considered as a significant impactor on academic confidence, and about whether the identification of dyslexia in university students might actually be counter-productive. </w:t>
      </w:r>
    </w:p>
    <w:p w14:paraId="5325CF46" w14:textId="1495F537" w:rsidR="006429C1" w:rsidRDefault="006429C1" w:rsidP="006429C1">
      <w:r>
        <w:t> </w:t>
      </w:r>
    </w:p>
    <w:p w14:paraId="1CA3B261" w14:textId="4EFEE8BD" w:rsidR="006429C1" w:rsidRDefault="006429C1" w:rsidP="006429C1"/>
    <w:bookmarkEnd w:id="253"/>
    <w:p w14:paraId="32E71D63" w14:textId="675F3E46" w:rsidR="00AA12AF" w:rsidRDefault="00AA12AF">
      <w:pPr>
        <w:spacing w:before="0" w:after="160" w:line="259" w:lineRule="auto"/>
        <w:rPr>
          <w:lang w:eastAsia="en-GB"/>
        </w:rPr>
      </w:pPr>
    </w:p>
    <w:p w14:paraId="68F0EC45" w14:textId="276A8106" w:rsidR="00C05F42" w:rsidRDefault="00C05F42">
      <w:pPr>
        <w:spacing w:before="0" w:after="160" w:line="259" w:lineRule="auto"/>
        <w:rPr>
          <w:b/>
          <w:smallCaps/>
          <w:color w:val="4472C4" w:themeColor="accent1"/>
          <w:spacing w:val="5"/>
          <w:sz w:val="32"/>
          <w:szCs w:val="32"/>
        </w:rPr>
      </w:pPr>
      <w:bookmarkStart w:id="260" w:name="_Toc9795791"/>
      <w:r>
        <w:br w:type="page"/>
      </w:r>
    </w:p>
    <w:p w14:paraId="3BE47E13" w14:textId="77777777" w:rsidR="008816CD" w:rsidRDefault="008816CD" w:rsidP="008816CD">
      <w:pPr>
        <w:pStyle w:val="Heading1"/>
      </w:pPr>
    </w:p>
    <w:p w14:paraId="3E1F2E2B" w14:textId="40070E1E" w:rsidR="008816CD" w:rsidRDefault="008816CD" w:rsidP="008816CD">
      <w:pPr>
        <w:pStyle w:val="Heading1"/>
      </w:pPr>
      <w:bookmarkStart w:id="261" w:name="_Toc57035943"/>
      <w:r>
        <w:t>6</w:t>
      </w:r>
      <w:r w:rsidR="004D5123">
        <w:tab/>
      </w:r>
      <w:r>
        <w:t>Conclu</w:t>
      </w:r>
      <w:r w:rsidR="00E66FF3">
        <w:t xml:space="preserve">sions </w:t>
      </w:r>
      <w:r>
        <w:t>and Reflections</w:t>
      </w:r>
      <w:bookmarkEnd w:id="260"/>
      <w:bookmarkEnd w:id="261"/>
    </w:p>
    <w:p w14:paraId="0A8C9368" w14:textId="5D1E47C4" w:rsidR="00DD39CD" w:rsidRDefault="00DD39CD" w:rsidP="00DD39CD">
      <w:pPr>
        <w:pStyle w:val="Heading5"/>
        <w:spacing w:before="0"/>
      </w:pPr>
      <w:r>
        <w:t>6.1</w:t>
      </w:r>
      <w:r>
        <w:tab/>
        <w:t>Summarizing the purpose of the research</w:t>
      </w:r>
    </w:p>
    <w:p w14:paraId="6DB3FFEB" w14:textId="789A365D" w:rsidR="00DD39CD" w:rsidRDefault="00DD39CD" w:rsidP="00DD39CD">
      <w:pPr>
        <w:pStyle w:val="Heading5"/>
        <w:spacing w:before="0"/>
      </w:pPr>
      <w:r>
        <w:t>6.2</w:t>
      </w:r>
      <w:r>
        <w:tab/>
        <w:t>Summarizing the research outcomes</w:t>
      </w:r>
    </w:p>
    <w:p w14:paraId="14608256" w14:textId="3E96CEFA" w:rsidR="00DD39CD" w:rsidRDefault="00DD39CD" w:rsidP="00DD39CD">
      <w:pPr>
        <w:pStyle w:val="Heading5"/>
        <w:spacing w:before="0"/>
      </w:pPr>
      <w:r>
        <w:t>6.3</w:t>
      </w:r>
      <w:r>
        <w:tab/>
        <w:t>Limitations of the research</w:t>
      </w:r>
    </w:p>
    <w:p w14:paraId="0126356C" w14:textId="3A8F27B6" w:rsidR="00DD39CD" w:rsidRDefault="00DD39CD" w:rsidP="00DD39CD">
      <w:pPr>
        <w:pStyle w:val="Heading5"/>
        <w:spacing w:before="0"/>
      </w:pPr>
      <w:r>
        <w:tab/>
        <w:t>I</w:t>
      </w:r>
      <w:r>
        <w:tab/>
        <w:t>Scale limitations</w:t>
      </w:r>
    </w:p>
    <w:p w14:paraId="2CFEF1F8" w14:textId="1EA871EC" w:rsidR="00DD39CD" w:rsidRPr="00DD39CD" w:rsidRDefault="00DD39CD" w:rsidP="00DD39CD">
      <w:pPr>
        <w:pStyle w:val="Heading5"/>
        <w:spacing w:before="0"/>
      </w:pPr>
      <w:r>
        <w:tab/>
        <w:t>II</w:t>
      </w:r>
      <w:r>
        <w:tab/>
        <w:t>Data collection, sampling and datapool limitations; measurement issues</w:t>
      </w:r>
    </w:p>
    <w:p w14:paraId="43DF40BF" w14:textId="2F2E257D" w:rsidR="00DD39CD" w:rsidRDefault="00DD39CD" w:rsidP="00DD39CD">
      <w:pPr>
        <w:pStyle w:val="Heading5"/>
        <w:spacing w:before="0"/>
      </w:pPr>
      <w:r>
        <w:t>6.4</w:t>
      </w:r>
      <w:r>
        <w:tab/>
        <w:t>Directions for future research</w:t>
      </w:r>
    </w:p>
    <w:p w14:paraId="1860F432" w14:textId="7D9BDCFE" w:rsidR="00DD39CD" w:rsidRPr="00DD39CD" w:rsidRDefault="00DD39CD" w:rsidP="00DD39CD">
      <w:pPr>
        <w:pStyle w:val="Heading5"/>
        <w:spacing w:before="0"/>
      </w:pPr>
      <w:r>
        <w:t>6.5</w:t>
      </w:r>
      <w:r>
        <w:tab/>
        <w:t>Concluding remarks</w:t>
      </w:r>
    </w:p>
    <w:p w14:paraId="155636D7" w14:textId="77777777" w:rsidR="00DD39CD" w:rsidRDefault="00DD39CD">
      <w:pPr>
        <w:spacing w:before="0" w:after="160" w:line="259" w:lineRule="auto"/>
        <w:rPr>
          <w:b/>
          <w:smallCaps/>
          <w:color w:val="4472C4" w:themeColor="accent1"/>
          <w:spacing w:val="5"/>
          <w:sz w:val="26"/>
          <w:szCs w:val="28"/>
        </w:rPr>
      </w:pPr>
      <w:bookmarkStart w:id="262" w:name="_Toc533669228"/>
      <w:bookmarkStart w:id="263" w:name="_Toc9795792"/>
      <w:r>
        <w:br w:type="page"/>
      </w:r>
    </w:p>
    <w:p w14:paraId="4D3AF672" w14:textId="38BC9567" w:rsidR="008816CD" w:rsidRDefault="008816CD" w:rsidP="008816CD">
      <w:pPr>
        <w:pStyle w:val="Heading2"/>
      </w:pPr>
      <w:bookmarkStart w:id="264" w:name="_Toc57035944"/>
      <w:r>
        <w:lastRenderedPageBreak/>
        <w:t>6.</w:t>
      </w:r>
      <w:r w:rsidR="004D5123">
        <w:t>1</w:t>
      </w:r>
      <w:r w:rsidR="004D5123">
        <w:tab/>
      </w:r>
      <w:r>
        <w:t>Summarizing the purpose of the research</w:t>
      </w:r>
      <w:bookmarkEnd w:id="262"/>
      <w:bookmarkEnd w:id="263"/>
      <w:r w:rsidR="009F0363">
        <w:t xml:space="preserve"> ...</w:t>
      </w:r>
      <w:bookmarkEnd w:id="264"/>
    </w:p>
    <w:p w14:paraId="3E32226B" w14:textId="15B1CA01" w:rsidR="009F0363" w:rsidRPr="009F0363" w:rsidRDefault="009F0363" w:rsidP="009F0363">
      <w:pPr>
        <w:pStyle w:val="Heading3"/>
      </w:pPr>
      <w:bookmarkStart w:id="265" w:name="_Toc57035945"/>
      <w:r>
        <w:t>... and reflecting on the wider implications</w:t>
      </w:r>
      <w:bookmarkEnd w:id="265"/>
    </w:p>
    <w:p w14:paraId="219084B7" w14:textId="7E405E94" w:rsidR="00E66FF3" w:rsidRDefault="008816CD" w:rsidP="008816CD">
      <w:r>
        <w:t>This study has focused on trying to understand more about how the academic confidence of university students with dyslexia may be affected by their dyslexia. The research stems from a desire to apply scientific process to anecdotally observed evidence about how dyslexic students tackle their studies in comparison to their non-dyslexic peers. At two different university settings in my professional positions as an academic guide, experience of working with both groups of students to develop their learning (and meta</w:t>
      </w:r>
      <w:r w:rsidR="007475E7">
        <w:t>-</w:t>
      </w:r>
      <w:r>
        <w:t>learning), indicated that considerable differences exist in attitudes and behaviours in relation to academic study.</w:t>
      </w:r>
    </w:p>
    <w:p w14:paraId="47B73684" w14:textId="77777777" w:rsidR="00875371" w:rsidRDefault="00875371" w:rsidP="00875371">
      <w:r>
        <w:t>It is acknowledged that these can arise through a variety of individual circumstances and learning situations, both current and historical. However, the learning difference of dyslexia uniquely sets apart a substantial minority of students from their mainstream peers as a consequence of the ways that their dyslexia impacts on their academic studies, not least in comparison to learning impacts attributed to other minority-group characteristics, such as ethnicity, social class or cultural differences. This is because dyslexia presents unique challenges in literacy-based education systems, challenges which are based on the assumption that dyslexia is fundamentally an issue associated with literacy capabilities. The evidence for this is substantial, and not a point of specific argument in this thesis. However, there is also considerable evidence that in high-functioning adult learners, as typically seen at university, many of the earlier literacy challenges inherent to a dyslexic individual’s learning processes may have been strategically ameliorated, leaving other dimensions of dyslexia to emerge, potentially to have a greater impact on actions and behaviours in academic study.</w:t>
      </w:r>
    </w:p>
    <w:p w14:paraId="13BB99D8" w14:textId="77777777" w:rsidR="00875371" w:rsidRDefault="00875371" w:rsidP="00875371">
      <w:r>
        <w:t xml:space="preserve">Many learners face issues that appear to be directly related to their </w:t>
      </w:r>
      <w:r w:rsidRPr="001369BE">
        <w:t>approaches</w:t>
      </w:r>
      <w:r>
        <w:t xml:space="preserve"> to their academic challenges (Klassen, 2006). Examples have been cited in the literature review above, but Klassen’s view, which resonates with the themes in this project, is that poor </w:t>
      </w:r>
      <w:r w:rsidRPr="001369BE">
        <w:t>confidence</w:t>
      </w:r>
      <w:r>
        <w:rPr>
          <w:b/>
        </w:rPr>
        <w:t xml:space="preserve"> </w:t>
      </w:r>
      <w:r>
        <w:t xml:space="preserve">can be the source of many learning challenges, because </w:t>
      </w:r>
      <w:r w:rsidRPr="001369BE">
        <w:t>academic</w:t>
      </w:r>
      <w:r>
        <w:t xml:space="preserve"> confidence is the bridge that connects an individual's self-efficacy beliefs to their absolute performance in an academic task. This is important because it implies that academic confidence is a constituent, success-forecast component of the processes that students go through from facing a specific academic task demand to the academic output that is the endpoint.</w:t>
      </w:r>
    </w:p>
    <w:p w14:paraId="67B0917B" w14:textId="5B07822F" w:rsidR="0018518C" w:rsidRDefault="00D978BD" w:rsidP="00D978BD">
      <w:pPr>
        <w:rPr>
          <w:rFonts w:eastAsia="Times New Roman"/>
          <w:lang w:eastAsia="en-GB"/>
        </w:rPr>
      </w:pPr>
      <w:r w:rsidRPr="00D978BD">
        <w:rPr>
          <w:rFonts w:eastAsia="Times New Roman"/>
          <w:lang w:eastAsia="en-GB"/>
        </w:rPr>
        <w:t xml:space="preserve">This process is likely to be partly a function of metacognitive knowledge and partly a function of intrinsic capabilities. </w:t>
      </w:r>
      <w:r w:rsidR="00875371">
        <w:rPr>
          <w:rFonts w:eastAsia="Times New Roman"/>
          <w:lang w:eastAsia="en-GB"/>
        </w:rPr>
        <w:t>In Section 2 it was shown that s</w:t>
      </w:r>
      <w:r w:rsidRPr="00D978BD">
        <w:rPr>
          <w:rFonts w:eastAsia="Times New Roman"/>
          <w:lang w:eastAsia="en-GB"/>
        </w:rPr>
        <w:t xml:space="preserve">ignificant </w:t>
      </w:r>
      <w:r w:rsidR="00875371">
        <w:rPr>
          <w:rFonts w:eastAsia="Times New Roman"/>
          <w:lang w:eastAsia="en-GB"/>
        </w:rPr>
        <w:t xml:space="preserve">earlier </w:t>
      </w:r>
      <w:r w:rsidRPr="00D978BD">
        <w:rPr>
          <w:rFonts w:eastAsia="Times New Roman"/>
          <w:lang w:eastAsia="en-GB"/>
        </w:rPr>
        <w:t xml:space="preserve">studies </w:t>
      </w:r>
      <w:r w:rsidRPr="00D978BD">
        <w:rPr>
          <w:rFonts w:eastAsia="Times New Roman"/>
          <w:lang w:eastAsia="en-GB"/>
        </w:rPr>
        <w:lastRenderedPageBreak/>
        <w:t>have explored these ideas in dyslexic students</w:t>
      </w:r>
      <w:r w:rsidR="00875371">
        <w:rPr>
          <w:rFonts w:eastAsia="Times New Roman"/>
          <w:lang w:eastAsia="en-GB"/>
        </w:rPr>
        <w:t>: For example,</w:t>
      </w:r>
      <w:r w:rsidRPr="00D978BD">
        <w:rPr>
          <w:rFonts w:eastAsia="Times New Roman"/>
          <w:lang w:eastAsia="en-GB"/>
        </w:rPr>
        <w:t xml:space="preserve"> that dyslexic students struggle with analysing task requirements, and they often focus on lower-skill competencies such as spelling and grammar, while not recognizing the need for organizational capabilities or writing in a particular register</w:t>
      </w:r>
      <w:r w:rsidR="00875371">
        <w:rPr>
          <w:rFonts w:eastAsia="Times New Roman"/>
          <w:lang w:eastAsia="en-GB"/>
        </w:rPr>
        <w:t xml:space="preserve"> (Butler, </w:t>
      </w:r>
      <w:r w:rsidR="00875371" w:rsidRPr="00D978BD">
        <w:rPr>
          <w:rFonts w:eastAsia="Times New Roman"/>
          <w:lang w:eastAsia="en-GB"/>
        </w:rPr>
        <w:t>1998, 1999)</w:t>
      </w:r>
      <w:r w:rsidR="00875371">
        <w:rPr>
          <w:rFonts w:eastAsia="Times New Roman"/>
          <w:lang w:eastAsia="en-GB"/>
        </w:rPr>
        <w:t>; and that</w:t>
      </w:r>
      <w:r w:rsidRPr="00D978BD">
        <w:rPr>
          <w:rFonts w:eastAsia="Times New Roman"/>
          <w:lang w:eastAsia="en-GB"/>
        </w:rPr>
        <w:t xml:space="preserve"> dyslexic students can be less metacognitively aware than their non-dyslexic peers, </w:t>
      </w:r>
      <w:r w:rsidR="00875371">
        <w:rPr>
          <w:rFonts w:eastAsia="Times New Roman"/>
          <w:lang w:eastAsia="en-GB"/>
        </w:rPr>
        <w:t xml:space="preserve">where </w:t>
      </w:r>
      <w:r w:rsidRPr="00D978BD">
        <w:rPr>
          <w:rFonts w:eastAsia="Times New Roman"/>
          <w:lang w:eastAsia="en-GB"/>
        </w:rPr>
        <w:t>this may be more of a manifestation of dyslexic students' knowledge, or perhaps merely perception, that both their own, and maybe more significantly, external expectations of the quality of their academic output is reduced</w:t>
      </w:r>
      <w:r w:rsidR="00875371">
        <w:rPr>
          <w:rFonts w:eastAsia="Times New Roman"/>
          <w:lang w:eastAsia="en-GB"/>
        </w:rPr>
        <w:t xml:space="preserve"> (</w:t>
      </w:r>
      <w:r w:rsidR="00875371" w:rsidRPr="00D978BD">
        <w:rPr>
          <w:rFonts w:eastAsia="Times New Roman"/>
          <w:lang w:eastAsia="en-GB"/>
        </w:rPr>
        <w:t>Tunmer and Chapman</w:t>
      </w:r>
      <w:r w:rsidR="00875371">
        <w:rPr>
          <w:rFonts w:eastAsia="Times New Roman"/>
          <w:lang w:eastAsia="en-GB"/>
        </w:rPr>
        <w:t xml:space="preserve">, </w:t>
      </w:r>
      <w:r w:rsidR="00875371" w:rsidRPr="00D978BD">
        <w:rPr>
          <w:rFonts w:eastAsia="Times New Roman"/>
          <w:lang w:eastAsia="en-GB"/>
        </w:rPr>
        <w:t>1996)</w:t>
      </w:r>
      <w:r w:rsidR="00875371">
        <w:rPr>
          <w:rFonts w:eastAsia="Times New Roman"/>
          <w:lang w:eastAsia="en-GB"/>
        </w:rPr>
        <w:t xml:space="preserve">. </w:t>
      </w:r>
      <w:r w:rsidRPr="00D978BD">
        <w:rPr>
          <w:rFonts w:eastAsia="Times New Roman"/>
          <w:lang w:eastAsia="en-GB"/>
        </w:rPr>
        <w:t xml:space="preserve">These feelings may be driven by the stigma associated with the </w:t>
      </w:r>
      <w:r w:rsidR="00C91485">
        <w:rPr>
          <w:rFonts w:eastAsia="Times New Roman"/>
          <w:lang w:eastAsia="en-GB"/>
        </w:rPr>
        <w:t xml:space="preserve">disability label </w:t>
      </w:r>
      <w:r w:rsidRPr="00D978BD">
        <w:rPr>
          <w:rFonts w:eastAsia="Times New Roman"/>
          <w:lang w:eastAsia="en-GB"/>
        </w:rPr>
        <w:t xml:space="preserve">(Ho, 2004), but also by reduced levels of confidence (in comparison to their peers) about how successful their approaches to meeting the immediate challenges of studying at university will be. </w:t>
      </w:r>
    </w:p>
    <w:p w14:paraId="1C93EEF0" w14:textId="6391EA0D" w:rsidR="00D978BD" w:rsidRPr="00D978BD" w:rsidRDefault="00D978BD" w:rsidP="00D978BD">
      <w:pPr>
        <w:rPr>
          <w:rFonts w:eastAsia="Times New Roman"/>
          <w:lang w:eastAsia="en-GB"/>
        </w:rPr>
      </w:pPr>
      <w:r w:rsidRPr="00D978BD">
        <w:rPr>
          <w:rFonts w:eastAsia="Times New Roman"/>
          <w:lang w:eastAsia="en-GB"/>
        </w:rPr>
        <w:t>Some of the outcomes of this current study suggest that these characteristics may not be unique to students with dyslexia, where evidence has been presented to indicate that many students find organizing, managing and judging the complexity of their academic workload to be challenging. Previous studies</w:t>
      </w:r>
      <w:r w:rsidR="00875371">
        <w:rPr>
          <w:rFonts w:eastAsia="Times New Roman"/>
          <w:lang w:eastAsia="en-GB"/>
        </w:rPr>
        <w:t xml:space="preserve"> </w:t>
      </w:r>
      <w:r w:rsidRPr="00D978BD">
        <w:rPr>
          <w:rFonts w:eastAsia="Times New Roman"/>
          <w:lang w:eastAsia="en-GB"/>
        </w:rPr>
        <w:t xml:space="preserve">indicated that reduced expectations may be a consequence of experiences in earlier learning, where dyslexic students built perceptions that less was being demanded of them academically, or worse, that educational opportunities were being denied to them because of their dyslexia (Shifrer, 2013; Shifrer et al., 2013; Hornstra et al., 2014). The ABC Scales used in this current study do not explore the relationship between academic </w:t>
      </w:r>
      <w:r w:rsidRPr="00D978BD">
        <w:rPr>
          <w:rFonts w:eastAsia="Times New Roman"/>
          <w:i/>
          <w:iCs/>
          <w:lang w:eastAsia="en-GB"/>
        </w:rPr>
        <w:t>expectations</w:t>
      </w:r>
      <w:r w:rsidRPr="00D978BD">
        <w:rPr>
          <w:rFonts w:eastAsia="Times New Roman"/>
          <w:lang w:eastAsia="en-GB"/>
        </w:rPr>
        <w:t xml:space="preserve"> and academic confidence, and where the full, 24-dimension scale has been shown to be as effective in a reduced, 17-item format, perhaps this spare 'capacity' would encourage a revision that could include dimensions designed to look at students' expectations. This might be a useful development of the scale, and one which would </w:t>
      </w:r>
      <w:r w:rsidR="00875371">
        <w:rPr>
          <w:rFonts w:eastAsia="Times New Roman"/>
          <w:lang w:eastAsia="en-GB"/>
        </w:rPr>
        <w:t xml:space="preserve">be </w:t>
      </w:r>
      <w:r w:rsidRPr="00D978BD">
        <w:rPr>
          <w:rFonts w:eastAsia="Times New Roman"/>
          <w:lang w:eastAsia="en-GB"/>
        </w:rPr>
        <w:t>no more burdensome to complete than the original.</w:t>
      </w:r>
    </w:p>
    <w:p w14:paraId="47026FE9" w14:textId="77777777" w:rsidR="00875371" w:rsidRPr="006B28FA" w:rsidRDefault="00875371" w:rsidP="00875371">
      <w:pPr>
        <w:rPr>
          <w:rFonts w:eastAsia="Times New Roman"/>
          <w:lang w:eastAsia="en-GB"/>
        </w:rPr>
      </w:pPr>
      <w:r w:rsidRPr="006B28FA">
        <w:rPr>
          <w:rFonts w:eastAsia="Times New Roman"/>
          <w:lang w:eastAsia="en-GB"/>
        </w:rPr>
        <w:t>But it is also possible that dyslexic students' </w:t>
      </w:r>
      <w:r w:rsidRPr="006B28FA">
        <w:rPr>
          <w:rFonts w:eastAsia="Times New Roman"/>
          <w:i/>
          <w:iCs/>
          <w:lang w:eastAsia="en-GB"/>
        </w:rPr>
        <w:t>disability status</w:t>
      </w:r>
      <w:r w:rsidRPr="006B28FA">
        <w:rPr>
          <w:rFonts w:eastAsia="Times New Roman"/>
          <w:lang w:eastAsia="en-GB"/>
        </w:rPr>
        <w:t xml:space="preserve"> may have resulted in their prior learning experiences being littered with teachers who misjudged their academic potential by being more focused on managing their apparent disability (Hurwitz et al., 2007). Evidence from the qualitative data collected in not only this current study, but also from the Master's project conducted nearly a decade earlier, suggests that this may persist into higher education where study skills support, well-intentioned as it undoubtedly is, adds to study pressure and anxiety rather than ameliorat</w:t>
      </w:r>
      <w:r>
        <w:rPr>
          <w:rFonts w:eastAsia="Times New Roman"/>
          <w:lang w:eastAsia="en-GB"/>
        </w:rPr>
        <w:t>ing</w:t>
      </w:r>
      <w:r w:rsidRPr="006B28FA">
        <w:rPr>
          <w:rFonts w:eastAsia="Times New Roman"/>
          <w:lang w:eastAsia="en-GB"/>
        </w:rPr>
        <w:t xml:space="preserve"> it for many students with dyslexia. Furthermore, early evidence suggests that students with dyslexia under-perform in the initial stages of tack</w:t>
      </w:r>
      <w:r>
        <w:rPr>
          <w:rFonts w:eastAsia="Times New Roman"/>
          <w:lang w:eastAsia="en-GB"/>
        </w:rPr>
        <w:t>l</w:t>
      </w:r>
      <w:r w:rsidRPr="006B28FA">
        <w:rPr>
          <w:rFonts w:eastAsia="Times New Roman"/>
          <w:lang w:eastAsia="en-GB"/>
        </w:rPr>
        <w:t xml:space="preserve">ing academic assignments by lacking effective means for 'sizing up the task', and hence poorly judge </w:t>
      </w:r>
      <w:r>
        <w:rPr>
          <w:rFonts w:eastAsia="Times New Roman"/>
          <w:lang w:eastAsia="en-GB"/>
        </w:rPr>
        <w:t>its</w:t>
      </w:r>
      <w:r w:rsidRPr="006B28FA">
        <w:rPr>
          <w:rFonts w:eastAsia="Times New Roman"/>
          <w:lang w:eastAsia="en-GB"/>
        </w:rPr>
        <w:t xml:space="preserve"> complexity (Borkowski, et.al., 1989). Although that study was concerned with the issue amongst primary-aged </w:t>
      </w:r>
      <w:r w:rsidRPr="006B28FA">
        <w:rPr>
          <w:rFonts w:eastAsia="Times New Roman"/>
          <w:lang w:eastAsia="en-GB"/>
        </w:rPr>
        <w:lastRenderedPageBreak/>
        <w:t>children with dyslexia, it spawned enough subsequent research to suggest a 'Strategy Deficit Model' (Swanson, 1990), as a framework for understanding it, the legacy (and model-development) of which became integrated into similar research amongst the community of individuals with dyslexia (e.g.: Lienemann &amp; Reid, 2006; Bergery, et.al., 2017). But to assume that this is an inherent difficulty that is a consequence of dyslexi</w:t>
      </w:r>
      <w:r>
        <w:rPr>
          <w:rFonts w:eastAsia="Times New Roman"/>
          <w:lang w:eastAsia="en-GB"/>
        </w:rPr>
        <w:t>a</w:t>
      </w:r>
      <w:r w:rsidRPr="006B28FA">
        <w:rPr>
          <w:rFonts w:eastAsia="Times New Roman"/>
          <w:lang w:eastAsia="en-GB"/>
        </w:rPr>
        <w:t xml:space="preserve"> excludes the possibility that the way in which the task is framed may make deciphering what to do especially challenging for individuals characterized as neurodiverse thinkers. In other words, for students with dyslexia, the challenges in properly understanding how to tackle an academic challenge, may be more a function of the manner in which the task's academic context is framed as much as any research-reported deficit in meta-cognitive awareness. It is not unreasonable to suggest that any or all of these factors are likely to impact on confidence when tackling learning challenges.</w:t>
      </w:r>
    </w:p>
    <w:p w14:paraId="129710E9" w14:textId="0B63E28F" w:rsidR="0018518C" w:rsidRPr="00951BD0" w:rsidRDefault="00951BD0" w:rsidP="00951BD0">
      <w:pPr>
        <w:rPr>
          <w:rFonts w:eastAsia="Times New Roman"/>
          <w:lang w:eastAsia="en-GB"/>
        </w:rPr>
      </w:pPr>
      <w:bookmarkStart w:id="266" w:name="_Toc533669229"/>
      <w:bookmarkStart w:id="267" w:name="_Toc9795793"/>
      <w:r w:rsidRPr="006B28FA">
        <w:rPr>
          <w:rFonts w:eastAsia="Times New Roman"/>
          <w:lang w:eastAsia="en-GB"/>
        </w:rPr>
        <w:t>What is especially notable is that several conclusions drawn in this thesis have alluded that many of these issues may be widespread across student communities and not necessarily more prevalent amongst those with dyslexic learning differences. But what does appear to be widespread in dyslexic learners, is the enduring legacy of being ‘othered’ as a result of ‘differences’ in learning contexts, especially where this extends to stigmatization, which consequently has a detrimental impact on confidence for approaching and tackling learning tasks and challenges. Hence this thesis has attempted to demonstrate that it may be the negative effects that are associated with being identified as dyslexic that may have an abiding effect on depressing academic confidence, which then persists throughout the subsequent, situational learning circumstances - in this case, three or more years of university study. This is despite some signs of a genuine shift towards embracing better inclusivity in teaching and learning, not least through a wider adoption of learning development initiatives</w:t>
      </w:r>
      <w:r>
        <w:rPr>
          <w:rFonts w:eastAsia="Times New Roman"/>
          <w:lang w:eastAsia="en-GB"/>
        </w:rPr>
        <w:t>. Al</w:t>
      </w:r>
      <w:r w:rsidRPr="006B28FA">
        <w:rPr>
          <w:rFonts w:eastAsia="Times New Roman"/>
          <w:lang w:eastAsia="en-GB"/>
        </w:rPr>
        <w:t xml:space="preserve">though </w:t>
      </w:r>
      <w:r>
        <w:rPr>
          <w:rFonts w:eastAsia="Times New Roman"/>
          <w:lang w:eastAsia="en-GB"/>
        </w:rPr>
        <w:t xml:space="preserve">these </w:t>
      </w:r>
      <w:r w:rsidRPr="006B28FA">
        <w:rPr>
          <w:rFonts w:eastAsia="Times New Roman"/>
          <w:lang w:eastAsia="en-GB"/>
        </w:rPr>
        <w:t xml:space="preserve">are welcome and well-intentioned, </w:t>
      </w:r>
      <w:r>
        <w:rPr>
          <w:rFonts w:eastAsia="Times New Roman"/>
          <w:lang w:eastAsia="en-GB"/>
        </w:rPr>
        <w:t xml:space="preserve">they mostly </w:t>
      </w:r>
      <w:r w:rsidRPr="006B28FA">
        <w:rPr>
          <w:rFonts w:eastAsia="Times New Roman"/>
          <w:lang w:eastAsia="en-GB"/>
        </w:rPr>
        <w:t>seem to remain focused on designing remedial activities to upskill the academically weak, disadvantaged or disabled, an observation based my own experience as an academic guide in three university settings over the past decade and more. Indeed, branding services as 'study skills' or 'academic support', may inadvertently reinforce the wider perception that the target audience is the struggling learner rather than as access to learning enhancement for the whole student community. As such, most of the principles enshrined in the concept of Universal Design for Learning, greeted with wide enthusiasm and eagerness as an agent for change in learning and teaching at the turn of the century</w:t>
      </w:r>
      <w:r>
        <w:rPr>
          <w:rFonts w:eastAsia="Times New Roman"/>
          <w:lang w:eastAsia="en-GB"/>
        </w:rPr>
        <w:t>,</w:t>
      </w:r>
      <w:r w:rsidRPr="006B28FA">
        <w:rPr>
          <w:rFonts w:eastAsia="Times New Roman"/>
          <w:lang w:eastAsia="en-GB"/>
        </w:rPr>
        <w:t xml:space="preserve"> remain unadopted. All of which means that regimes at university still tend to be lacking in sufficient flexibility and adaptability to more equally accommodate learning difference, a situation which remains inherently unjust. But this is a topic for future research.</w:t>
      </w:r>
    </w:p>
    <w:p w14:paraId="48E86519" w14:textId="19228DB1" w:rsidR="008816CD" w:rsidRDefault="008816CD" w:rsidP="008816CD">
      <w:pPr>
        <w:pStyle w:val="Heading2"/>
      </w:pPr>
      <w:bookmarkStart w:id="268" w:name="_Toc57035946"/>
      <w:r>
        <w:lastRenderedPageBreak/>
        <w:t>6.2</w:t>
      </w:r>
      <w:r w:rsidR="004D5123">
        <w:tab/>
      </w:r>
      <w:r>
        <w:t>Summarizing the research outcomes</w:t>
      </w:r>
      <w:bookmarkEnd w:id="266"/>
      <w:bookmarkEnd w:id="267"/>
      <w:bookmarkEnd w:id="268"/>
    </w:p>
    <w:p w14:paraId="2B5548E2" w14:textId="77777777" w:rsidR="00951BD0" w:rsidRDefault="00951BD0" w:rsidP="00951BD0">
      <w:r>
        <w:t>This research used a self-report questionnaire, completed online, by university students predominantly at one UK institution, to gauge academic confidence and dyslexia-ness. Academic confidence was assessed using the existing ABC Scale developed by Sander and colleagues in the early 2000s with later modifications, together with locally-derived variants. Dyslexia-ness was assessed using an especially-developed Dyslexia Index (Dx) Profiler which framed dyslexia using a multi-factorial approach. By collecting background data about the more general demographical distribution of the students in the datapool, it was established that the sample could reasonably be considered as a typical cross-section of a student community at a UK HE institution.</w:t>
      </w:r>
    </w:p>
    <w:p w14:paraId="01D9D96D" w14:textId="77777777" w:rsidR="00951BD0" w:rsidRDefault="00951BD0" w:rsidP="00951BD0">
      <w:r>
        <w:t>The data collected permitted two research groups to be established: one group of self-declared dyslexic students, the other, students who declared no known dyslexic learning differences. From these, three subgroups were derived using the criteria of dyslexia-ness established from the output of the Dx Profiler. These were: students with known dyslexia, validated by high levels of dyslexia-ness, (the Control subgroup); students with no known dyslexia validated by presenting low levels of dyslexia-ness, (the Base subgroup); and students with no known dyslexia but who presented high levels of dyslexia-ness, (the Test subgroup).</w:t>
      </w:r>
    </w:p>
    <w:p w14:paraId="1D76DD7A" w14:textId="77777777" w:rsidR="00951BD0" w:rsidRDefault="00951BD0" w:rsidP="00951BD0">
      <w:r>
        <w:t xml:space="preserve">The research questions asked firstly whether university students who know about their dyslexia present significantly lower academic confidence than their non-dyslexic peers; and secondly whether students who indicated no formally identified dyslexia but who showed strong evidence of dyslexia-like learning and study profiles, present </w:t>
      </w:r>
      <w:r>
        <w:rPr>
          <w:i/>
        </w:rPr>
        <w:t>higher</w:t>
      </w:r>
      <w:r>
        <w:t xml:space="preserve"> levels of academic confidence than their dyslexia-identified peers. From these, a further research question emerged which asked whether or not the manner in which students with dyslexia learned of their dyslexia impacted on their levels of academic confidence.</w:t>
      </w:r>
    </w:p>
    <w:p w14:paraId="1ADC453E" w14:textId="01DD16DC" w:rsidR="008F7AC4" w:rsidRPr="008F7AC4" w:rsidRDefault="008F7AC4" w:rsidP="008816CD">
      <w:pPr>
        <w:rPr>
          <w:rFonts w:eastAsia="Times New Roman"/>
          <w:lang w:eastAsia="en-GB"/>
        </w:rPr>
      </w:pPr>
      <w:r w:rsidRPr="008F7AC4">
        <w:rPr>
          <w:rFonts w:eastAsia="Times New Roman"/>
          <w:lang w:eastAsia="en-GB"/>
        </w:rPr>
        <w:t>Data from the self-report questionnaire w</w:t>
      </w:r>
      <w:r w:rsidR="00951BD0">
        <w:rPr>
          <w:rFonts w:eastAsia="Times New Roman"/>
          <w:lang w:eastAsia="en-GB"/>
        </w:rPr>
        <w:t>ere</w:t>
      </w:r>
      <w:r w:rsidRPr="008F7AC4">
        <w:rPr>
          <w:rFonts w:eastAsia="Times New Roman"/>
          <w:lang w:eastAsia="en-GB"/>
        </w:rPr>
        <w:t xml:space="preserve"> analysed using a selection of statistical processes which first established levels of reliability of the two metrics for gauging the ABC and Dx of students in this datapool using the Cohen's ɑ coefficient. Although ɑ-levels were high for both metrics, it emerged that some scale item redundancy was present in both scales. Consequently, four variants of the ABC Scale and two variants of the Dx Profiler were developed and applied to the data. Hence, several permutations of ABC outcomes with Dx outcomes became available, and rather than select one as the definitive pair, outputs from all combinations were generated. This was considered a strength of the study because it permitted a range of outcomes to be reviewed in the context of the research questions and hypotheses. This decision was strengthened by </w:t>
      </w:r>
      <w:r w:rsidRPr="008F7AC4">
        <w:rPr>
          <w:rFonts w:eastAsia="Times New Roman"/>
          <w:lang w:eastAsia="en-GB"/>
        </w:rPr>
        <w:lastRenderedPageBreak/>
        <w:t>generally very similar results emerging, whichever combination of the two metrics were chosen.</w:t>
      </w:r>
    </w:p>
    <w:p w14:paraId="06A589AD" w14:textId="77777777" w:rsidR="00951BD0" w:rsidRPr="008F7AC4" w:rsidRDefault="00951BD0" w:rsidP="00951BD0">
      <w:pPr>
        <w:rPr>
          <w:rFonts w:eastAsia="Times New Roman"/>
          <w:lang w:eastAsia="en-GB"/>
        </w:rPr>
      </w:pPr>
      <w:r w:rsidRPr="008F7AC4">
        <w:rPr>
          <w:rFonts w:eastAsia="Times New Roman"/>
          <w:lang w:eastAsia="en-GB"/>
        </w:rPr>
        <w:t>In the event, by comparing mean-average data for ABC between the groups and subgroups, it was first established that non-dyslexic students present a substantially and significantly higher level of academic confidence than their dyslexia-identified peers. It was further established from whichever combination of ABC Scale and Dx Profiler varian</w:t>
      </w:r>
      <w:r>
        <w:rPr>
          <w:rFonts w:eastAsia="Times New Roman"/>
          <w:lang w:eastAsia="en-GB"/>
        </w:rPr>
        <w:t>t</w:t>
      </w:r>
      <w:r w:rsidRPr="008F7AC4">
        <w:rPr>
          <w:rFonts w:eastAsia="Times New Roman"/>
          <w:lang w:eastAsia="en-GB"/>
        </w:rPr>
        <w:t xml:space="preserve"> used, that there was a small-to-medium effect size between ABC means of strongly dyslexic students </w:t>
      </w:r>
      <w:r>
        <w:rPr>
          <w:rFonts w:eastAsia="Times New Roman"/>
          <w:lang w:eastAsia="en-GB"/>
        </w:rPr>
        <w:t>(</w:t>
      </w:r>
      <w:r w:rsidRPr="008F7AC4">
        <w:rPr>
          <w:rFonts w:eastAsia="Times New Roman"/>
          <w:lang w:eastAsia="en-GB"/>
        </w:rPr>
        <w:t>Control subgroup</w:t>
      </w:r>
      <w:r>
        <w:rPr>
          <w:rFonts w:eastAsia="Times New Roman"/>
          <w:lang w:eastAsia="en-GB"/>
        </w:rPr>
        <w:t>)</w:t>
      </w:r>
      <w:r w:rsidRPr="008F7AC4">
        <w:rPr>
          <w:rFonts w:eastAsia="Times New Roman"/>
          <w:lang w:eastAsia="en-GB"/>
        </w:rPr>
        <w:t xml:space="preserve"> and strongly quasi-dyslexic students </w:t>
      </w:r>
      <w:r>
        <w:rPr>
          <w:rFonts w:eastAsia="Times New Roman"/>
          <w:lang w:eastAsia="en-GB"/>
        </w:rPr>
        <w:t>(</w:t>
      </w:r>
      <w:r w:rsidRPr="008F7AC4">
        <w:rPr>
          <w:rFonts w:eastAsia="Times New Roman"/>
          <w:lang w:eastAsia="en-GB"/>
        </w:rPr>
        <w:t>Test subgroup</w:t>
      </w:r>
      <w:r>
        <w:rPr>
          <w:rFonts w:eastAsia="Times New Roman"/>
          <w:lang w:eastAsia="en-GB"/>
        </w:rPr>
        <w:t>)</w:t>
      </w:r>
      <w:r w:rsidRPr="008F7AC4">
        <w:rPr>
          <w:rFonts w:eastAsia="Times New Roman"/>
          <w:lang w:eastAsia="en-GB"/>
        </w:rPr>
        <w:t>. Although it was not possible to declare</w:t>
      </w:r>
      <w:r w:rsidRPr="005F386A">
        <w:rPr>
          <w:rFonts w:eastAsia="Times New Roman"/>
          <w:lang w:eastAsia="en-GB"/>
        </w:rPr>
        <w:t xml:space="preserve"> </w:t>
      </w:r>
      <w:r w:rsidRPr="008F7AC4">
        <w:rPr>
          <w:rFonts w:eastAsia="Times New Roman"/>
          <w:lang w:eastAsia="en-GB"/>
        </w:rPr>
        <w:t>definitively these outcomes as significant (according to conventionally defined criteria) they were sufficiently marginal to suggest that further research would be warranted to generate a larger datapool or to assemble data from several studies into a meta-analysis. Hence although the second null hypothesis that there is no difference in academic confidence between dyslexic and quasi-dyslexic students could not be rejected, it is true to report that in all cases, levels of academic confidence across the spectrum was higher for students in the quasi-dyslexic subgroup.</w:t>
      </w:r>
    </w:p>
    <w:p w14:paraId="1AE47C75" w14:textId="5DA28E46" w:rsidR="0018518C" w:rsidRPr="004D5123" w:rsidRDefault="008F7AC4" w:rsidP="004D5123">
      <w:pPr>
        <w:rPr>
          <w:rFonts w:eastAsia="Times New Roman"/>
          <w:lang w:eastAsia="en-GB"/>
        </w:rPr>
      </w:pPr>
      <w:r w:rsidRPr="008F7AC4">
        <w:rPr>
          <w:rFonts w:eastAsia="Times New Roman"/>
          <w:lang w:eastAsia="en-GB"/>
        </w:rPr>
        <w:t>Furthermore, analysis showed a moderate, ABC effect size between dyslexic students whose dyslexia had been diagnosed to them as a disability, and those who were told of their dyslexia in other ways. Thus</w:t>
      </w:r>
      <w:r w:rsidR="00583965">
        <w:rPr>
          <w:rFonts w:eastAsia="Times New Roman"/>
          <w:lang w:eastAsia="en-GB"/>
        </w:rPr>
        <w:t>,</w:t>
      </w:r>
      <w:r w:rsidRPr="008F7AC4">
        <w:rPr>
          <w:rFonts w:eastAsia="Times New Roman"/>
          <w:lang w:eastAsia="en-GB"/>
        </w:rPr>
        <w:t xml:space="preserve"> suggesting that indicating to students that their dyslexia may be an illness, tacitly implied by diagnosing it, and that the condition also categorises them as disabled, could be a significantly impacting factor that contributes towards reduced levels of academic confidence.</w:t>
      </w:r>
      <w:r w:rsidR="005365EE">
        <w:rPr>
          <w:rFonts w:eastAsia="Times New Roman"/>
          <w:lang w:eastAsia="en-GB"/>
        </w:rPr>
        <w:t xml:space="preserve"> This was an expected, and unsurprising result, confirming much of the prior, anecdotal evidence upon which the stance of this project was formulated</w:t>
      </w:r>
      <w:r w:rsidR="0018518C">
        <w:rPr>
          <w:rFonts w:eastAsia="Times New Roman"/>
          <w:lang w:eastAsia="en-GB"/>
        </w:rPr>
        <w:t>.</w:t>
      </w:r>
      <w:bookmarkStart w:id="269" w:name="_Toc533669230"/>
      <w:bookmarkStart w:id="270" w:name="_Toc9795794"/>
    </w:p>
    <w:p w14:paraId="7B57F04F" w14:textId="77777777" w:rsidR="00936532" w:rsidRDefault="00936532" w:rsidP="00A00A0F">
      <w:pPr>
        <w:pStyle w:val="Heading2"/>
      </w:pPr>
    </w:p>
    <w:p w14:paraId="7A146FC3" w14:textId="096824C9" w:rsidR="008F7AC4" w:rsidRDefault="008816CD" w:rsidP="00A00A0F">
      <w:pPr>
        <w:pStyle w:val="Heading2"/>
      </w:pPr>
      <w:bookmarkStart w:id="271" w:name="_Toc57035947"/>
      <w:r>
        <w:t>6.3</w:t>
      </w:r>
      <w:r w:rsidR="004D5123">
        <w:tab/>
      </w:r>
      <w:r>
        <w:t>Limitations of the research</w:t>
      </w:r>
      <w:bookmarkEnd w:id="269"/>
      <w:bookmarkEnd w:id="270"/>
      <w:bookmarkEnd w:id="271"/>
    </w:p>
    <w:p w14:paraId="64987F04" w14:textId="77777777" w:rsidR="00951BD0" w:rsidRPr="001442AA" w:rsidRDefault="00951BD0" w:rsidP="00951BD0">
      <w:pPr>
        <w:rPr>
          <w:rFonts w:eastAsia="Times New Roman"/>
          <w:lang w:eastAsia="en-GB"/>
        </w:rPr>
      </w:pPr>
      <w:r w:rsidRPr="001442AA">
        <w:rPr>
          <w:rFonts w:eastAsia="Times New Roman"/>
          <w:lang w:eastAsia="en-GB"/>
        </w:rPr>
        <w:t>To set the objective of identifying quasi-dyslexic students from a cohort of students outwardly declaring no dyslexic learning differences, raised unprecedented challenges. To date, no other studies have been found that attempted such an ambitious task at this level and in this field of educational research. Hence the research design necessarily comprised many elements that were previously untested. The</w:t>
      </w:r>
      <w:r>
        <w:rPr>
          <w:rFonts w:eastAsia="Times New Roman"/>
          <w:lang w:eastAsia="en-GB"/>
        </w:rPr>
        <w:t>se included</w:t>
      </w:r>
      <w:r w:rsidRPr="001442AA">
        <w:rPr>
          <w:rFonts w:eastAsia="Times New Roman"/>
          <w:lang w:eastAsia="en-GB"/>
        </w:rPr>
        <w:t xml:space="preserve"> the design and development of a data collection tool that could be relied upon to identify quasi-dyslexic students sensitively, whilst at the same time not constituting a dyslexia screener; and </w:t>
      </w:r>
      <w:r>
        <w:rPr>
          <w:rFonts w:eastAsia="Times New Roman"/>
          <w:lang w:eastAsia="en-GB"/>
        </w:rPr>
        <w:t>also the</w:t>
      </w:r>
      <w:r w:rsidRPr="001442AA">
        <w:rPr>
          <w:rFonts w:eastAsia="Times New Roman"/>
          <w:lang w:eastAsia="en-GB"/>
        </w:rPr>
        <w:t xml:space="preserve"> build</w:t>
      </w:r>
      <w:r>
        <w:rPr>
          <w:rFonts w:eastAsia="Times New Roman"/>
          <w:lang w:eastAsia="en-GB"/>
        </w:rPr>
        <w:t>ing</w:t>
      </w:r>
      <w:r w:rsidRPr="001442AA">
        <w:rPr>
          <w:rFonts w:eastAsia="Times New Roman"/>
          <w:lang w:eastAsia="en-GB"/>
        </w:rPr>
        <w:t xml:space="preserve"> and deploy</w:t>
      </w:r>
      <w:r>
        <w:rPr>
          <w:rFonts w:eastAsia="Times New Roman"/>
          <w:lang w:eastAsia="en-GB"/>
        </w:rPr>
        <w:t>ment of</w:t>
      </w:r>
      <w:r w:rsidRPr="001442AA">
        <w:rPr>
          <w:rFonts w:eastAsia="Times New Roman"/>
          <w:lang w:eastAsia="en-GB"/>
        </w:rPr>
        <w:t xml:space="preserve"> a data collection system that could be delivered to a </w:t>
      </w:r>
      <w:r w:rsidRPr="001442AA">
        <w:rPr>
          <w:rFonts w:eastAsia="Times New Roman"/>
          <w:lang w:eastAsia="en-GB"/>
        </w:rPr>
        <w:lastRenderedPageBreak/>
        <w:t>broad range of participants, recruited into the study in ways that were unbiased, not skewed, and hence, reasonably representative of the wider community of students at a typical university in the UK. On reflection, it is acknowledged that to attempt a project of such complexity as a sole researcher was probably over-ambitious, and possibly beyond the requirements for study at this level. But the aims of the study emerged from a desire to contribute something of value, that could add to the body of research evidence arguing for a transformation in the ways that students with learning differences - whether categorized as dyslexia or not, itself later shown to be a contentious point - are enabled and empowered to make the most of studying at university</w:t>
      </w:r>
      <w:r>
        <w:rPr>
          <w:rFonts w:eastAsia="Times New Roman"/>
          <w:lang w:eastAsia="en-GB"/>
        </w:rPr>
        <w:t>.</w:t>
      </w:r>
    </w:p>
    <w:p w14:paraId="4518E744" w14:textId="5316D495" w:rsidR="009F6487" w:rsidRDefault="004D5123" w:rsidP="009F6487">
      <w:pPr>
        <w:pStyle w:val="Heading3"/>
        <w:rPr>
          <w:rFonts w:eastAsia="Times New Roman"/>
          <w:lang w:eastAsia="en-GB"/>
        </w:rPr>
      </w:pPr>
      <w:bookmarkStart w:id="272" w:name="_Toc57035948"/>
      <w:r>
        <w:rPr>
          <w:rFonts w:eastAsia="Times New Roman"/>
          <w:lang w:eastAsia="en-GB"/>
        </w:rPr>
        <w:t>I</w:t>
      </w:r>
      <w:r>
        <w:rPr>
          <w:rFonts w:eastAsia="Times New Roman"/>
          <w:lang w:eastAsia="en-GB"/>
        </w:rPr>
        <w:tab/>
      </w:r>
      <w:r w:rsidR="009F6487">
        <w:rPr>
          <w:rFonts w:eastAsia="Times New Roman"/>
          <w:lang w:eastAsia="en-GB"/>
        </w:rPr>
        <w:t>Scale limitations</w:t>
      </w:r>
      <w:bookmarkEnd w:id="272"/>
    </w:p>
    <w:p w14:paraId="5A6659EE" w14:textId="77777777" w:rsidR="00951BD0" w:rsidRPr="006B28FA" w:rsidRDefault="00951BD0" w:rsidP="00951BD0">
      <w:pPr>
        <w:rPr>
          <w:rFonts w:eastAsia="Times New Roman"/>
          <w:lang w:eastAsia="en-GB"/>
        </w:rPr>
      </w:pPr>
      <w:r w:rsidRPr="006B28FA">
        <w:rPr>
          <w:rFonts w:eastAsia="Times New Roman"/>
          <w:lang w:eastAsia="en-GB"/>
        </w:rPr>
        <w:t>Thus, it is acknowledged that the most critical limitation of the study should be attributed to the design, development and deployment of the Dx Profiler as the discriminator for finding students with quasi-dyslexia. This was an innovative and possibly controversial instrument for gauging dyslexia-ness, itself a term inaugurated in this study. Although an exhaustive process of development</w:t>
      </w:r>
      <w:r>
        <w:rPr>
          <w:rFonts w:eastAsia="Times New Roman"/>
          <w:lang w:eastAsia="en-GB"/>
        </w:rPr>
        <w:t>, this</w:t>
      </w:r>
      <w:r w:rsidRPr="006B28FA">
        <w:rPr>
          <w:rFonts w:eastAsia="Times New Roman"/>
          <w:lang w:eastAsia="en-GB"/>
        </w:rPr>
        <w:t xml:space="preserve"> led to confidence in the Profiler’s ability to meet the design objective of this study</w:t>
      </w:r>
      <w:r>
        <w:rPr>
          <w:rFonts w:eastAsia="Times New Roman"/>
          <w:lang w:eastAsia="en-GB"/>
        </w:rPr>
        <w:t xml:space="preserve"> although</w:t>
      </w:r>
      <w:r w:rsidRPr="006B28FA">
        <w:rPr>
          <w:rFonts w:eastAsia="Times New Roman"/>
          <w:lang w:eastAsia="en-GB"/>
        </w:rPr>
        <w:t xml:space="preserve"> it remains untested outside this datapool of students. Nevertheless, and in addition to robust, theoretical underpinnings, a</w:t>
      </w:r>
      <w:r>
        <w:rPr>
          <w:rFonts w:eastAsia="Times New Roman"/>
          <w:lang w:eastAsia="en-GB"/>
        </w:rPr>
        <w:t>n</w:t>
      </w:r>
      <w:r w:rsidRPr="006B28FA">
        <w:rPr>
          <w:rFonts w:eastAsia="Times New Roman"/>
          <w:lang w:eastAsia="en-GB"/>
        </w:rPr>
        <w:t xml:space="preserve"> attempt was made to elicit background data from dyslexia study-support professionals working with students in universities across the UK to aid the formulation of the Profiler, even if the response from them was disappointing. With the benefit of hindsight, this process may have been more successful were the purposes and critical value of the data that was being requested to have been communicated more clearly. But in the interests of 'keeping it brief' so as to encourage participation from busy people, it is possible that this action was inappropriately assessed and its importance under-estimated. Hence, one limitation of the Dx Profiler might be attributed to this element of its underpinnings being considered as somewhat flaky, albeit based on strong theoretical reasoning. Although the design intention was ambitious, in execution, and due to a dearth of appropriate background data, this element may have compromised outputs to some extent. For example, the weightings assigned to the Dx Profiler dimensions were derived from data collected through this design development route. Given that the aggregated, dimensional, weighted values constituted the final Dyslexia Index (Dx) for each participant in the study, obtaining the best quality data possible from which to derive the weightings will substantial</w:t>
      </w:r>
      <w:r>
        <w:rPr>
          <w:rFonts w:eastAsia="Times New Roman"/>
          <w:lang w:eastAsia="en-GB"/>
        </w:rPr>
        <w:t>ly</w:t>
      </w:r>
      <w:r w:rsidRPr="006B28FA">
        <w:rPr>
          <w:rFonts w:eastAsia="Times New Roman"/>
          <w:lang w:eastAsia="en-GB"/>
        </w:rPr>
        <w:t xml:space="preserve"> add to the precision of the final Dx value. Clearly, more data from which to have developed the weightings would have added to the precision of the Profiler.</w:t>
      </w:r>
    </w:p>
    <w:p w14:paraId="7E391A49" w14:textId="77777777" w:rsidR="00951BD0" w:rsidRDefault="00951BD0" w:rsidP="00951BD0">
      <w:pPr>
        <w:rPr>
          <w:rFonts w:eastAsia="Times New Roman"/>
          <w:lang w:eastAsia="en-GB"/>
        </w:rPr>
      </w:pPr>
      <w:r w:rsidRPr="006B28FA">
        <w:rPr>
          <w:rFonts w:eastAsia="Times New Roman"/>
          <w:lang w:eastAsia="en-GB"/>
        </w:rPr>
        <w:t xml:space="preserve">But these features of the development of the Dx Profiler have been acknowledged throughout the discussion element of this project, and a good attempt to deal with them </w:t>
      </w:r>
      <w:r w:rsidRPr="006B28FA">
        <w:rPr>
          <w:rFonts w:eastAsia="Times New Roman"/>
          <w:lang w:eastAsia="en-GB"/>
        </w:rPr>
        <w:lastRenderedPageBreak/>
        <w:t>was demonstrated in the data analysis through statistical devices pitched at strengthening the validity of the Profiler. This was not least through formal scale reliability analysis, which, aside from outcomes suggesting that the Profiler was reliably measuring what it set out to measure, also led to an alternative, abbreviated version being devised and subsequently used in the greater analysis. However, it is also acknowledged that an inherent research weakness of this study may have been introduced because the design and development of the Dx Profiler could have constituted a sizeable project in its own right, and hence has been used in its nascent form. As a consequence, it is possible that this limited development may have resulted in tentative outcomes. These points have also been acknowledged earlier, and it is anticipated that development work on the Profiler can be continued, hopefully following a successful submission for publication, which may also encourage discussion about not just the idea of dyslexia-ness, but perhaps a wider trial of the tool so that more data can be accumulated and analysed to aid its further refinement.</w:t>
      </w:r>
    </w:p>
    <w:p w14:paraId="5EABDB57" w14:textId="39D6A4DE" w:rsidR="00B3337E" w:rsidRDefault="001442AA" w:rsidP="001442AA">
      <w:pPr>
        <w:rPr>
          <w:rFonts w:eastAsia="Times New Roman"/>
          <w:lang w:eastAsia="en-GB"/>
        </w:rPr>
      </w:pPr>
      <w:r w:rsidRPr="001442AA">
        <w:rPr>
          <w:rFonts w:eastAsia="Times New Roman"/>
          <w:lang w:eastAsia="en-GB"/>
        </w:rPr>
        <w:t>​</w:t>
      </w:r>
      <w:r w:rsidR="00951BD0" w:rsidRPr="006B28FA">
        <w:rPr>
          <w:rFonts w:eastAsia="Times New Roman"/>
          <w:lang w:eastAsia="en-GB"/>
        </w:rPr>
        <w:t xml:space="preserve">It </w:t>
      </w:r>
      <w:r w:rsidR="00951BD0">
        <w:rPr>
          <w:rFonts w:eastAsia="Times New Roman"/>
          <w:lang w:eastAsia="en-GB"/>
        </w:rPr>
        <w:t xml:space="preserve">is </w:t>
      </w:r>
      <w:r w:rsidR="00951BD0" w:rsidRPr="006B28FA">
        <w:rPr>
          <w:rFonts w:eastAsia="Times New Roman"/>
          <w:lang w:eastAsia="en-GB"/>
        </w:rPr>
        <w:t>also to be acknowledged that the standardized and relatively well-used ABC Scale is itself, under-developed, which also might contribute to the limited generalizability of the conclusions and outcomes established from its use in this current study. It has been argued that one aspect of this scale's immaturity stems from a concern about the applicability of the standard factor structure of the scale more widely across datasets which do not closely emulate those from which the factor structure emerged. This possibility arose at an early stage of the review of studies that have used the ABC Scale, in that some studies employed the original, 24-item scale, whereas others used the reduced, 17-item version</w:t>
      </w:r>
      <w:r w:rsidR="00951BD0">
        <w:rPr>
          <w:rFonts w:eastAsia="Times New Roman"/>
          <w:lang w:eastAsia="en-GB"/>
        </w:rPr>
        <w:t xml:space="preserve"> which has</w:t>
      </w:r>
      <w:r w:rsidR="00951BD0" w:rsidRPr="006B28FA">
        <w:rPr>
          <w:rFonts w:eastAsia="Times New Roman"/>
          <w:lang w:eastAsia="en-GB"/>
        </w:rPr>
        <w:t xml:space="preserve"> a substantially different factor structure. The importance of this lies with the dimensions of the 24-item scale that were removed because it was considered that such a retraction may have been especially datapool-specific, since no wider validation was found. Consequently, both through scale reliability analysis, and dimension reduction simulations (using the Eigenvalue Monte Carlo method), two alternative factor structures for the ABC Scale emerged that were entirely based on the datapool in this current study because the simulation used randomized trials of the data in this study. Together with the two original scales, which were considered to be perfectly usable despite the limitations raised (not least due to the legacy of several prior studies which have used them), this led to four distinct sets of outputs being established, the consequences of which could be argued to have conflated or obfuscated conclusions drawn about students' academic confidence.</w:t>
      </w:r>
    </w:p>
    <w:p w14:paraId="27181A6B" w14:textId="4D99A225" w:rsidR="00951BD0" w:rsidRPr="001442AA" w:rsidRDefault="00951BD0" w:rsidP="00951BD0">
      <w:pPr>
        <w:rPr>
          <w:rFonts w:eastAsia="Times New Roman"/>
          <w:lang w:eastAsia="en-GB"/>
        </w:rPr>
      </w:pPr>
      <w:r>
        <w:rPr>
          <w:rFonts w:eastAsia="Times New Roman"/>
          <w:lang w:eastAsia="en-GB"/>
        </w:rPr>
        <w:t>T</w:t>
      </w:r>
      <w:r w:rsidRPr="006B28FA">
        <w:rPr>
          <w:rFonts w:eastAsia="Times New Roman"/>
          <w:lang w:eastAsia="en-GB"/>
        </w:rPr>
        <w:t xml:space="preserve">his cautious approach was a response to the need for data analysis processes to be as relevant and applicable as possible, and pays more than a passing reference to earlier attention drawn (in sub-section 2.1(VII)) to an example of the reportedly disappointing </w:t>
      </w:r>
      <w:r w:rsidRPr="006B28FA">
        <w:rPr>
          <w:rFonts w:eastAsia="Times New Roman"/>
          <w:lang w:eastAsia="en-GB"/>
        </w:rPr>
        <w:lastRenderedPageBreak/>
        <w:t>effectiveness of a construct-evaluating metric developed from a closed cohort sample at a single university, when the metric was used to explore the same construct as presented in a sample taken from a different university's student community (the YAA Adult Dyslexia Scale;</w:t>
      </w:r>
      <w:r>
        <w:rPr>
          <w:rFonts w:eastAsia="Times New Roman"/>
          <w:lang w:eastAsia="en-GB"/>
        </w:rPr>
        <w:t xml:space="preserve"> </w:t>
      </w:r>
      <w:r w:rsidRPr="006B28FA">
        <w:rPr>
          <w:rFonts w:eastAsia="Times New Roman"/>
          <w:lang w:eastAsia="en-GB"/>
        </w:rPr>
        <w:t xml:space="preserve">Hatcher &amp; Snowling, 2002). In that case, the scale was adapted for use in an Australian university with disappointing results (Chanock et al., </w:t>
      </w:r>
      <w:r w:rsidR="00C91485">
        <w:rPr>
          <w:rFonts w:eastAsia="Times New Roman"/>
          <w:lang w:eastAsia="en-GB"/>
        </w:rPr>
        <w:t xml:space="preserve">2010) </w:t>
      </w:r>
      <w:r w:rsidRPr="006B28FA">
        <w:rPr>
          <w:rFonts w:eastAsia="Times New Roman"/>
          <w:lang w:eastAsia="en-GB"/>
        </w:rPr>
        <w:t>attributed to the limitations of the metric as a result of its development being based entirely on data collected from a single source. The argument followed that this reduced its adaptability for use in outwardly similar contexts but where (as in that</w:t>
      </w:r>
      <w:r w:rsidR="00C91485">
        <w:rPr>
          <w:rFonts w:eastAsia="Times New Roman"/>
          <w:lang w:eastAsia="en-GB"/>
        </w:rPr>
        <w:t xml:space="preserve"> </w:t>
      </w:r>
      <w:r w:rsidRPr="006B28FA">
        <w:rPr>
          <w:rFonts w:eastAsia="Times New Roman"/>
          <w:lang w:eastAsia="en-GB"/>
        </w:rPr>
        <w:t xml:space="preserve">case), significant differences in test-subject demographics appeared sufficient to upset the results. In keeping with comments above about the Dx Profiler, the four versions of the ABC Scale used in this current study were considered to be a strength of the analysis process. This was firstly, because the two locally-derived scales were exactly pertinent to the locally collected data, and hence their outputs might be considered as those most likely to reflect the true characteristics of academic confidence of the students in this datapool; and secondly because, as with the two versions of the Dx Profiler considered of equal merit, the simultaneous outputs generated from the same variables could be collectively compared. Hence, both local ABC outputs have also been </w:t>
      </w:r>
      <w:r>
        <w:rPr>
          <w:rFonts w:eastAsia="Times New Roman"/>
          <w:lang w:eastAsia="en-GB"/>
        </w:rPr>
        <w:t>included</w:t>
      </w:r>
      <w:r w:rsidRPr="006B28FA">
        <w:rPr>
          <w:rFonts w:eastAsia="Times New Roman"/>
          <w:lang w:eastAsia="en-GB"/>
        </w:rPr>
        <w:t xml:space="preserve"> in the results and analys</w:t>
      </w:r>
      <w:r>
        <w:rPr>
          <w:rFonts w:eastAsia="Times New Roman"/>
          <w:lang w:eastAsia="en-GB"/>
        </w:rPr>
        <w:t>ed</w:t>
      </w:r>
      <w:r w:rsidRPr="006B28FA">
        <w:rPr>
          <w:rFonts w:eastAsia="Times New Roman"/>
          <w:lang w:eastAsia="en-GB"/>
        </w:rPr>
        <w:t xml:space="preserve"> where apposite. There has been neither the time nor scope in this current study to explore the differences and similarities that emerged from ABC Scales' differences in detail - which is considered as a further limitation. Early indications suggest there may be merit in reviewing and more deeply analysing</w:t>
      </w:r>
      <w:r>
        <w:rPr>
          <w:rFonts w:eastAsia="Times New Roman"/>
          <w:lang w:eastAsia="en-GB"/>
        </w:rPr>
        <w:t xml:space="preserve"> </w:t>
      </w:r>
      <w:r w:rsidRPr="006B28FA">
        <w:rPr>
          <w:rFonts w:eastAsia="Times New Roman"/>
          <w:lang w:eastAsia="en-GB"/>
        </w:rPr>
        <w:t>the data, which remains</w:t>
      </w:r>
      <w:r>
        <w:rPr>
          <w:rFonts w:eastAsia="Times New Roman"/>
          <w:lang w:eastAsia="en-GB"/>
        </w:rPr>
        <w:t xml:space="preserve"> another potential</w:t>
      </w:r>
      <w:r w:rsidRPr="006B28FA">
        <w:rPr>
          <w:rFonts w:eastAsia="Times New Roman"/>
          <w:lang w:eastAsia="en-GB"/>
        </w:rPr>
        <w:t xml:space="preserve"> topic for future study.</w:t>
      </w:r>
    </w:p>
    <w:p w14:paraId="4A605D93" w14:textId="0AC34950" w:rsidR="009F6487" w:rsidRPr="009F6487" w:rsidRDefault="004D5123" w:rsidP="009F6487">
      <w:pPr>
        <w:pStyle w:val="Heading3"/>
        <w:rPr>
          <w:lang w:eastAsia="en-GB"/>
        </w:rPr>
      </w:pPr>
      <w:bookmarkStart w:id="273" w:name="_Toc57035949"/>
      <w:r>
        <w:rPr>
          <w:lang w:eastAsia="en-GB"/>
        </w:rPr>
        <w:t>II</w:t>
      </w:r>
      <w:r>
        <w:rPr>
          <w:lang w:eastAsia="en-GB"/>
        </w:rPr>
        <w:tab/>
      </w:r>
      <w:r w:rsidR="009F6487">
        <w:rPr>
          <w:lang w:eastAsia="en-GB"/>
        </w:rPr>
        <w:t>Data collection, sampling and datapool limitations; measuring issues</w:t>
      </w:r>
      <w:bookmarkEnd w:id="273"/>
    </w:p>
    <w:p w14:paraId="402D2120" w14:textId="4AC501CF" w:rsidR="00551AE0" w:rsidRPr="006B28FA" w:rsidRDefault="00551AE0" w:rsidP="00551AE0">
      <w:pPr>
        <w:rPr>
          <w:rFonts w:eastAsia="Times New Roman"/>
          <w:lang w:eastAsia="en-GB"/>
        </w:rPr>
      </w:pPr>
      <w:r w:rsidRPr="006B28FA">
        <w:rPr>
          <w:rFonts w:eastAsia="Times New Roman"/>
          <w:lang w:eastAsia="en-GB"/>
        </w:rPr>
        <w:t xml:space="preserve">Due to the researcher's geographical location, this was a distance-learning study conducted remotely from the data source - namely students attending the same, home university. By its very nature, this advocated the design of a data collection process that could also be conducted remotely. To have adopted an alternative method, such as face-to-face structured interviews, or personally canvassing for participation in a paper-based or electronically-derived questionnaire for example, would have been unworkable. But in different circumstances, either of these alternatives may have been equally productive in terms of the breadth, quality and detail of data that could have been collected. In the event, a great deal of thought, preparation, and prior technical expertise was invested in designing and developing a self-report, electronically-deliverable questionnaire that was technically faultless, attractive to view, easy to navigate, simple to understand, complete, and submit, and not over-burdensome in either time required to complete it, nor the complexity or wordiness of its constituent components. Alternative data collection processes were considered, but given that from the outset this study was designed to be a primary research project where the more data that could be collected </w:t>
      </w:r>
      <w:r w:rsidRPr="006B28FA">
        <w:rPr>
          <w:rFonts w:eastAsia="Times New Roman"/>
          <w:lang w:eastAsia="en-GB"/>
        </w:rPr>
        <w:lastRenderedPageBreak/>
        <w:t>was considered the better, adopting a case-study approach for example, where the same research questions might have been meaningfully explored, was dismissed at an early stage</w:t>
      </w:r>
      <w:r>
        <w:rPr>
          <w:rFonts w:eastAsia="Times New Roman"/>
          <w:lang w:eastAsia="en-GB"/>
        </w:rPr>
        <w:t>.</w:t>
      </w:r>
      <w:r w:rsidRPr="006B28FA">
        <w:rPr>
          <w:rFonts w:eastAsia="Times New Roman"/>
          <w:lang w:eastAsia="en-GB"/>
        </w:rPr>
        <w:t xml:space="preserve"> </w:t>
      </w:r>
      <w:r>
        <w:rPr>
          <w:rFonts w:eastAsia="Times New Roman"/>
          <w:lang w:eastAsia="en-GB"/>
        </w:rPr>
        <w:t>Al</w:t>
      </w:r>
      <w:r w:rsidRPr="006B28FA">
        <w:rPr>
          <w:rFonts w:eastAsia="Times New Roman"/>
          <w:lang w:eastAsia="en-GB"/>
        </w:rPr>
        <w:t>though data collected could have been high-quality, it would have emerged, by definition, from a highly restrictive and not necessarily representative source</w:t>
      </w:r>
      <w:r>
        <w:rPr>
          <w:rFonts w:eastAsia="Times New Roman"/>
          <w:lang w:eastAsia="en-GB"/>
        </w:rPr>
        <w:t xml:space="preserve">. and it </w:t>
      </w:r>
      <w:r w:rsidRPr="006B28FA">
        <w:rPr>
          <w:rFonts w:eastAsia="Times New Roman"/>
          <w:lang w:eastAsia="en-GB"/>
        </w:rPr>
        <w:t xml:space="preserve">was difficult to see how the core, Test subgroup of quasi-dyslexic students may have been established using this approach. </w:t>
      </w:r>
      <w:r>
        <w:rPr>
          <w:rFonts w:eastAsia="Times New Roman"/>
          <w:lang w:eastAsia="en-GB"/>
        </w:rPr>
        <w:t>Hence,</w:t>
      </w:r>
      <w:r w:rsidRPr="006B28FA">
        <w:rPr>
          <w:rFonts w:eastAsia="Times New Roman"/>
          <w:lang w:eastAsia="en-GB"/>
        </w:rPr>
        <w:t xml:space="preserve"> generalizable outcomes were considered less likely to emerge</w:t>
      </w:r>
      <w:r>
        <w:rPr>
          <w:rFonts w:eastAsia="Times New Roman"/>
          <w:lang w:eastAsia="en-GB"/>
        </w:rPr>
        <w:t xml:space="preserve"> through this methodology. </w:t>
      </w:r>
      <w:r w:rsidRPr="006B28FA">
        <w:rPr>
          <w:rFonts w:eastAsia="Times New Roman"/>
          <w:lang w:eastAsia="en-GB"/>
        </w:rPr>
        <w:t>However, it is acknowledged that could such a research design have been formulated, it may have generated outcomes of equal, if less wide-ranging value, that is, with a different, more individually-focused emphasis. </w:t>
      </w:r>
    </w:p>
    <w:p w14:paraId="39D921E5" w14:textId="26F90889" w:rsidR="00551AE0" w:rsidRDefault="001442AA" w:rsidP="001442AA">
      <w:pPr>
        <w:rPr>
          <w:rFonts w:eastAsia="Times New Roman"/>
          <w:lang w:eastAsia="en-GB"/>
        </w:rPr>
      </w:pPr>
      <w:r w:rsidRPr="001442AA">
        <w:rPr>
          <w:rFonts w:eastAsia="Times New Roman"/>
          <w:lang w:eastAsia="en-GB"/>
        </w:rPr>
        <w:t>​</w:t>
      </w:r>
      <w:r w:rsidR="00551AE0" w:rsidRPr="006B28FA">
        <w:rPr>
          <w:rFonts w:eastAsia="Times New Roman"/>
          <w:lang w:eastAsia="en-GB"/>
        </w:rPr>
        <w:t>Hence, collecting data through a self-report questionnaire, electronically delivered and submitted was considered the most viable option. Considerable cred</w:t>
      </w:r>
      <w:r w:rsidR="00551AE0">
        <w:rPr>
          <w:rFonts w:eastAsia="Times New Roman"/>
          <w:lang w:eastAsia="en-GB"/>
        </w:rPr>
        <w:t>e</w:t>
      </w:r>
      <w:r w:rsidR="00551AE0" w:rsidRPr="006B28FA">
        <w:rPr>
          <w:rFonts w:eastAsia="Times New Roman"/>
          <w:lang w:eastAsia="en-GB"/>
        </w:rPr>
        <w:t>nce was given to pitfalls and limitations attributed to collecting attitudinal data in this way (reported earlier, sub-section 3.3) and attention was paid to accounting for, and designing these out where possible. However, it is acknowledged that such a data collection process brings its own limitations</w:t>
      </w:r>
      <w:r w:rsidR="00551AE0">
        <w:rPr>
          <w:rFonts w:eastAsia="Times New Roman"/>
          <w:lang w:eastAsia="en-GB"/>
        </w:rPr>
        <w:t>. These include</w:t>
      </w:r>
      <w:r w:rsidR="00551AE0" w:rsidRPr="006B28FA">
        <w:rPr>
          <w:rFonts w:eastAsia="Times New Roman"/>
          <w:lang w:eastAsia="en-GB"/>
        </w:rPr>
        <w:t xml:space="preserve"> the extent to which participants respond to questions honestly, on their own (without any help, or prompting), in full understanding of the content, structure and purpose of the enquiry - these factors are always beyond the control of the researcher, and hence variability in data quality and response veracity </w:t>
      </w:r>
      <w:r w:rsidR="00551AE0">
        <w:rPr>
          <w:rFonts w:eastAsia="Times New Roman"/>
          <w:lang w:eastAsia="en-GB"/>
        </w:rPr>
        <w:t>represents</w:t>
      </w:r>
      <w:r w:rsidR="00551AE0" w:rsidRPr="006B28FA">
        <w:rPr>
          <w:rFonts w:eastAsia="Times New Roman"/>
          <w:lang w:eastAsia="en-GB"/>
        </w:rPr>
        <w:t xml:space="preserve"> a source of potential limitation that will impact on generalizing conclusions. </w:t>
      </w:r>
      <w:r w:rsidR="00551AE0">
        <w:rPr>
          <w:rFonts w:eastAsia="Times New Roman"/>
          <w:lang w:eastAsia="en-GB"/>
        </w:rPr>
        <w:t>Another limitation is</w:t>
      </w:r>
      <w:r w:rsidR="00551AE0" w:rsidRPr="006B28FA">
        <w:rPr>
          <w:rFonts w:eastAsia="Times New Roman"/>
          <w:lang w:eastAsia="en-GB"/>
        </w:rPr>
        <w:t xml:space="preserve"> the target audience</w:t>
      </w:r>
      <w:r w:rsidR="00551AE0">
        <w:rPr>
          <w:rFonts w:eastAsia="Times New Roman"/>
          <w:lang w:eastAsia="en-GB"/>
        </w:rPr>
        <w:t xml:space="preserve"> which</w:t>
      </w:r>
      <w:r w:rsidR="00551AE0" w:rsidRPr="006B28FA">
        <w:rPr>
          <w:rFonts w:eastAsia="Times New Roman"/>
          <w:lang w:eastAsia="en-GB"/>
        </w:rPr>
        <w:t>, unless specifically selected in advance, is unknown. For the group of dyslexic students this was partially under the control of the researcher as these participants were assumed to be definitely identified as dyslexic by virtue of them being targeted for recruitment through the university's Dyslexia Service e-mail distribution list. But for an individual in receipt of the e-mail invitation to join the study, choosing to participate was entirely voluntary. Hence, it was not possible to devise and access a nonprobability, purposive sample that would have been logically assumed to have been representative of the background population of all students with dyslexia attending the home university. In any case, such a process was precluded by the Service who, certainly at the early stages of scoping the data collection process, were reluctant to be involved in the study at all, citing potential breaches of confidentiality as the reason, this, despite assurances that data collected through the questionnaire were completely, irrevocably and unconditionally anonymised, with no possible route to trace responses back to an identifiable individual.</w:t>
      </w:r>
    </w:p>
    <w:p w14:paraId="21427CFE" w14:textId="77777777" w:rsidR="00551AE0" w:rsidRPr="006B28FA" w:rsidRDefault="00551AE0" w:rsidP="00551AE0">
      <w:pPr>
        <w:rPr>
          <w:rFonts w:eastAsia="Times New Roman"/>
          <w:lang w:eastAsia="en-GB"/>
        </w:rPr>
      </w:pPr>
      <w:r w:rsidRPr="006B28FA">
        <w:rPr>
          <w:rFonts w:eastAsia="Times New Roman"/>
          <w:lang w:eastAsia="en-GB"/>
        </w:rPr>
        <w:t xml:space="preserve">Thus, it was not possible to determine the extent to which those who were recruited to the study through this route represented a reasonably random cross-section of students with dyslexia at the university, and so it is possible that outcomes of the analysis were skewed as a consequence. For example it was known that the greater </w:t>
      </w:r>
      <w:r w:rsidRPr="006B28FA">
        <w:rPr>
          <w:rFonts w:eastAsia="Times New Roman"/>
          <w:lang w:eastAsia="en-GB"/>
        </w:rPr>
        <w:lastRenderedPageBreak/>
        <w:t>proportion of respondents who were recruited through this route were female, outnumbering males by a factor of three to one. But without privileged access to the gender distribution of students registered with the university's Dyslexia Service (a request for which was submitted but no response received), it was impossible to determine how representative th</w:t>
      </w:r>
      <w:r>
        <w:rPr>
          <w:rFonts w:eastAsia="Times New Roman"/>
          <w:lang w:eastAsia="en-GB"/>
        </w:rPr>
        <w:t>is ratio</w:t>
      </w:r>
      <w:r w:rsidRPr="006B28FA">
        <w:rPr>
          <w:rFonts w:eastAsia="Times New Roman"/>
          <w:lang w:eastAsia="en-GB"/>
        </w:rPr>
        <w:t xml:space="preserve"> was, and hence, whether males were disproportionately under-represented. For students recruited into the non-dyslexic group it was at least possible to determine that the distribution of participants by gender was approximately representative of the university student population nationally, as these data were available from HESA</w:t>
      </w:r>
      <w:r>
        <w:rPr>
          <w:rFonts w:eastAsia="Times New Roman"/>
          <w:lang w:eastAsia="en-GB"/>
        </w:rPr>
        <w:t xml:space="preserve"> for</w:t>
      </w:r>
      <w:r w:rsidRPr="006B28FA">
        <w:rPr>
          <w:rFonts w:eastAsia="Times New Roman"/>
          <w:lang w:eastAsia="en-GB"/>
        </w:rPr>
        <w:t xml:space="preserve"> compar</w:t>
      </w:r>
      <w:r>
        <w:rPr>
          <w:rFonts w:eastAsia="Times New Roman"/>
          <w:lang w:eastAsia="en-GB"/>
        </w:rPr>
        <w:t>ison</w:t>
      </w:r>
      <w:r w:rsidRPr="006B28FA">
        <w:rPr>
          <w:rFonts w:eastAsia="Times New Roman"/>
          <w:lang w:eastAsia="en-GB"/>
        </w:rPr>
        <w:t>.</w:t>
      </w:r>
    </w:p>
    <w:p w14:paraId="1A66D36A" w14:textId="303D6FA5" w:rsidR="001442AA" w:rsidRPr="001442AA" w:rsidRDefault="001442AA" w:rsidP="001442AA">
      <w:pPr>
        <w:rPr>
          <w:rFonts w:eastAsia="Times New Roman"/>
          <w:lang w:eastAsia="en-GB"/>
        </w:rPr>
      </w:pPr>
      <w:r w:rsidRPr="001442AA">
        <w:rPr>
          <w:rFonts w:eastAsia="Times New Roman"/>
          <w:lang w:eastAsia="en-GB"/>
        </w:rPr>
        <w:t>​</w:t>
      </w:r>
      <w:r w:rsidR="00551AE0">
        <w:rPr>
          <w:rFonts w:eastAsia="Times New Roman"/>
          <w:lang w:eastAsia="en-GB"/>
        </w:rPr>
        <w:t>The sample size itself</w:t>
      </w:r>
      <w:r w:rsidRPr="001442AA">
        <w:rPr>
          <w:rFonts w:eastAsia="Times New Roman"/>
          <w:lang w:eastAsia="en-GB"/>
        </w:rPr>
        <w:t xml:space="preserve"> was con</w:t>
      </w:r>
      <w:r w:rsidR="004B7915">
        <w:rPr>
          <w:rFonts w:eastAsia="Times New Roman"/>
          <w:lang w:eastAsia="en-GB"/>
        </w:rPr>
        <w:t xml:space="preserve">sidered as </w:t>
      </w:r>
      <w:r w:rsidRPr="001442AA">
        <w:rPr>
          <w:rFonts w:eastAsia="Times New Roman"/>
          <w:lang w:eastAsia="en-GB"/>
        </w:rPr>
        <w:t>a moderately large (n=166) for a research study of this type</w:t>
      </w:r>
      <w:r w:rsidR="008B029E">
        <w:rPr>
          <w:rFonts w:eastAsia="Times New Roman"/>
          <w:lang w:eastAsia="en-GB"/>
        </w:rPr>
        <w:t>, as revealed through the literature review.</w:t>
      </w:r>
      <w:r w:rsidRPr="001442AA">
        <w:rPr>
          <w:rFonts w:eastAsia="Times New Roman"/>
          <w:lang w:eastAsia="en-GB"/>
        </w:rPr>
        <w:t xml:space="preserve"> When</w:t>
      </w:r>
      <w:r w:rsidR="008B029E">
        <w:rPr>
          <w:rFonts w:eastAsia="Times New Roman"/>
          <w:lang w:eastAsia="en-GB"/>
        </w:rPr>
        <w:t xml:space="preserve"> the datapool </w:t>
      </w:r>
      <w:r w:rsidRPr="001442AA">
        <w:rPr>
          <w:rFonts w:eastAsia="Times New Roman"/>
          <w:lang w:eastAsia="en-GB"/>
        </w:rPr>
        <w:t>was sifted into subgroups, sample sizes were obviously reduced, although with n=98, and n=68 non-dyslexic, and dyslexic students in each group respectively, these were still considered to be sufficiently large for the outcomes of the data analysis to be meaningful and worthy of interpretation. However, given one of the princip</w:t>
      </w:r>
      <w:r w:rsidR="00ED695E">
        <w:rPr>
          <w:rFonts w:eastAsia="Times New Roman"/>
          <w:lang w:eastAsia="en-GB"/>
        </w:rPr>
        <w:t>al</w:t>
      </w:r>
      <w:r w:rsidRPr="001442AA">
        <w:rPr>
          <w:rFonts w:eastAsia="Times New Roman"/>
          <w:lang w:eastAsia="en-GB"/>
        </w:rPr>
        <w:t xml:space="preserve"> aims of the study was to identify quasi-dyslexic students from the non-dyslexic group, it was known from the outset that the size of the resulting subgroup was likely to be quite small</w:t>
      </w:r>
      <w:r w:rsidR="0070152D">
        <w:rPr>
          <w:rFonts w:eastAsia="Times New Roman"/>
          <w:lang w:eastAsia="en-GB"/>
        </w:rPr>
        <w:t>, and that any conclusions d</w:t>
      </w:r>
      <w:r w:rsidR="00551AE0">
        <w:rPr>
          <w:rFonts w:eastAsia="Times New Roman"/>
          <w:lang w:eastAsia="en-GB"/>
        </w:rPr>
        <w:t xml:space="preserve">rawn </w:t>
      </w:r>
      <w:r w:rsidR="0070152D">
        <w:rPr>
          <w:rFonts w:eastAsia="Times New Roman"/>
          <w:lang w:eastAsia="en-GB"/>
        </w:rPr>
        <w:t>would need to acknowledge that small samples are likely to provide evidence for only tentative outcomes</w:t>
      </w:r>
      <w:r w:rsidRPr="001442AA">
        <w:rPr>
          <w:rFonts w:eastAsia="Times New Roman"/>
          <w:lang w:eastAsia="en-GB"/>
        </w:rPr>
        <w:t>. In the event, sifting quasi-dyslexic students out of their parent group led to a Test subgroup of 18, or 19 participants, according to which version of the Dx Profiler was applied as the sieve. Within the limitations of the Dx Profiler as a discriminator, this subgroup represented a substantial proportion of the parent group (18.4%), which</w:t>
      </w:r>
      <w:r w:rsidR="00551AE0">
        <w:rPr>
          <w:rFonts w:eastAsia="Times New Roman"/>
          <w:lang w:eastAsia="en-GB"/>
        </w:rPr>
        <w:t xml:space="preserve">, </w:t>
      </w:r>
      <w:r w:rsidRPr="001442AA">
        <w:rPr>
          <w:rFonts w:eastAsia="Times New Roman"/>
          <w:lang w:eastAsia="en-GB"/>
        </w:rPr>
        <w:t xml:space="preserve">were quasi-dyslexia considered as likely unidentified dyslexia, </w:t>
      </w:r>
      <w:r w:rsidR="00551AE0">
        <w:rPr>
          <w:rFonts w:eastAsia="Times New Roman"/>
          <w:lang w:eastAsia="en-GB"/>
        </w:rPr>
        <w:t xml:space="preserve">may suggest </w:t>
      </w:r>
      <w:r w:rsidRPr="001442AA">
        <w:rPr>
          <w:rFonts w:eastAsia="Times New Roman"/>
          <w:lang w:eastAsia="en-GB"/>
        </w:rPr>
        <w:t>the proportion of unknown dyslexia could be as high as nearly one in five apparently non-dyslexic students at university. To draw such a conclusion from this data was considered neither realistic nor tenable, not least as to do so may have been to mis-represent the outcomes of the analysis, not least because the sample is small, and the validity of the discriminator is untested outside this datapool.</w:t>
      </w:r>
    </w:p>
    <w:p w14:paraId="4E338DE4" w14:textId="20590DF8" w:rsidR="004D5123" w:rsidRPr="004D5123" w:rsidRDefault="004D5123" w:rsidP="004D5123">
      <w:pPr>
        <w:rPr>
          <w:rFonts w:eastAsia="Times New Roman"/>
          <w:lang w:eastAsia="en-GB"/>
        </w:rPr>
      </w:pPr>
      <w:bookmarkStart w:id="274" w:name="_Toc9795796"/>
      <w:bookmarkStart w:id="275" w:name="_Toc533669231"/>
      <w:bookmarkStart w:id="276" w:name="_Toc9795795"/>
    </w:p>
    <w:p w14:paraId="362E5660" w14:textId="0B00459C" w:rsidR="00B56988" w:rsidRDefault="00B56988" w:rsidP="00B56988">
      <w:pPr>
        <w:pStyle w:val="Heading2"/>
      </w:pPr>
      <w:bookmarkStart w:id="277" w:name="_Toc57035950"/>
      <w:r>
        <w:t>6.4</w:t>
      </w:r>
      <w:r w:rsidR="004D5123">
        <w:tab/>
      </w:r>
      <w:r>
        <w:t>Directions for future research</w:t>
      </w:r>
      <w:bookmarkEnd w:id="274"/>
      <w:bookmarkEnd w:id="277"/>
    </w:p>
    <w:p w14:paraId="45FB16A5" w14:textId="13799BD1" w:rsidR="005E5C94" w:rsidRPr="005E5C94" w:rsidRDefault="005E5C94" w:rsidP="005E5C94">
      <w:pPr>
        <w:rPr>
          <w:rFonts w:eastAsia="Times New Roman"/>
          <w:lang w:eastAsia="en-GB"/>
        </w:rPr>
      </w:pPr>
      <w:r w:rsidRPr="005E5C94">
        <w:rPr>
          <w:rFonts w:eastAsia="Times New Roman"/>
          <w:lang w:eastAsia="en-GB"/>
        </w:rPr>
        <w:t xml:space="preserve">It is </w:t>
      </w:r>
      <w:r>
        <w:rPr>
          <w:rFonts w:eastAsia="Times New Roman"/>
          <w:lang w:eastAsia="en-GB"/>
        </w:rPr>
        <w:t>believed</w:t>
      </w:r>
      <w:r w:rsidRPr="005E5C94">
        <w:rPr>
          <w:rFonts w:eastAsia="Times New Roman"/>
          <w:lang w:eastAsia="en-GB"/>
        </w:rPr>
        <w:t xml:space="preserve"> that this study is the first to explore specifically the relationship between academic confidence and dyslexia amongst </w:t>
      </w:r>
      <w:r w:rsidR="000D345F">
        <w:rPr>
          <w:rFonts w:eastAsia="Times New Roman"/>
          <w:lang w:eastAsia="en-GB"/>
        </w:rPr>
        <w:t xml:space="preserve">a community of </w:t>
      </w:r>
      <w:r w:rsidRPr="005E5C94">
        <w:rPr>
          <w:rFonts w:eastAsia="Times New Roman"/>
          <w:lang w:eastAsia="en-GB"/>
        </w:rPr>
        <w:t xml:space="preserve">university students. </w:t>
      </w:r>
    </w:p>
    <w:p w14:paraId="29A9DE00" w14:textId="77777777" w:rsidR="00551AE0" w:rsidRPr="006B28FA" w:rsidRDefault="00551AE0" w:rsidP="00551AE0">
      <w:pPr>
        <w:rPr>
          <w:rFonts w:eastAsia="Times New Roman"/>
          <w:lang w:eastAsia="en-GB"/>
        </w:rPr>
      </w:pPr>
      <w:r w:rsidRPr="006B28FA">
        <w:rPr>
          <w:rFonts w:eastAsia="Times New Roman"/>
          <w:lang w:eastAsia="en-GB"/>
        </w:rPr>
        <w:t xml:space="preserve">This was a unique investigation, and further work is required across the domain of higher education to either validate the findings of this current study, or otherwise collect </w:t>
      </w:r>
      <w:r w:rsidRPr="006B28FA">
        <w:rPr>
          <w:rFonts w:eastAsia="Times New Roman"/>
          <w:lang w:eastAsia="en-GB"/>
        </w:rPr>
        <w:lastRenderedPageBreak/>
        <w:t xml:space="preserve">evidence to contradict them. At the same time, the idea of 'dyslexia-ness' needs to be more widely discussed given that in this study it is proposed as a continuum variable rather than </w:t>
      </w:r>
      <w:r>
        <w:rPr>
          <w:rFonts w:eastAsia="Times New Roman"/>
          <w:lang w:eastAsia="en-GB"/>
        </w:rPr>
        <w:t xml:space="preserve">a </w:t>
      </w:r>
      <w:r w:rsidRPr="006B28FA">
        <w:rPr>
          <w:rFonts w:eastAsia="Times New Roman"/>
          <w:lang w:eastAsia="en-GB"/>
        </w:rPr>
        <w:t>categorical one</w:t>
      </w:r>
      <w:r>
        <w:rPr>
          <w:rFonts w:eastAsia="Times New Roman"/>
          <w:lang w:eastAsia="en-GB"/>
        </w:rPr>
        <w:t>. It</w:t>
      </w:r>
      <w:r w:rsidRPr="006B28FA">
        <w:rPr>
          <w:rFonts w:eastAsia="Times New Roman"/>
          <w:lang w:eastAsia="en-GB"/>
        </w:rPr>
        <w:t xml:space="preserve"> is used to quantify the prevalence and magnitude-of-influence of a variety of the learning and study characteristics typically associated with dyslexia - but not necessarily absent from apparently non-dyslexic individuals - and especially when the syndrome is taken as a multifactorial, information processing difference.</w:t>
      </w:r>
    </w:p>
    <w:p w14:paraId="0529A970" w14:textId="77777777" w:rsidR="00CE605C" w:rsidRPr="006B28FA" w:rsidRDefault="00CE605C" w:rsidP="00CE605C">
      <w:pPr>
        <w:rPr>
          <w:rFonts w:eastAsia="Times New Roman"/>
          <w:lang w:eastAsia="en-GB"/>
        </w:rPr>
      </w:pPr>
      <w:r w:rsidRPr="006B28FA">
        <w:rPr>
          <w:rFonts w:eastAsia="Times New Roman"/>
          <w:lang w:eastAsia="en-GB"/>
        </w:rPr>
        <w:t>In th</w:t>
      </w:r>
      <w:r>
        <w:rPr>
          <w:rFonts w:eastAsia="Times New Roman"/>
          <w:lang w:eastAsia="en-GB"/>
        </w:rPr>
        <w:t>e</w:t>
      </w:r>
      <w:r w:rsidRPr="006B28FA">
        <w:rPr>
          <w:rFonts w:eastAsia="Times New Roman"/>
          <w:lang w:eastAsia="en-GB"/>
        </w:rPr>
        <w:t xml:space="preserve"> current study, the focus of the investigation has been to explore the legitimacy of relating dyslexia-ness to academic confidence, and further work needs to be conducted to consider whether such an interrelationship is meaningful in higher education contexts; and if so, whether the variables taken together and presented in a relatable fashion (perhaps in some kind of individualized profiling format) can have a useful and productive impact on helping students at university to understand more about their own learning strategies, strengths, and weaknesses. Research designs need to be formulated and executed to determine the extent to which such meta-knowledge can be channelled into guiding students towards removing their learning blockages, and enhancing study strategies so as to be more effective in travelling towards the academic outcomes at university that are a true and proper indicator of their academic capabilities.</w:t>
      </w:r>
    </w:p>
    <w:p w14:paraId="39B09DDC" w14:textId="4B07D351" w:rsidR="00E4009D" w:rsidRDefault="005E5C94" w:rsidP="005E5C94">
      <w:pPr>
        <w:rPr>
          <w:rFonts w:eastAsia="Times New Roman"/>
          <w:lang w:eastAsia="en-GB"/>
        </w:rPr>
      </w:pPr>
      <w:r w:rsidRPr="005E5C94">
        <w:rPr>
          <w:rFonts w:eastAsia="Times New Roman"/>
          <w:lang w:eastAsia="en-GB"/>
        </w:rPr>
        <w:t>​</w:t>
      </w:r>
      <w:r w:rsidR="00CE605C">
        <w:rPr>
          <w:rFonts w:eastAsia="Times New Roman"/>
          <w:lang w:eastAsia="en-GB"/>
        </w:rPr>
        <w:t>F</w:t>
      </w:r>
      <w:r w:rsidR="00CE605C" w:rsidRPr="006B28FA">
        <w:rPr>
          <w:rFonts w:eastAsia="Times New Roman"/>
          <w:lang w:eastAsia="en-GB"/>
        </w:rPr>
        <w:t>urther work needs to be undertaken to develop both of the metrics used in this current study. The ABC Scale, although already established, could be usefully updated to reflect the shifts in teaching and learning regimes at university, for example. Since the scale was originally developed in the early 2000s, learning systems in HE have progressed to reflect greater use of curriculum delivery through electronic and social media applications, perhaps accompanied by a reduction in large-lecture instruction. So the Scale could be adapted to reflect these changes whilst at the same time retaining its underpinning ethos for gauging the effectiveness of students' learning strategies and study behaviours through the lens of academic confidence. Recall that academic confidence has been cited as a significant factor in the self-regulation of learning.</w:t>
      </w:r>
    </w:p>
    <w:p w14:paraId="30ED6C6F" w14:textId="77777777" w:rsidR="00CE605C" w:rsidRPr="006B28FA" w:rsidRDefault="00CE605C" w:rsidP="00CE605C">
      <w:pPr>
        <w:rPr>
          <w:rFonts w:eastAsia="Times New Roman"/>
          <w:lang w:eastAsia="en-GB"/>
        </w:rPr>
      </w:pPr>
      <w:r w:rsidRPr="006B28FA">
        <w:rPr>
          <w:rFonts w:eastAsia="Times New Roman"/>
          <w:lang w:eastAsia="en-GB"/>
        </w:rPr>
        <w:t>The Dyslexia Index Profiler was developed especially for this project and although it has served the purpose for which it was designed, it remains untested more widely. So in the first instance, it is recommended that more data should be elicited from university dyslexia support professionals so the dimensions that comprise the Profiler can reflect more accurately the prevalence of the characteristics and attributes that they are gauging</w:t>
      </w:r>
      <w:r>
        <w:rPr>
          <w:rFonts w:eastAsia="Times New Roman"/>
          <w:lang w:eastAsia="en-GB"/>
        </w:rPr>
        <w:t>. S</w:t>
      </w:r>
      <w:r w:rsidRPr="006B28FA">
        <w:rPr>
          <w:rFonts w:eastAsia="Times New Roman"/>
          <w:lang w:eastAsia="en-GB"/>
        </w:rPr>
        <w:t>econdly, a wider deployment of the Profiler to a greater range of students at university would enable a better picture to be established of the extent to which all students can be located on the Dyslexianess Continuum. When more data ha</w:t>
      </w:r>
      <w:r>
        <w:rPr>
          <w:rFonts w:eastAsia="Times New Roman"/>
          <w:lang w:eastAsia="en-GB"/>
        </w:rPr>
        <w:t>ve</w:t>
      </w:r>
      <w:r w:rsidRPr="006B28FA">
        <w:rPr>
          <w:rFonts w:eastAsia="Times New Roman"/>
          <w:lang w:eastAsia="en-GB"/>
        </w:rPr>
        <w:t xml:space="preserve"> been </w:t>
      </w:r>
      <w:r w:rsidRPr="006B28FA">
        <w:rPr>
          <w:rFonts w:eastAsia="Times New Roman"/>
          <w:lang w:eastAsia="en-GB"/>
        </w:rPr>
        <w:lastRenderedPageBreak/>
        <w:t>accumulated, a deeper investigation of the factor structure of the Dx Profiler could be undertaken, as the data available in this study w</w:t>
      </w:r>
      <w:r>
        <w:rPr>
          <w:rFonts w:eastAsia="Times New Roman"/>
          <w:lang w:eastAsia="en-GB"/>
        </w:rPr>
        <w:t>ere</w:t>
      </w:r>
      <w:r w:rsidRPr="006B28FA">
        <w:rPr>
          <w:rFonts w:eastAsia="Times New Roman"/>
          <w:lang w:eastAsia="en-GB"/>
        </w:rPr>
        <w:t xml:space="preserve"> only sufficient to hint that a factor structure may be determinable. As a result of likely refinements of the scale, it may be possible to develop a reframing of how dyslexia is understood in adult learners, especially if this can lead to a wider debate about how appropriate or useful it is to formally identify the syndrome. Given that current convention leans towards retaining a process of identification, a deeper exploration of the impact of 'diagnosing' the syndrome is recommended, especially where this subsequently results in dyslexia being defined as a disability to the individual concerned. Perhaps more evidence to support the conclusions of this current study in this respect, might encourage a more widespread uptake in describing dyslexia more neutrally to those identified with it.</w:t>
      </w:r>
    </w:p>
    <w:p w14:paraId="2A360AD6" w14:textId="743C6451" w:rsidR="00CE605C" w:rsidRDefault="00CE605C" w:rsidP="00CE605C">
      <w:pPr>
        <w:rPr>
          <w:rFonts w:eastAsia="Times New Roman"/>
          <w:lang w:eastAsia="en-GB"/>
        </w:rPr>
      </w:pPr>
      <w:r w:rsidRPr="006B28FA">
        <w:rPr>
          <w:rFonts w:eastAsia="Times New Roman"/>
          <w:lang w:eastAsia="en-GB"/>
        </w:rPr>
        <w:t>Lastly, there remains a considerable quantity of data collected in this study that warrant deeper analysis. For example, at present, assessments of the interrelationships between dyslexia-ness and academic confidence have been mostly confined to the complete scales, although the factor structure of the ABC Scale has been explored and accommodated into the analysis. But outcomes for ABC Scale item dimensions are available, and it would be worth exploring whether the broader differences in ABC that have been revealed between non-dyslexic and dyslexic students in th</w:t>
      </w:r>
      <w:r>
        <w:rPr>
          <w:rFonts w:eastAsia="Times New Roman"/>
          <w:lang w:eastAsia="en-GB"/>
        </w:rPr>
        <w:t>e</w:t>
      </w:r>
      <w:r w:rsidRPr="006B28FA">
        <w:rPr>
          <w:rFonts w:eastAsia="Times New Roman"/>
          <w:lang w:eastAsia="en-GB"/>
        </w:rPr>
        <w:t xml:space="preserve"> current study can be more clearly related to specific dimensions of study behaviour as gauged by each dimension in the Scale. Knowing more about this might provide a deeper understanding about how identified dyslexia impacts on learners' confidence when approaching specific components of learning within the wider regimes at university.</w:t>
      </w:r>
    </w:p>
    <w:p w14:paraId="77E5762E" w14:textId="77777777" w:rsidR="0018518C" w:rsidRDefault="0018518C" w:rsidP="00990233"/>
    <w:p w14:paraId="33842C15" w14:textId="234A149C" w:rsidR="008816CD" w:rsidRDefault="008816CD" w:rsidP="008816CD">
      <w:pPr>
        <w:pStyle w:val="Heading2"/>
      </w:pPr>
      <w:bookmarkStart w:id="278" w:name="_Toc57035951"/>
      <w:r>
        <w:t>6.</w:t>
      </w:r>
      <w:r w:rsidR="00B56988">
        <w:t>5</w:t>
      </w:r>
      <w:r w:rsidR="004D5123">
        <w:tab/>
      </w:r>
      <w:r>
        <w:t>Concluding remarks</w:t>
      </w:r>
      <w:bookmarkEnd w:id="275"/>
      <w:bookmarkEnd w:id="276"/>
      <w:bookmarkEnd w:id="278"/>
    </w:p>
    <w:p w14:paraId="2B27E0EB" w14:textId="77777777" w:rsidR="00D6711C" w:rsidRDefault="00D6711C" w:rsidP="00D6711C">
      <w:pPr>
        <w:rPr>
          <w:rFonts w:eastAsia="Times New Roman"/>
          <w:lang w:eastAsia="en-GB"/>
        </w:rPr>
      </w:pPr>
      <w:r w:rsidRPr="006B28FA">
        <w:rPr>
          <w:rFonts w:eastAsia="Times New Roman"/>
          <w:lang w:eastAsia="en-GB"/>
        </w:rPr>
        <w:t xml:space="preserve">What </w:t>
      </w:r>
      <w:r>
        <w:rPr>
          <w:rFonts w:eastAsia="Times New Roman"/>
          <w:lang w:eastAsia="en-GB"/>
        </w:rPr>
        <w:t>do</w:t>
      </w:r>
      <w:r w:rsidRPr="006B28FA">
        <w:rPr>
          <w:rFonts w:eastAsia="Times New Roman"/>
          <w:lang w:eastAsia="en-GB"/>
        </w:rPr>
        <w:t xml:space="preserve"> the outcomes of this research say about the academic confidence of students at university? What has emerged about the nature of dyslexia in students at university, and how has this contributed to what is already known about how this substantial minority of learners function and engage with university study? </w:t>
      </w:r>
      <w:r>
        <w:rPr>
          <w:rFonts w:eastAsia="Times New Roman"/>
          <w:lang w:eastAsia="en-GB"/>
        </w:rPr>
        <w:t xml:space="preserve">Specifically, </w:t>
      </w:r>
      <w:r w:rsidRPr="006B28FA">
        <w:rPr>
          <w:rFonts w:eastAsia="Times New Roman"/>
          <w:lang w:eastAsia="en-GB"/>
        </w:rPr>
        <w:t>what has been revealed about the inter-relationships between</w:t>
      </w:r>
      <w:r>
        <w:rPr>
          <w:rFonts w:eastAsia="Times New Roman"/>
          <w:lang w:eastAsia="en-GB"/>
        </w:rPr>
        <w:t xml:space="preserve"> </w:t>
      </w:r>
      <w:r w:rsidRPr="006B28FA">
        <w:rPr>
          <w:rFonts w:eastAsia="Times New Roman"/>
          <w:lang w:eastAsia="en-GB"/>
        </w:rPr>
        <w:t>these two variables?</w:t>
      </w:r>
      <w:r>
        <w:rPr>
          <w:rFonts w:eastAsia="Times New Roman"/>
          <w:lang w:eastAsia="en-GB"/>
        </w:rPr>
        <w:t xml:space="preserve"> And has enough been established to speculate, in a reasonably informed way, about how university teaching and learning could be adjusted in the light of evidence presented in this current study?</w:t>
      </w:r>
    </w:p>
    <w:p w14:paraId="33EC4F7E" w14:textId="77777777" w:rsidR="00D6711C" w:rsidRDefault="00D6711C" w:rsidP="00D6711C">
      <w:pPr>
        <w:rPr>
          <w:rFonts w:eastAsia="Times New Roman"/>
          <w:lang w:eastAsia="en-GB"/>
        </w:rPr>
      </w:pPr>
      <w:r>
        <w:rPr>
          <w:rFonts w:eastAsia="Times New Roman"/>
          <w:lang w:eastAsia="en-GB"/>
        </w:rPr>
        <w:t>A</w:t>
      </w:r>
      <w:r w:rsidRPr="006B28FA">
        <w:rPr>
          <w:rFonts w:eastAsia="Times New Roman"/>
          <w:lang w:eastAsia="en-GB"/>
        </w:rPr>
        <w:t xml:space="preserve"> </w:t>
      </w:r>
      <w:r>
        <w:rPr>
          <w:rFonts w:eastAsia="Times New Roman"/>
          <w:lang w:eastAsia="en-GB"/>
        </w:rPr>
        <w:t xml:space="preserve">primary </w:t>
      </w:r>
      <w:r w:rsidRPr="006B28FA">
        <w:rPr>
          <w:rFonts w:eastAsia="Times New Roman"/>
          <w:lang w:eastAsia="en-GB"/>
        </w:rPr>
        <w:t>aim of this project was  to e</w:t>
      </w:r>
      <w:r>
        <w:rPr>
          <w:rFonts w:eastAsia="Times New Roman"/>
          <w:lang w:eastAsia="en-GB"/>
        </w:rPr>
        <w:t>xplore</w:t>
      </w:r>
      <w:r w:rsidRPr="006B28FA">
        <w:rPr>
          <w:rFonts w:eastAsia="Times New Roman"/>
          <w:lang w:eastAsia="en-GB"/>
        </w:rPr>
        <w:t xml:space="preserve"> the academic confidence of non-dyslexic and dyslexic students;</w:t>
      </w:r>
      <w:r>
        <w:rPr>
          <w:rFonts w:eastAsia="Times New Roman"/>
          <w:lang w:eastAsia="en-GB"/>
        </w:rPr>
        <w:t xml:space="preserve"> an additional aim was</w:t>
      </w:r>
      <w:r w:rsidRPr="006B28FA">
        <w:rPr>
          <w:rFonts w:eastAsia="Times New Roman"/>
          <w:lang w:eastAsia="en-GB"/>
        </w:rPr>
        <w:t xml:space="preserve"> to explore the effects that attributing the </w:t>
      </w:r>
      <w:r w:rsidRPr="006B28FA">
        <w:rPr>
          <w:rFonts w:eastAsia="Times New Roman"/>
          <w:lang w:eastAsia="en-GB"/>
        </w:rPr>
        <w:lastRenderedPageBreak/>
        <w:t>label of dyslexia to a particular set of learning and study profiles might have on academic confidence. This may be of critical importance in the field of learning design in higher education contexts because by establishing substantial, even significant differences, it may be possible to infer that a reduced likelihood of gaining strong academic outcomes may be at least partially attributable to lower levels of academic confidence, which, as a sub-construct of academic self-efficacy, has been previously reported as a potential marker for academic performance (Honicke &amp; Broadbent, 2016). Hence it would be reasonable to suggest that minimizing impacts that can be shown to depress academic confidence - of which identifying dyslexia maybe one - are likely to have a positive affect on academic achievement.</w:t>
      </w:r>
    </w:p>
    <w:p w14:paraId="0BB2707D" w14:textId="77777777" w:rsidR="00D6711C" w:rsidRPr="006B28FA" w:rsidRDefault="00D6711C" w:rsidP="00D6711C">
      <w:pPr>
        <w:rPr>
          <w:rFonts w:eastAsia="Times New Roman"/>
          <w:lang w:eastAsia="en-GB"/>
        </w:rPr>
      </w:pPr>
      <w:r w:rsidRPr="006B28FA">
        <w:rPr>
          <w:rFonts w:eastAsia="Times New Roman"/>
          <w:lang w:eastAsia="en-GB"/>
        </w:rPr>
        <w:t>In short, when it comes to guiding learners towards a good degree at university, this project has established that amongst the community of learners at one university, and based on one reasonably siz</w:t>
      </w:r>
      <w:r>
        <w:rPr>
          <w:rFonts w:eastAsia="Times New Roman"/>
          <w:lang w:eastAsia="en-GB"/>
        </w:rPr>
        <w:t>ed</w:t>
      </w:r>
      <w:r w:rsidRPr="006B28FA">
        <w:rPr>
          <w:rFonts w:eastAsia="Times New Roman"/>
          <w:lang w:eastAsia="en-GB"/>
        </w:rPr>
        <w:t xml:space="preserve"> datapool, there may be in inverse relationship between levels of dyslexia-ness and levels of academic confidence</w:t>
      </w:r>
      <w:r>
        <w:rPr>
          <w:rFonts w:eastAsia="Times New Roman"/>
          <w:lang w:eastAsia="en-GB"/>
        </w:rPr>
        <w:t>. T</w:t>
      </w:r>
      <w:r w:rsidRPr="006B28FA">
        <w:rPr>
          <w:rFonts w:eastAsia="Times New Roman"/>
          <w:lang w:eastAsia="en-GB"/>
        </w:rPr>
        <w:t xml:space="preserve">he study has </w:t>
      </w:r>
      <w:r>
        <w:rPr>
          <w:rFonts w:eastAsia="Times New Roman"/>
          <w:lang w:eastAsia="en-GB"/>
        </w:rPr>
        <w:t xml:space="preserve">also </w:t>
      </w:r>
      <w:r w:rsidRPr="006B28FA">
        <w:rPr>
          <w:rFonts w:eastAsia="Times New Roman"/>
          <w:lang w:eastAsia="en-GB"/>
        </w:rPr>
        <w:t>asked whether is it better to label an individual as ‘dyslexic’ or not, and has shown that the answer to this may not be as straightforward as previously imagined. By locating all participants in this study on the Dyslexianess Continuum and attempting to identify a discrete subgroup of individuals presenting quasi-dyslexia-ness, it has been shown that in some cases learning differences that might be attributable to dyslexia, are best left unidentified. It logically follows that for these individuals, and possibly dyslexic students generally, it may be better to remain</w:t>
      </w:r>
      <w:r>
        <w:rPr>
          <w:rFonts w:eastAsia="Times New Roman"/>
          <w:lang w:eastAsia="en-GB"/>
        </w:rPr>
        <w:t xml:space="preserve"> </w:t>
      </w:r>
      <w:r w:rsidRPr="006B28FA">
        <w:rPr>
          <w:rFonts w:eastAsia="Times New Roman"/>
          <w:lang w:eastAsia="en-GB"/>
        </w:rPr>
        <w:t>unaware</w:t>
      </w:r>
      <w:r>
        <w:rPr>
          <w:rFonts w:eastAsia="Times New Roman"/>
          <w:lang w:eastAsia="en-GB"/>
        </w:rPr>
        <w:t xml:space="preserve"> </w:t>
      </w:r>
      <w:r w:rsidRPr="006B28FA">
        <w:rPr>
          <w:rFonts w:eastAsia="Times New Roman"/>
          <w:lang w:eastAsia="en-GB"/>
        </w:rPr>
        <w:t xml:space="preserve">of their ‘learning difference’. This may mean that these </w:t>
      </w:r>
      <w:r>
        <w:rPr>
          <w:rFonts w:eastAsia="Times New Roman"/>
          <w:lang w:eastAsia="en-GB"/>
        </w:rPr>
        <w:t>learners</w:t>
      </w:r>
      <w:r w:rsidRPr="006B28FA">
        <w:rPr>
          <w:rFonts w:eastAsia="Times New Roman"/>
          <w:lang w:eastAsia="en-GB"/>
        </w:rPr>
        <w:t xml:space="preserve"> should be encouraged to battle on as best they can within the literacy-based system of curriculum delivery in which they are studying, despite it not being suited to their learning characteristics, strengths and preferences</w:t>
      </w:r>
      <w:r>
        <w:rPr>
          <w:rFonts w:eastAsia="Times New Roman"/>
          <w:lang w:eastAsia="en-GB"/>
        </w:rPr>
        <w:t>. E</w:t>
      </w:r>
      <w:r w:rsidRPr="006B28FA">
        <w:rPr>
          <w:rFonts w:eastAsia="Times New Roman"/>
          <w:lang w:eastAsia="en-GB"/>
        </w:rPr>
        <w:t>ven though this approach may be viewed as disproportionately</w:t>
      </w:r>
      <w:r>
        <w:rPr>
          <w:rFonts w:eastAsia="Times New Roman"/>
          <w:lang w:eastAsia="en-GB"/>
        </w:rPr>
        <w:t xml:space="preserve"> </w:t>
      </w:r>
      <w:r w:rsidRPr="006B28FA">
        <w:rPr>
          <w:rFonts w:eastAsia="Times New Roman"/>
          <w:lang w:eastAsia="en-GB"/>
        </w:rPr>
        <w:t xml:space="preserve">challenging, the costs of undertaking a formal dyslexia assessment, possibly </w:t>
      </w:r>
      <w:r>
        <w:rPr>
          <w:rFonts w:eastAsia="Times New Roman"/>
          <w:lang w:eastAsia="en-GB"/>
        </w:rPr>
        <w:t xml:space="preserve">leading to </w:t>
      </w:r>
      <w:r w:rsidRPr="006B28FA">
        <w:rPr>
          <w:rFonts w:eastAsia="Times New Roman"/>
          <w:lang w:eastAsia="en-GB"/>
        </w:rPr>
        <w:t xml:space="preserve">a 'dyslexia diagnosis' may outweigh the </w:t>
      </w:r>
      <w:r>
        <w:rPr>
          <w:rFonts w:eastAsia="Times New Roman"/>
          <w:lang w:eastAsia="en-GB"/>
        </w:rPr>
        <w:t xml:space="preserve">apparent </w:t>
      </w:r>
      <w:r w:rsidRPr="006B28FA">
        <w:rPr>
          <w:rFonts w:eastAsia="Times New Roman"/>
          <w:lang w:eastAsia="en-GB"/>
        </w:rPr>
        <w:t>benefits of remaining ignorant of the fact. In taking this course of action, controversial as it may seem, there would be no need for recourse to traditional and undoubtedly, well-intentioned ‘reasonable adjustments’, which carry the unfortunate consequence</w:t>
      </w:r>
      <w:r>
        <w:rPr>
          <w:rFonts w:eastAsia="Times New Roman"/>
          <w:lang w:eastAsia="en-GB"/>
        </w:rPr>
        <w:t xml:space="preserve"> </w:t>
      </w:r>
      <w:r w:rsidRPr="006B28FA">
        <w:rPr>
          <w:rFonts w:eastAsia="Times New Roman"/>
          <w:lang w:eastAsia="en-GB"/>
        </w:rPr>
        <w:t>that identifies</w:t>
      </w:r>
      <w:r>
        <w:rPr>
          <w:rFonts w:eastAsia="Times New Roman"/>
          <w:lang w:eastAsia="en-GB"/>
        </w:rPr>
        <w:t xml:space="preserve"> </w:t>
      </w:r>
      <w:r w:rsidRPr="006B28FA">
        <w:rPr>
          <w:rFonts w:eastAsia="Times New Roman"/>
          <w:lang w:eastAsia="en-GB"/>
        </w:rPr>
        <w:t>students with dyslexia as ‘different’ from their peers, leading many to be 'othered' and rejected by their apparently more 'normal' fellow students, especially in co-operative learning initiatives. Evidence for this has been presented throughout this study, from prior literature, from the previous Masters level small-scale study, and from this current research project</w:t>
      </w:r>
      <w:r>
        <w:rPr>
          <w:rFonts w:eastAsia="Times New Roman"/>
          <w:lang w:eastAsia="en-GB"/>
        </w:rPr>
        <w:t>.</w:t>
      </w:r>
    </w:p>
    <w:p w14:paraId="57922B79" w14:textId="77777777" w:rsidR="00D6711C" w:rsidRPr="001442AA" w:rsidRDefault="00D6711C" w:rsidP="00D6711C">
      <w:pPr>
        <w:rPr>
          <w:rFonts w:eastAsia="Times New Roman"/>
          <w:lang w:eastAsia="en-GB"/>
        </w:rPr>
      </w:pPr>
      <w:r w:rsidRPr="001442AA">
        <w:rPr>
          <w:rFonts w:eastAsia="Times New Roman"/>
          <w:lang w:eastAsia="en-GB"/>
        </w:rPr>
        <w:t>However, it has been shown that dyslexia remains difficult to define because it can comprise a variety of arguably identifiable characteristics which can occur together in multiple combinations</w:t>
      </w:r>
      <w:r>
        <w:rPr>
          <w:rFonts w:eastAsia="Times New Roman"/>
          <w:lang w:eastAsia="en-GB"/>
        </w:rPr>
        <w:t>; these</w:t>
      </w:r>
      <w:r w:rsidRPr="001442AA">
        <w:rPr>
          <w:rFonts w:eastAsia="Times New Roman"/>
          <w:lang w:eastAsia="en-GB"/>
        </w:rPr>
        <w:t xml:space="preserve"> may not have discrete impacts on learning, and in some </w:t>
      </w:r>
      <w:r w:rsidRPr="001442AA">
        <w:rPr>
          <w:rFonts w:eastAsia="Times New Roman"/>
          <w:lang w:eastAsia="en-GB"/>
        </w:rPr>
        <w:lastRenderedPageBreak/>
        <w:t>cases are comorbid with other conditions or personal circumstances that may be less challenging to define and compensate for. But it has also been shown that some of these profiles of dimensions are observable in</w:t>
      </w:r>
      <w:r>
        <w:rPr>
          <w:rFonts w:eastAsia="Times New Roman"/>
          <w:lang w:eastAsia="en-GB"/>
        </w:rPr>
        <w:t xml:space="preserve"> </w:t>
      </w:r>
      <w:r w:rsidRPr="001442AA">
        <w:rPr>
          <w:rFonts w:eastAsia="Times New Roman"/>
          <w:lang w:eastAsia="en-GB"/>
        </w:rPr>
        <w:t xml:space="preserve">non-dyslexic students too. In academically capable individuals, the more conventionally considered characteristics of dyslexia associated with weak literacy skills can have been significantly ameliorated, either through strategically modifying intrinsic approaches to learning, consciously or unconsciously, or through use of external support resources in the form of digital and assistive technologies such as spell-checkers or text-to-speech applications. The outcome is that many of the earlier issues that a dyslexic individual might have faced in their learning history may be less significant than they were. This has been readily demonstrated when dyslexia is considered as a multifactorial learning difference, whereby individuals can present significant levels of dyslexia-ness in some factors but not necessarily in others. </w:t>
      </w:r>
      <w:r>
        <w:rPr>
          <w:rFonts w:eastAsia="Times New Roman"/>
          <w:lang w:eastAsia="en-GB"/>
        </w:rPr>
        <w:t>It might be argued that all of this merely masks dyslexia, and as a syndrome, it remains as inherently a part of the individual however its manifestations are observable and possibly measurable. But whilst dyslexia continues to be difficult to define, the value to the individual of identifying it, assessing it and somehow quantifying its severity or magnitude of influence, seems dubious.</w:t>
      </w:r>
    </w:p>
    <w:p w14:paraId="1D9AA66A" w14:textId="77777777" w:rsidR="00D6711C" w:rsidRDefault="00D6711C" w:rsidP="00D6711C">
      <w:pPr>
        <w:rPr>
          <w:rFonts w:ascii="Times New Roman" w:eastAsia="Times New Roman" w:hAnsi="Times New Roman"/>
        </w:rPr>
      </w:pPr>
      <w:r>
        <w:t xml:space="preserve">This leads to an acknowledgement of the view that dyslexia might be best considered as an information processing difference at university rather than predominantly a literacy-skills disability, although the literacy demands of academic study continue to present disadvantageous conditions for many students with information processing differences, because curricula are still broadly delivered and assessed in literacy-based formats. A more appropriate way to repackage dimensions of dyslexia-ness in a contemporary university-learning context may be to consider these characteristics more broadly as academic learning management dimensions, not least because many of them are widely observable across the diversity of university student communities. By characterizing any student’s blend of dimensions through a profile approach, based on a continuum interpretation of dyslexia-ness and academic confidence for example, a better understanding can be gained of strengths and weaknesses. Subsequently, this could be the agent for learning development strategies to be designed and individually-tailored that would capitalize on strengths and ameliorate weaknesses, and hence enhance the effectiveness of learning, enable students to gain a working understanding of their own meta-learning, and to reflect on how this knowledge about how they learn best can be developed and actioned. This could be a basis upon which comprehensive, personalized learning plans could be developed, which although not a new idea, could be revisited through the lens of dyslexia-ness and academic confidence. Hence, these would emerge as useful not just for students with dyslexia (were it deemed still necessary to formally identify them) but for anyone studying at university. Since academic confidence is “a </w:t>
      </w:r>
      <w:r>
        <w:lastRenderedPageBreak/>
        <w:t>mediating variable that acts between individuals' inherent abilities, their learning styles and opportunities afforded by the academic environment of higher education” (Sander &amp; Sanders, 2003, p4), gaining a greater understanding of how it impacts on academic outcomes would be a conduit for enhancing these outcomes and creating a more fulfilling and less stressful learning experience. Ultimately this could promote better academic achievements that are more likely to accurately represent individuals' abilities and capabilities. Granted, this may challenge the scope of strategic planning for the future of tertiary-level, high-quality learning, because it may be considered radical and expensive to implement, and may be inhibited by organizational and systemic factors that are resistant to change (Simons et al., 2007).</w:t>
      </w:r>
    </w:p>
    <w:p w14:paraId="50EEE1BC" w14:textId="77777777" w:rsidR="00D6711C" w:rsidRDefault="00D6711C" w:rsidP="00D6711C">
      <w:r>
        <w:rPr>
          <w:rStyle w:val="wixguard"/>
          <w:spacing w:val="12"/>
        </w:rPr>
        <w:t>​</w:t>
      </w:r>
      <w:r>
        <w:t>In short, as universities have opened their doors to a broader spectrum of students through widening participation and alternative access schemes (which have also seen a substantial rise in numbers of students with learning differences choosing to enter HE), it is reasonable to suppose that many of these new faces, together with many of the more traditionally-seen ones, would benefit academically were there a better institutional-level understanding of the impact that individual differences can have on educational engagement and ownership of learning (Conley &amp; French, 2014). Adopting the principles of UDL would meet many of these objectives by ensuring a more accessible, flexible and adaptable learning provision at university that would enable not only students with dyslexia but all students to engage more equitably with learning, using the academic and functional capabilities that they bring to their institutions, unhindered by burdens of judgemental 'difference-identification', or any other potentially marginalizing factor.</w:t>
      </w:r>
    </w:p>
    <w:p w14:paraId="3D129B95" w14:textId="62B72983" w:rsidR="008816CD" w:rsidRPr="0018518C" w:rsidRDefault="008816CD" w:rsidP="0018518C">
      <w:pPr>
        <w:rPr>
          <w:rFonts w:eastAsia="Times New Roman"/>
          <w:lang w:eastAsia="en-GB"/>
        </w:rPr>
      </w:pPr>
      <w:r>
        <w:br w:type="page"/>
      </w:r>
    </w:p>
    <w:p w14:paraId="3D2DF8BA" w14:textId="77777777" w:rsidR="008816CD" w:rsidRDefault="008816CD" w:rsidP="008816CD">
      <w:pPr>
        <w:pStyle w:val="Heading1"/>
      </w:pPr>
    </w:p>
    <w:p w14:paraId="27ABD934" w14:textId="35EF156E" w:rsidR="008816CD" w:rsidRDefault="008816CD" w:rsidP="008816CD">
      <w:pPr>
        <w:pStyle w:val="Heading1"/>
      </w:pPr>
      <w:bookmarkStart w:id="279" w:name="_Toc525053269"/>
      <w:bookmarkStart w:id="280" w:name="_Toc533669233"/>
      <w:bookmarkStart w:id="281" w:name="_Toc9795797"/>
      <w:bookmarkStart w:id="282" w:name="_Toc57035952"/>
      <w:r>
        <w:t>7</w:t>
      </w:r>
      <w:r w:rsidR="004D5123">
        <w:tab/>
      </w:r>
      <w:r>
        <w:t>References</w:t>
      </w:r>
      <w:bookmarkEnd w:id="279"/>
      <w:bookmarkEnd w:id="280"/>
      <w:bookmarkEnd w:id="281"/>
      <w:bookmarkEnd w:id="282"/>
    </w:p>
    <w:p w14:paraId="06B86D5F" w14:textId="09B56746" w:rsidR="008816CD" w:rsidRDefault="008816CD" w:rsidP="008816CD">
      <w:pPr>
        <w:spacing w:after="0"/>
        <w:rPr>
          <w:rFonts w:ascii="Gill Sans MT" w:hAnsi="Gill Sans MT"/>
        </w:rPr>
      </w:pPr>
      <w:r w:rsidRPr="00133CC2">
        <w:rPr>
          <w:rFonts w:ascii="Gill Sans MT" w:hAnsi="Gill Sans MT"/>
        </w:rPr>
        <w:t xml:space="preserve">Ackerman, B.P., Izard, C.E., Kobak, R., Brown, E.D., Smith, C., 2007, Relation between reading problems and internalizing behaviour for preadolescent children from economically disadvantaged families, </w:t>
      </w:r>
      <w:r w:rsidRPr="00133CC2">
        <w:rPr>
          <w:rFonts w:ascii="Gill Sans MT" w:hAnsi="Gill Sans MT"/>
          <w:i/>
        </w:rPr>
        <w:t>Child Development</w:t>
      </w:r>
      <w:r w:rsidRPr="00133CC2">
        <w:rPr>
          <w:rFonts w:ascii="Gill Sans MT" w:hAnsi="Gill Sans MT"/>
        </w:rPr>
        <w:t>, 78(2), 581-596.</w:t>
      </w:r>
    </w:p>
    <w:p w14:paraId="0F47B0D0" w14:textId="3CC3C27A" w:rsidR="00A32CA6" w:rsidRPr="00A32CA6" w:rsidRDefault="00A32CA6" w:rsidP="008816CD">
      <w:pPr>
        <w:spacing w:after="0"/>
        <w:rPr>
          <w:rFonts w:ascii="Gill Sans MT" w:hAnsi="Gill Sans MT"/>
        </w:rPr>
      </w:pPr>
      <w:r>
        <w:rPr>
          <w:rFonts w:ascii="Gill Sans MT" w:hAnsi="Gill Sans MT"/>
        </w:rPr>
        <w:t xml:space="preserve">Acton, H.B., 1951, Comte's Positivism and the Science of Society, </w:t>
      </w:r>
      <w:r>
        <w:rPr>
          <w:rFonts w:ascii="Gill Sans MT" w:hAnsi="Gill Sans MT"/>
          <w:i/>
          <w:iCs/>
        </w:rPr>
        <w:t>Philosophy</w:t>
      </w:r>
      <w:r>
        <w:rPr>
          <w:rFonts w:ascii="Gill Sans MT" w:hAnsi="Gill Sans MT"/>
        </w:rPr>
        <w:t>, 26(99), 291-310.</w:t>
      </w:r>
    </w:p>
    <w:p w14:paraId="6C4881F1" w14:textId="77777777" w:rsidR="008816CD" w:rsidRDefault="008816CD" w:rsidP="008816CD">
      <w:pPr>
        <w:spacing w:after="0"/>
        <w:rPr>
          <w:rFonts w:ascii="Gill Sans MT" w:hAnsi="Gill Sans MT"/>
        </w:rPr>
      </w:pPr>
      <w:r>
        <w:rPr>
          <w:rFonts w:ascii="Gill Sans MT" w:hAnsi="Gill Sans MT"/>
        </w:rPr>
        <w:t xml:space="preserve">Adams, E.J., Nguyen, A.T., Cowan, N., 2018, Theories of Working Memory: Differences in definition, degree of modularity, role of attention, and purpose, </w:t>
      </w:r>
      <w:r>
        <w:rPr>
          <w:rFonts w:ascii="Gill Sans MT" w:hAnsi="Gill Sans MT"/>
          <w:i/>
        </w:rPr>
        <w:t>Language, Speech and Hearing Services in Schools</w:t>
      </w:r>
      <w:r>
        <w:rPr>
          <w:rFonts w:ascii="Gill Sans MT" w:hAnsi="Gill Sans MT"/>
        </w:rPr>
        <w:t>, 49, 340-355.</w:t>
      </w:r>
    </w:p>
    <w:p w14:paraId="1B937A9B" w14:textId="77777777" w:rsidR="00451907" w:rsidRDefault="008816CD" w:rsidP="008816CD">
      <w:pPr>
        <w:spacing w:after="0"/>
      </w:pPr>
      <w:r>
        <w:rPr>
          <w:rFonts w:ascii="Gill Sans MT" w:hAnsi="Gill Sans MT"/>
        </w:rPr>
        <w:t xml:space="preserve">Adlard, A., Hazan, V., 1998, Speech perception in children with specific reading difficulties (dyslexia), </w:t>
      </w:r>
      <w:r>
        <w:rPr>
          <w:rFonts w:ascii="Gill Sans MT" w:hAnsi="Gill Sans MT"/>
          <w:i/>
        </w:rPr>
        <w:t>Quarterly Journal of Experimental Psychology Section A</w:t>
      </w:r>
      <w:r>
        <w:rPr>
          <w:rFonts w:ascii="Gill Sans MT" w:hAnsi="Gill Sans MT"/>
        </w:rPr>
        <w:t>, 51(1), 153-177</w:t>
      </w:r>
      <w:r w:rsidR="00451907">
        <w:rPr>
          <w:rFonts w:ascii="Gill Sans MT" w:hAnsi="Gill Sans MT"/>
        </w:rPr>
        <w:t>.</w:t>
      </w:r>
      <w:r w:rsidR="00451907" w:rsidRPr="00451907">
        <w:t xml:space="preserve"> </w:t>
      </w:r>
    </w:p>
    <w:p w14:paraId="34ADEFBD" w14:textId="056C01F3" w:rsidR="008816CD" w:rsidRPr="0000157F" w:rsidRDefault="00451907" w:rsidP="008816CD">
      <w:pPr>
        <w:spacing w:after="0"/>
        <w:rPr>
          <w:rFonts w:ascii="Gill Sans MT" w:hAnsi="Gill Sans MT"/>
        </w:rPr>
      </w:pPr>
      <w:r w:rsidRPr="00451907">
        <w:rPr>
          <w:rFonts w:ascii="Gill Sans MT" w:hAnsi="Gill Sans MT"/>
        </w:rPr>
        <w:t xml:space="preserve">Aguila Ochoa, A.R., Sander, P., 2012, Contrasting academic behavioural confidence in Mexican and European Psychology students, </w:t>
      </w:r>
      <w:r w:rsidRPr="00451907">
        <w:rPr>
          <w:rFonts w:ascii="Gill Sans MT" w:hAnsi="Gill Sans MT"/>
          <w:i/>
          <w:iCs/>
        </w:rPr>
        <w:t>Electronic Journal of Research in Educational Psychology</w:t>
      </w:r>
      <w:r w:rsidRPr="00451907">
        <w:rPr>
          <w:rFonts w:ascii="Gill Sans MT" w:hAnsi="Gill Sans MT"/>
        </w:rPr>
        <w:t>, 10(2), 813-838.</w:t>
      </w:r>
    </w:p>
    <w:p w14:paraId="0FD302CD" w14:textId="77777777" w:rsidR="008816CD" w:rsidRPr="00133CC2" w:rsidRDefault="008816CD" w:rsidP="008816CD">
      <w:pPr>
        <w:spacing w:after="0"/>
        <w:rPr>
          <w:rFonts w:ascii="Gill Sans MT" w:hAnsi="Gill Sans MT"/>
        </w:rPr>
      </w:pPr>
      <w:r w:rsidRPr="00D2588A">
        <w:rPr>
          <w:rFonts w:ascii="Gill Sans MT" w:hAnsi="Gill Sans MT"/>
        </w:rPr>
        <w:t xml:space="preserve">Ainscow, M., Booth, T., Dyson, A., 2006, Inclusion and the standards agenda: negotiating policy pressures in England, </w:t>
      </w:r>
      <w:r w:rsidRPr="008F32D8">
        <w:rPr>
          <w:rFonts w:ascii="Gill Sans MT" w:hAnsi="Gill Sans MT"/>
          <w:i/>
        </w:rPr>
        <w:t>International Journal of Inclusive Education</w:t>
      </w:r>
      <w:r w:rsidRPr="00D2588A">
        <w:rPr>
          <w:rFonts w:ascii="Gill Sans MT" w:hAnsi="Gill Sans MT"/>
        </w:rPr>
        <w:t>, 10(4), 295-308.</w:t>
      </w:r>
    </w:p>
    <w:p w14:paraId="2D1F1D7C" w14:textId="77777777" w:rsidR="008816CD" w:rsidRPr="00133CC2" w:rsidRDefault="008816CD" w:rsidP="008816CD">
      <w:pPr>
        <w:spacing w:after="0"/>
        <w:rPr>
          <w:rFonts w:ascii="Gill Sans MT" w:hAnsi="Gill Sans MT"/>
        </w:rPr>
      </w:pPr>
      <w:r w:rsidRPr="00133CC2">
        <w:rPr>
          <w:rFonts w:ascii="Gill Sans MT" w:hAnsi="Gill Sans MT"/>
        </w:rPr>
        <w:t xml:space="preserve">Al-Jarf, R., 2011, Teaching spelling skills with a mind-mapping software, </w:t>
      </w:r>
      <w:r w:rsidRPr="00133CC2">
        <w:rPr>
          <w:rFonts w:ascii="Gill Sans MT" w:hAnsi="Gill Sans MT"/>
          <w:i/>
        </w:rPr>
        <w:t>Asian EFL Journal Professional Teaching Articles</w:t>
      </w:r>
      <w:r w:rsidRPr="00133CC2">
        <w:rPr>
          <w:rFonts w:ascii="Gill Sans MT" w:hAnsi="Gill Sans MT"/>
        </w:rPr>
        <w:t xml:space="preserve">, 53, 4-16. </w:t>
      </w:r>
    </w:p>
    <w:p w14:paraId="1DBADB91" w14:textId="77777777" w:rsidR="008816CD" w:rsidRPr="00133CC2" w:rsidRDefault="008816CD" w:rsidP="008816CD">
      <w:pPr>
        <w:spacing w:after="0"/>
        <w:rPr>
          <w:rFonts w:ascii="Gill Sans MT" w:hAnsi="Gill Sans MT"/>
        </w:rPr>
      </w:pPr>
      <w:r w:rsidRPr="00133CC2">
        <w:rPr>
          <w:rFonts w:ascii="Gill Sans MT" w:hAnsi="Gill Sans MT"/>
        </w:rPr>
        <w:t xml:space="preserve">Al-Wabil, A., Zaphiris, P., Wilson, S., 2007, Web navigation for individuals with dyslexia: an exploratory study, </w:t>
      </w:r>
      <w:r w:rsidRPr="00133CC2">
        <w:rPr>
          <w:rFonts w:ascii="Gill Sans MT" w:hAnsi="Gill Sans MT"/>
          <w:i/>
        </w:rPr>
        <w:t>Universal Access in Human-Computer Interaction: Coping with Diversity</w:t>
      </w:r>
      <w:r w:rsidRPr="00133CC2">
        <w:rPr>
          <w:rFonts w:ascii="Gill Sans MT" w:hAnsi="Gill Sans MT"/>
        </w:rPr>
        <w:t>, 4554, 593-602.</w:t>
      </w:r>
    </w:p>
    <w:p w14:paraId="24860206" w14:textId="77777777" w:rsidR="008816CD" w:rsidRDefault="008816CD" w:rsidP="008816CD">
      <w:pPr>
        <w:spacing w:after="0"/>
        <w:rPr>
          <w:rFonts w:ascii="Gill Sans MT" w:hAnsi="Gill Sans MT"/>
        </w:rPr>
      </w:pPr>
      <w:r w:rsidRPr="00133CC2">
        <w:rPr>
          <w:rFonts w:ascii="Gill Sans MT" w:hAnsi="Gill Sans MT"/>
        </w:rPr>
        <w:t xml:space="preserve">Alexander-Passe, N., 2006, How dyslexic teenagers cope: an investigation of self-esteem, coping and depression, </w:t>
      </w:r>
      <w:r w:rsidRPr="00133CC2">
        <w:rPr>
          <w:rFonts w:ascii="Gill Sans MT" w:hAnsi="Gill Sans MT"/>
          <w:i/>
        </w:rPr>
        <w:t>Dyslexia</w:t>
      </w:r>
      <w:r w:rsidRPr="00133CC2">
        <w:rPr>
          <w:rFonts w:ascii="Gill Sans MT" w:hAnsi="Gill Sans MT"/>
        </w:rPr>
        <w:t>, 12, 256-275.</w:t>
      </w:r>
    </w:p>
    <w:p w14:paraId="44086A6F" w14:textId="77777777" w:rsidR="008816CD" w:rsidRPr="00133CC2" w:rsidRDefault="008816CD" w:rsidP="008816CD">
      <w:pPr>
        <w:spacing w:after="0"/>
        <w:rPr>
          <w:rFonts w:ascii="Gill Sans MT" w:hAnsi="Gill Sans MT"/>
        </w:rPr>
      </w:pPr>
      <w:r w:rsidRPr="00C471F0">
        <w:rPr>
          <w:rFonts w:ascii="Gill Sans MT" w:hAnsi="Gill Sans MT"/>
        </w:rPr>
        <w:t>Alghabban, W.G., Salama, R.M., Altalhi, A.H., 2017, Mobile cloud computing: an effective multimodal interface tool for students with dyslexia</w:t>
      </w:r>
      <w:r w:rsidRPr="00511CD1">
        <w:rPr>
          <w:rFonts w:ascii="Gill Sans MT" w:hAnsi="Gill Sans MT"/>
          <w:i/>
        </w:rPr>
        <w:t>, Computers in Human Behaviour</w:t>
      </w:r>
      <w:r w:rsidRPr="00C471F0">
        <w:rPr>
          <w:rFonts w:ascii="Gill Sans MT" w:hAnsi="Gill Sans MT"/>
        </w:rPr>
        <w:t>, 75, 160-166.</w:t>
      </w:r>
    </w:p>
    <w:p w14:paraId="11E7FE64" w14:textId="77777777" w:rsidR="008816CD" w:rsidRDefault="008816CD" w:rsidP="008816CD">
      <w:pPr>
        <w:spacing w:after="0"/>
        <w:rPr>
          <w:rFonts w:ascii="Gill Sans MT" w:hAnsi="Gill Sans MT"/>
        </w:rPr>
      </w:pPr>
      <w:r w:rsidRPr="00133CC2">
        <w:rPr>
          <w:rFonts w:ascii="Gill Sans MT" w:hAnsi="Gill Sans MT"/>
        </w:rPr>
        <w:t xml:space="preserve">Allen, D.F., Bir, B., 2012, Academic confidence and summer bridge learning communities: path analytic linkages to student persistence, </w:t>
      </w:r>
      <w:r w:rsidRPr="00133CC2">
        <w:rPr>
          <w:rFonts w:ascii="Gill Sans MT" w:hAnsi="Gill Sans MT"/>
          <w:i/>
        </w:rPr>
        <w:t>Journal of College Student Retention</w:t>
      </w:r>
      <w:r w:rsidRPr="00133CC2">
        <w:rPr>
          <w:rFonts w:ascii="Gill Sans MT" w:hAnsi="Gill Sans MT"/>
        </w:rPr>
        <w:t>, 13(4), 519-548.</w:t>
      </w:r>
    </w:p>
    <w:p w14:paraId="0C17028C" w14:textId="29F74B20" w:rsidR="008816CD" w:rsidRPr="00B04C41" w:rsidRDefault="008816CD" w:rsidP="008816CD">
      <w:pPr>
        <w:spacing w:after="0"/>
        <w:rPr>
          <w:rFonts w:ascii="Gill Sans MT" w:hAnsi="Gill Sans MT"/>
        </w:rPr>
      </w:pPr>
      <w:r>
        <w:rPr>
          <w:rFonts w:ascii="Gill Sans MT" w:hAnsi="Gill Sans MT"/>
        </w:rPr>
        <w:t>Amrai, K., Motlagh, S.E., Zalani, H.A., P</w:t>
      </w:r>
      <w:r w:rsidR="0018518C">
        <w:rPr>
          <w:rFonts w:ascii="Gill Sans MT" w:hAnsi="Gill Sans MT"/>
        </w:rPr>
        <w:t>a</w:t>
      </w:r>
      <w:r>
        <w:rPr>
          <w:rFonts w:ascii="Gill Sans MT" w:hAnsi="Gill Sans MT"/>
        </w:rPr>
        <w:t xml:space="preserve">rrhon, H., 2011, The relationship between academic motivation and academic achievement students, </w:t>
      </w:r>
      <w:r>
        <w:rPr>
          <w:rFonts w:ascii="Gill Sans MT" w:hAnsi="Gill Sans MT"/>
          <w:i/>
        </w:rPr>
        <w:t>Procedia – Social and Behavioural Sciences</w:t>
      </w:r>
      <w:r>
        <w:rPr>
          <w:rFonts w:ascii="Gill Sans MT" w:hAnsi="Gill Sans MT"/>
        </w:rPr>
        <w:t>, 15, 399-402.</w:t>
      </w:r>
    </w:p>
    <w:p w14:paraId="69C95B85" w14:textId="77777777" w:rsidR="008816CD" w:rsidRPr="00133CC2" w:rsidRDefault="008816CD" w:rsidP="008816CD">
      <w:pPr>
        <w:spacing w:after="0"/>
        <w:rPr>
          <w:rFonts w:ascii="Gill Sans MT" w:hAnsi="Gill Sans MT"/>
        </w:rPr>
      </w:pPr>
      <w:r w:rsidRPr="00133CC2">
        <w:rPr>
          <w:rFonts w:ascii="Gill Sans MT" w:hAnsi="Gill Sans MT"/>
        </w:rPr>
        <w:t xml:space="preserve">Andreou, E., Vlachos, F., 2013, Learning styles of typical readers and dyslexic adolescents, </w:t>
      </w:r>
      <w:r w:rsidRPr="00133CC2">
        <w:rPr>
          <w:rFonts w:ascii="Gill Sans MT" w:hAnsi="Gill Sans MT"/>
          <w:i/>
        </w:rPr>
        <w:t>Journal of Visual Literacy</w:t>
      </w:r>
      <w:r w:rsidRPr="00133CC2">
        <w:rPr>
          <w:rFonts w:ascii="Gill Sans MT" w:hAnsi="Gill Sans MT"/>
        </w:rPr>
        <w:t>, 32(2), 1-14.</w:t>
      </w:r>
    </w:p>
    <w:p w14:paraId="6CC8F307" w14:textId="77777777" w:rsidR="008816CD" w:rsidRPr="00133CC2" w:rsidRDefault="008816CD" w:rsidP="008816CD">
      <w:pPr>
        <w:spacing w:after="0"/>
        <w:rPr>
          <w:rFonts w:ascii="Gill Sans MT" w:hAnsi="Gill Sans MT"/>
        </w:rPr>
      </w:pPr>
      <w:r w:rsidRPr="00133CC2">
        <w:rPr>
          <w:rFonts w:ascii="Gill Sans MT" w:hAnsi="Gill Sans MT"/>
        </w:rPr>
        <w:t xml:space="preserve">Anghel, R., Fox, J., Warnes, M., 2010, An exploration of concept mapping as a method of evaluating student learning in social work, </w:t>
      </w:r>
      <w:r w:rsidRPr="00133CC2">
        <w:rPr>
          <w:rFonts w:ascii="Gill Sans MT" w:hAnsi="Gill Sans MT"/>
          <w:i/>
        </w:rPr>
        <w:t>Higher Education Academy Subject Centre for Social Policy and Social Work (SWAP)I</w:t>
      </w:r>
      <w:r w:rsidRPr="00133CC2">
        <w:rPr>
          <w:rFonts w:ascii="Gill Sans MT" w:hAnsi="Gill Sans MT"/>
        </w:rPr>
        <w:t>, 2, 34-49.</w:t>
      </w:r>
    </w:p>
    <w:p w14:paraId="74203B17" w14:textId="77777777" w:rsidR="008816CD" w:rsidRDefault="008816CD" w:rsidP="008816CD">
      <w:pPr>
        <w:spacing w:after="0"/>
        <w:rPr>
          <w:rFonts w:ascii="Gill Sans MT" w:hAnsi="Gill Sans MT"/>
        </w:rPr>
      </w:pPr>
      <w:r w:rsidRPr="00133CC2">
        <w:rPr>
          <w:rFonts w:ascii="Gill Sans MT" w:hAnsi="Gill Sans MT"/>
        </w:rPr>
        <w:lastRenderedPageBreak/>
        <w:t xml:space="preserve">Armstrong, D., Humphrey, N., 2008, Reactions to diagnosis of dyslexia among students entering further education: development of the 'resistance-accommodation' model, </w:t>
      </w:r>
      <w:r w:rsidRPr="00133CC2">
        <w:rPr>
          <w:rFonts w:ascii="Gill Sans MT" w:hAnsi="Gill Sans MT"/>
          <w:i/>
        </w:rPr>
        <w:t>British Journal of Special Education</w:t>
      </w:r>
      <w:r w:rsidRPr="00133CC2">
        <w:rPr>
          <w:rFonts w:ascii="Gill Sans MT" w:hAnsi="Gill Sans MT"/>
        </w:rPr>
        <w:t>, 36(2), 95-102.</w:t>
      </w:r>
    </w:p>
    <w:p w14:paraId="1387E2C2" w14:textId="77777777" w:rsidR="008816CD" w:rsidRPr="00133CC2" w:rsidRDefault="008816CD" w:rsidP="008816CD">
      <w:pPr>
        <w:spacing w:before="240" w:after="0"/>
        <w:rPr>
          <w:rFonts w:ascii="Gill Sans MT" w:hAnsi="Gill Sans MT"/>
        </w:rPr>
      </w:pPr>
      <w:r w:rsidRPr="00D51849">
        <w:rPr>
          <w:rFonts w:ascii="Gill Sans MT" w:hAnsi="Gill Sans MT"/>
        </w:rPr>
        <w:t xml:space="preserve">Armstrong, T., 2012, </w:t>
      </w:r>
      <w:r w:rsidRPr="00FB3565">
        <w:rPr>
          <w:rFonts w:ascii="Gill Sans MT" w:hAnsi="Gill Sans MT"/>
          <w:i/>
        </w:rPr>
        <w:t>Neurodiversity in the Classroom: Strength-based strategies to help students with special needs success in school and life</w:t>
      </w:r>
      <w:r w:rsidRPr="00D51849">
        <w:rPr>
          <w:rFonts w:ascii="Gill Sans MT" w:hAnsi="Gill Sans MT"/>
        </w:rPr>
        <w:t>, Alexandria VA, Association for Supervision and Curriculum Development.</w:t>
      </w:r>
    </w:p>
    <w:p w14:paraId="5F12FAA0" w14:textId="77777777" w:rsidR="008816CD" w:rsidRPr="00133CC2" w:rsidRDefault="008816CD" w:rsidP="008816CD">
      <w:pPr>
        <w:spacing w:after="0"/>
        <w:rPr>
          <w:rFonts w:ascii="Gill Sans MT" w:hAnsi="Gill Sans MT"/>
        </w:rPr>
      </w:pPr>
      <w:r w:rsidRPr="00133CC2">
        <w:rPr>
          <w:rFonts w:ascii="Gill Sans MT" w:hAnsi="Gill Sans MT"/>
        </w:rPr>
        <w:t xml:space="preserve">Armstrong, T., 2015, The myth of the normal brain: embracing neurodiversity, </w:t>
      </w:r>
      <w:r w:rsidRPr="00133CC2">
        <w:rPr>
          <w:rFonts w:ascii="Gill Sans MT" w:hAnsi="Gill Sans MT"/>
          <w:i/>
        </w:rPr>
        <w:t>Medicine and Society</w:t>
      </w:r>
      <w:r w:rsidRPr="00133CC2">
        <w:rPr>
          <w:rFonts w:ascii="Gill Sans MT" w:hAnsi="Gill Sans MT"/>
        </w:rPr>
        <w:t xml:space="preserve">, 17(4), 348-352. </w:t>
      </w:r>
    </w:p>
    <w:p w14:paraId="7625B745" w14:textId="77777777" w:rsidR="008816CD" w:rsidRDefault="008816CD" w:rsidP="008816CD">
      <w:pPr>
        <w:spacing w:after="0"/>
        <w:rPr>
          <w:rFonts w:ascii="Gill Sans MT" w:hAnsi="Gill Sans MT"/>
        </w:rPr>
      </w:pPr>
      <w:r>
        <w:rPr>
          <w:rFonts w:ascii="Gill Sans MT" w:hAnsi="Gill Sans MT"/>
        </w:rPr>
        <w:t xml:space="preserve">Articulate Global Inc, 2018, </w:t>
      </w:r>
      <w:r>
        <w:rPr>
          <w:rFonts w:ascii="Gill Sans MT" w:hAnsi="Gill Sans MT"/>
          <w:i/>
        </w:rPr>
        <w:t>Articulate Storyline</w:t>
      </w:r>
      <w:r>
        <w:rPr>
          <w:rFonts w:ascii="Gill Sans MT" w:hAnsi="Gill Sans MT"/>
        </w:rPr>
        <w:t xml:space="preserve">, Available at: </w:t>
      </w:r>
      <w:hyperlink r:id="rId57" w:history="1">
        <w:r w:rsidRPr="00757843">
          <w:rPr>
            <w:rStyle w:val="Hyperlink"/>
            <w:rFonts w:ascii="Gill Sans MT" w:hAnsi="Gill Sans MT"/>
          </w:rPr>
          <w:t>https://articulate.com/360</w:t>
        </w:r>
      </w:hyperlink>
      <w:r>
        <w:rPr>
          <w:rFonts w:ascii="Gill Sans MT" w:hAnsi="Gill Sans MT"/>
        </w:rPr>
        <w:t>, accessed on: 24</w:t>
      </w:r>
      <w:r w:rsidRPr="003D3A71">
        <w:rPr>
          <w:rFonts w:ascii="Gill Sans MT" w:hAnsi="Gill Sans MT"/>
          <w:vertAlign w:val="superscript"/>
        </w:rPr>
        <w:t>th</w:t>
      </w:r>
      <w:r>
        <w:rPr>
          <w:rFonts w:ascii="Gill Sans MT" w:hAnsi="Gill Sans MT"/>
        </w:rPr>
        <w:t xml:space="preserve"> August 2018.</w:t>
      </w:r>
    </w:p>
    <w:p w14:paraId="1FF4C888" w14:textId="77777777" w:rsidR="008816CD" w:rsidRPr="00745075" w:rsidRDefault="008816CD" w:rsidP="008816CD">
      <w:pPr>
        <w:spacing w:after="0"/>
        <w:rPr>
          <w:rFonts w:ascii="Gill Sans MT" w:hAnsi="Gill Sans MT"/>
        </w:rPr>
      </w:pPr>
      <w:r>
        <w:rPr>
          <w:rFonts w:ascii="Gill Sans MT" w:hAnsi="Gill Sans MT"/>
        </w:rPr>
        <w:t xml:space="preserve">Asquith, C., 2008, Dyslexia, academic confidence, self-esteem and support in higher education, </w:t>
      </w:r>
      <w:r>
        <w:rPr>
          <w:rFonts w:ascii="Gill Sans MT" w:hAnsi="Gill Sans MT"/>
          <w:i/>
        </w:rPr>
        <w:t>Unpublished doctoral thesis</w:t>
      </w:r>
      <w:r>
        <w:rPr>
          <w:rFonts w:ascii="Gill Sans MT" w:hAnsi="Gill Sans MT"/>
        </w:rPr>
        <w:t>, Cardiff Metropolitan University.</w:t>
      </w:r>
    </w:p>
    <w:p w14:paraId="0CBDC3A1" w14:textId="77777777" w:rsidR="008816CD" w:rsidRDefault="008816CD" w:rsidP="008816CD">
      <w:pPr>
        <w:spacing w:after="0"/>
        <w:rPr>
          <w:rFonts w:ascii="Gill Sans MT" w:hAnsi="Gill Sans MT"/>
        </w:rPr>
      </w:pPr>
      <w:r w:rsidRPr="00133CC2">
        <w:rPr>
          <w:rFonts w:ascii="Gill Sans MT" w:hAnsi="Gill Sans MT"/>
        </w:rPr>
        <w:t xml:space="preserve">Attree, E.A., Turner, M.J., Cowell, N., 2009, A virtual reality test identifies the visuospatial strengths of adolescents with dyslexia, </w:t>
      </w:r>
      <w:r w:rsidRPr="00133CC2">
        <w:rPr>
          <w:rFonts w:ascii="Gill Sans MT" w:hAnsi="Gill Sans MT"/>
          <w:i/>
        </w:rPr>
        <w:t>CyberPsychology &amp; Behavior</w:t>
      </w:r>
      <w:r w:rsidRPr="00133CC2">
        <w:rPr>
          <w:rFonts w:ascii="Gill Sans MT" w:hAnsi="Gill Sans MT"/>
        </w:rPr>
        <w:t>, 12(2), 163-168.</w:t>
      </w:r>
    </w:p>
    <w:p w14:paraId="6706B022" w14:textId="77777777" w:rsidR="008816CD" w:rsidRPr="007443F2" w:rsidRDefault="008816CD" w:rsidP="008816CD">
      <w:pPr>
        <w:spacing w:after="0"/>
        <w:rPr>
          <w:rFonts w:ascii="Gill Sans MT" w:hAnsi="Gill Sans MT"/>
        </w:rPr>
      </w:pPr>
      <w:r>
        <w:rPr>
          <w:rFonts w:ascii="Gill Sans MT" w:hAnsi="Gill Sans MT"/>
        </w:rPr>
        <w:t xml:space="preserve">Automattic, 2016, </w:t>
      </w:r>
      <w:r>
        <w:rPr>
          <w:rFonts w:ascii="Gill Sans MT" w:hAnsi="Gill Sans MT"/>
          <w:i/>
        </w:rPr>
        <w:t>Polldaddy (Crowdsignal)</w:t>
      </w:r>
      <w:r>
        <w:rPr>
          <w:rFonts w:ascii="Gill Sans MT" w:hAnsi="Gill Sans MT"/>
        </w:rPr>
        <w:t xml:space="preserve">, Available at: </w:t>
      </w:r>
      <w:hyperlink r:id="rId58" w:history="1">
        <w:r w:rsidRPr="00977F08">
          <w:rPr>
            <w:rStyle w:val="Hyperlink"/>
            <w:rFonts w:ascii="Gill Sans MT" w:hAnsi="Gill Sans MT"/>
          </w:rPr>
          <w:t>http://www.polldaddy.com</w:t>
        </w:r>
      </w:hyperlink>
      <w:r>
        <w:rPr>
          <w:rFonts w:ascii="Gill Sans MT" w:hAnsi="Gill Sans MT"/>
        </w:rPr>
        <w:t>, Accessed on: 4</w:t>
      </w:r>
      <w:r w:rsidRPr="007443F2">
        <w:rPr>
          <w:rFonts w:ascii="Gill Sans MT" w:hAnsi="Gill Sans MT"/>
          <w:vertAlign w:val="superscript"/>
        </w:rPr>
        <w:t>th</w:t>
      </w:r>
      <w:r>
        <w:rPr>
          <w:rFonts w:ascii="Gill Sans MT" w:hAnsi="Gill Sans MT"/>
        </w:rPr>
        <w:t xml:space="preserve"> February 2016.</w:t>
      </w:r>
    </w:p>
    <w:p w14:paraId="069FEE7C" w14:textId="77777777" w:rsidR="008816CD" w:rsidRDefault="008816CD" w:rsidP="008816CD">
      <w:pPr>
        <w:spacing w:after="0"/>
        <w:rPr>
          <w:rFonts w:ascii="Gill Sans MT" w:hAnsi="Gill Sans MT"/>
        </w:rPr>
      </w:pPr>
      <w:r w:rsidRPr="00133CC2">
        <w:rPr>
          <w:rFonts w:ascii="Gill Sans MT" w:hAnsi="Gill Sans MT"/>
        </w:rPr>
        <w:t xml:space="preserve">Baatard, G., 2012, A technical guide to effective and accessible web surveys, </w:t>
      </w:r>
      <w:r w:rsidRPr="00133CC2">
        <w:rPr>
          <w:rFonts w:ascii="Gill Sans MT" w:hAnsi="Gill Sans MT"/>
          <w:i/>
        </w:rPr>
        <w:t>Journal of Business Research Methods</w:t>
      </w:r>
      <w:r w:rsidRPr="00133CC2">
        <w:rPr>
          <w:rFonts w:ascii="Gill Sans MT" w:hAnsi="Gill Sans MT"/>
        </w:rPr>
        <w:t>, 10(2), 101-109.</w:t>
      </w:r>
    </w:p>
    <w:p w14:paraId="408CAE43" w14:textId="77777777" w:rsidR="008816CD" w:rsidRPr="00EC4926" w:rsidRDefault="008816CD" w:rsidP="008816CD">
      <w:pPr>
        <w:spacing w:after="0"/>
        <w:rPr>
          <w:rFonts w:ascii="Gill Sans MT" w:hAnsi="Gill Sans MT"/>
          <w:i/>
        </w:rPr>
      </w:pPr>
      <w:r>
        <w:rPr>
          <w:rFonts w:ascii="Gill Sans MT" w:hAnsi="Gill Sans MT"/>
        </w:rPr>
        <w:t>Bachan, R., 2017, Grade inflation in UK Higher Education, Studies in Higher Education</w:t>
      </w:r>
      <w:r>
        <w:rPr>
          <w:rFonts w:ascii="Gill Sans MT" w:hAnsi="Gill Sans MT"/>
          <w:i/>
        </w:rPr>
        <w:t xml:space="preserve">, 42(8), </w:t>
      </w:r>
      <w:r w:rsidRPr="00EC4926">
        <w:rPr>
          <w:rFonts w:ascii="Gill Sans MT" w:hAnsi="Gill Sans MT"/>
        </w:rPr>
        <w:t>1580-1600.</w:t>
      </w:r>
    </w:p>
    <w:p w14:paraId="7006286A" w14:textId="77777777" w:rsidR="008816CD" w:rsidRPr="00133CC2" w:rsidRDefault="008816CD" w:rsidP="008816CD">
      <w:pPr>
        <w:spacing w:after="0"/>
        <w:rPr>
          <w:rFonts w:ascii="Gill Sans MT" w:hAnsi="Gill Sans MT"/>
        </w:rPr>
      </w:pPr>
      <w:r w:rsidRPr="00133CC2">
        <w:rPr>
          <w:rFonts w:ascii="Gill Sans MT" w:hAnsi="Gill Sans MT"/>
        </w:rPr>
        <w:t xml:space="preserve">Baddeley, A., 1997, </w:t>
      </w:r>
      <w:r w:rsidRPr="00133CC2">
        <w:rPr>
          <w:rFonts w:ascii="Gill Sans MT" w:hAnsi="Gill Sans MT"/>
          <w:i/>
        </w:rPr>
        <w:t>Working memory, Oxford Psychology Series No</w:t>
      </w:r>
      <w:r w:rsidRPr="00133CC2">
        <w:rPr>
          <w:rFonts w:ascii="Gill Sans MT" w:hAnsi="Gill Sans MT"/>
        </w:rPr>
        <w:t xml:space="preserve"> 11 Oxford, Clarendon Press.</w:t>
      </w:r>
    </w:p>
    <w:p w14:paraId="37494FD0" w14:textId="77777777" w:rsidR="008816CD" w:rsidRPr="00133CC2" w:rsidRDefault="008816CD" w:rsidP="008816CD">
      <w:pPr>
        <w:spacing w:after="0"/>
        <w:rPr>
          <w:rFonts w:ascii="Gill Sans MT" w:hAnsi="Gill Sans MT"/>
        </w:rPr>
      </w:pPr>
      <w:r w:rsidRPr="00133CC2">
        <w:rPr>
          <w:rFonts w:ascii="Gill Sans MT" w:hAnsi="Gill Sans MT"/>
        </w:rPr>
        <w:t xml:space="preserve">Baddeley, A., 2000, The episodic buffer: a new component of working memory? </w:t>
      </w:r>
      <w:r w:rsidRPr="00133CC2">
        <w:rPr>
          <w:rFonts w:ascii="Gill Sans MT" w:hAnsi="Gill Sans MT"/>
          <w:i/>
        </w:rPr>
        <w:t>Trends in Cognitive Science</w:t>
      </w:r>
      <w:r w:rsidRPr="00133CC2">
        <w:rPr>
          <w:rFonts w:ascii="Gill Sans MT" w:hAnsi="Gill Sans MT"/>
        </w:rPr>
        <w:t xml:space="preserve">, 4(11), 417-423. </w:t>
      </w:r>
    </w:p>
    <w:p w14:paraId="1287A838" w14:textId="77777777" w:rsidR="008816CD" w:rsidRPr="00133CC2" w:rsidRDefault="008816CD" w:rsidP="008816CD">
      <w:pPr>
        <w:spacing w:after="0"/>
        <w:rPr>
          <w:rFonts w:ascii="Gill Sans MT" w:hAnsi="Gill Sans MT"/>
        </w:rPr>
      </w:pPr>
      <w:r w:rsidRPr="00133CC2">
        <w:rPr>
          <w:rFonts w:ascii="Gill Sans MT" w:hAnsi="Gill Sans MT"/>
        </w:rPr>
        <w:t xml:space="preserve">Baddeley, A.D., Hitch, G., 1974, Working memory, </w:t>
      </w:r>
      <w:r w:rsidRPr="00133CC2">
        <w:rPr>
          <w:rFonts w:ascii="Gill Sans MT" w:hAnsi="Gill Sans MT"/>
          <w:i/>
        </w:rPr>
        <w:t>Psychology of Learning and Motivation</w:t>
      </w:r>
      <w:r w:rsidRPr="00133CC2">
        <w:rPr>
          <w:rFonts w:ascii="Gill Sans MT" w:hAnsi="Gill Sans MT"/>
        </w:rPr>
        <w:t>, 8, 47-89.</w:t>
      </w:r>
    </w:p>
    <w:p w14:paraId="794D3505" w14:textId="77777777" w:rsidR="008816CD" w:rsidRPr="00133CC2" w:rsidRDefault="008816CD" w:rsidP="008816CD">
      <w:pPr>
        <w:spacing w:after="0"/>
        <w:rPr>
          <w:rFonts w:ascii="Gill Sans MT" w:hAnsi="Gill Sans MT"/>
        </w:rPr>
      </w:pPr>
      <w:r w:rsidRPr="00133CC2">
        <w:rPr>
          <w:rFonts w:ascii="Gill Sans MT" w:hAnsi="Gill Sans MT"/>
        </w:rPr>
        <w:t xml:space="preserve">Baker, D.L., 2011, </w:t>
      </w:r>
      <w:r w:rsidRPr="00133CC2">
        <w:rPr>
          <w:rFonts w:ascii="Gill Sans MT" w:hAnsi="Gill Sans MT"/>
          <w:i/>
        </w:rPr>
        <w:t>The Politics of Neurodiversity: Why public policy matters</w:t>
      </w:r>
      <w:r w:rsidRPr="00133CC2">
        <w:rPr>
          <w:rFonts w:ascii="Gill Sans MT" w:hAnsi="Gill Sans MT"/>
        </w:rPr>
        <w:t>. Boulder CO, Lynne Rienner.</w:t>
      </w:r>
    </w:p>
    <w:p w14:paraId="21F8085D" w14:textId="77777777" w:rsidR="008816CD" w:rsidRPr="00133CC2" w:rsidRDefault="008816CD" w:rsidP="008816CD">
      <w:pPr>
        <w:spacing w:after="0"/>
        <w:rPr>
          <w:rFonts w:ascii="Gill Sans MT" w:hAnsi="Gill Sans MT"/>
        </w:rPr>
      </w:pPr>
      <w:r w:rsidRPr="00133CC2">
        <w:rPr>
          <w:rFonts w:ascii="Gill Sans MT" w:hAnsi="Gill Sans MT"/>
        </w:rPr>
        <w:t xml:space="preserve">Baker, S.C., 2014, Making it work for everyone: HTML5 and CSS3 for responsive, accessible design on your library's website, </w:t>
      </w:r>
      <w:r w:rsidRPr="00133CC2">
        <w:rPr>
          <w:rFonts w:ascii="Gill Sans MT" w:hAnsi="Gill Sans MT"/>
          <w:i/>
        </w:rPr>
        <w:t>Journal of Library &amp; Information Sciences in Distance Learning</w:t>
      </w:r>
      <w:r w:rsidRPr="00133CC2">
        <w:rPr>
          <w:rFonts w:ascii="Gill Sans MT" w:hAnsi="Gill Sans MT"/>
        </w:rPr>
        <w:t xml:space="preserve">, 8(3-4), 118-136. </w:t>
      </w:r>
    </w:p>
    <w:p w14:paraId="4365A1E4" w14:textId="77777777" w:rsidR="008816CD" w:rsidRPr="00133CC2" w:rsidRDefault="008816CD" w:rsidP="008816CD">
      <w:pPr>
        <w:spacing w:after="0"/>
        <w:rPr>
          <w:rFonts w:ascii="Gill Sans MT" w:hAnsi="Gill Sans MT"/>
        </w:rPr>
      </w:pPr>
      <w:r w:rsidRPr="00133CC2">
        <w:rPr>
          <w:rFonts w:ascii="Gill Sans MT" w:hAnsi="Gill Sans MT"/>
        </w:rPr>
        <w:t xml:space="preserve">Baker, S.L., Kirsch, I., 1991, Cognitive mediators of pain perception and tolerance, </w:t>
      </w:r>
      <w:r w:rsidRPr="00133CC2">
        <w:rPr>
          <w:rFonts w:ascii="Gill Sans MT" w:hAnsi="Gill Sans MT"/>
          <w:i/>
        </w:rPr>
        <w:t>Journal of Personality and Social Psychology</w:t>
      </w:r>
      <w:r w:rsidRPr="00133CC2">
        <w:rPr>
          <w:rFonts w:ascii="Gill Sans MT" w:hAnsi="Gill Sans MT"/>
        </w:rPr>
        <w:t>, 61(3), 504-510.</w:t>
      </w:r>
    </w:p>
    <w:p w14:paraId="2D0073F5" w14:textId="77777777" w:rsidR="008816CD" w:rsidRPr="00133CC2" w:rsidRDefault="008816CD" w:rsidP="008816CD">
      <w:pPr>
        <w:spacing w:after="0"/>
        <w:rPr>
          <w:rFonts w:ascii="Gill Sans MT" w:hAnsi="Gill Sans MT"/>
        </w:rPr>
      </w:pPr>
      <w:r w:rsidRPr="00133CC2">
        <w:rPr>
          <w:rFonts w:ascii="Gill Sans MT" w:hAnsi="Gill Sans MT"/>
        </w:rPr>
        <w:t xml:space="preserve">Bandura A., Jourden, F.J., 1991, Self-regulatory mechanisms governing the impact of social comparison on complex decision-making, </w:t>
      </w:r>
      <w:r w:rsidRPr="00133CC2">
        <w:rPr>
          <w:rFonts w:ascii="Gill Sans MT" w:hAnsi="Gill Sans MT"/>
          <w:i/>
        </w:rPr>
        <w:t>Journal of Personality and Social Psychology</w:t>
      </w:r>
      <w:r w:rsidRPr="00133CC2">
        <w:rPr>
          <w:rFonts w:ascii="Gill Sans MT" w:hAnsi="Gill Sans MT"/>
        </w:rPr>
        <w:t>, 60(6), 941-951.</w:t>
      </w:r>
    </w:p>
    <w:p w14:paraId="056D4677" w14:textId="77777777" w:rsidR="008816CD" w:rsidRPr="00133CC2" w:rsidRDefault="008816CD" w:rsidP="008816CD">
      <w:pPr>
        <w:spacing w:after="0"/>
        <w:rPr>
          <w:rFonts w:ascii="Gill Sans MT" w:hAnsi="Gill Sans MT"/>
        </w:rPr>
      </w:pPr>
      <w:r w:rsidRPr="00133CC2">
        <w:rPr>
          <w:rFonts w:ascii="Gill Sans MT" w:hAnsi="Gill Sans MT"/>
        </w:rPr>
        <w:t xml:space="preserve">Bandura, A., 1977, Self-efficacy: towards a unifying theory of behavioural change. </w:t>
      </w:r>
      <w:r w:rsidRPr="00133CC2">
        <w:rPr>
          <w:rFonts w:ascii="Gill Sans MT" w:hAnsi="Gill Sans MT"/>
          <w:i/>
        </w:rPr>
        <w:t>Psychological Review</w:t>
      </w:r>
      <w:r w:rsidRPr="00133CC2">
        <w:rPr>
          <w:rFonts w:ascii="Gill Sans MT" w:hAnsi="Gill Sans MT"/>
        </w:rPr>
        <w:t>, 84(2), 191-215.</w:t>
      </w:r>
    </w:p>
    <w:p w14:paraId="4C34E925" w14:textId="77777777" w:rsidR="008816CD" w:rsidRPr="00133CC2" w:rsidRDefault="008816CD" w:rsidP="008816CD">
      <w:pPr>
        <w:spacing w:after="0"/>
        <w:rPr>
          <w:rFonts w:ascii="Gill Sans MT" w:hAnsi="Gill Sans MT"/>
        </w:rPr>
      </w:pPr>
      <w:r w:rsidRPr="00133CC2">
        <w:rPr>
          <w:rFonts w:ascii="Gill Sans MT" w:hAnsi="Gill Sans MT"/>
        </w:rPr>
        <w:t xml:space="preserve">Bandura, A., 1978, Reflections on self-efficacy, </w:t>
      </w:r>
      <w:r w:rsidRPr="00133CC2">
        <w:rPr>
          <w:rFonts w:ascii="Gill Sans MT" w:hAnsi="Gill Sans MT"/>
          <w:i/>
        </w:rPr>
        <w:t>Advances in Behavioral Research and Therapy</w:t>
      </w:r>
      <w:r w:rsidRPr="00133CC2">
        <w:rPr>
          <w:rFonts w:ascii="Gill Sans MT" w:hAnsi="Gill Sans MT"/>
        </w:rPr>
        <w:t>, 1(4), 237-269.</w:t>
      </w:r>
    </w:p>
    <w:p w14:paraId="24E106D6" w14:textId="77777777" w:rsidR="008816CD" w:rsidRPr="00133CC2" w:rsidRDefault="008816CD" w:rsidP="008816CD">
      <w:pPr>
        <w:spacing w:after="0"/>
        <w:rPr>
          <w:rFonts w:ascii="Gill Sans MT" w:hAnsi="Gill Sans MT"/>
        </w:rPr>
      </w:pPr>
      <w:r w:rsidRPr="00133CC2">
        <w:rPr>
          <w:rFonts w:ascii="Gill Sans MT" w:hAnsi="Gill Sans MT"/>
        </w:rPr>
        <w:t xml:space="preserve">Bandura, A., 1982, Self-efficacy mechanism in human agency, </w:t>
      </w:r>
      <w:r w:rsidRPr="00133CC2">
        <w:rPr>
          <w:rFonts w:ascii="Gill Sans MT" w:hAnsi="Gill Sans MT"/>
          <w:i/>
        </w:rPr>
        <w:t>American Psychologist</w:t>
      </w:r>
      <w:r w:rsidRPr="00133CC2">
        <w:rPr>
          <w:rFonts w:ascii="Gill Sans MT" w:hAnsi="Gill Sans MT"/>
        </w:rPr>
        <w:t>, 37(2), 122-147.</w:t>
      </w:r>
    </w:p>
    <w:p w14:paraId="67D003C6" w14:textId="77777777" w:rsidR="008816CD" w:rsidRPr="00133CC2" w:rsidRDefault="008816CD" w:rsidP="008816CD">
      <w:pPr>
        <w:spacing w:after="0"/>
        <w:rPr>
          <w:rFonts w:ascii="Gill Sans MT" w:hAnsi="Gill Sans MT"/>
        </w:rPr>
      </w:pPr>
      <w:r w:rsidRPr="00133CC2">
        <w:rPr>
          <w:rFonts w:ascii="Gill Sans MT" w:hAnsi="Gill Sans MT"/>
        </w:rPr>
        <w:t xml:space="preserve">Bandura, A., 1983, Self-efficacy determinants of anticipated fears and calamities, </w:t>
      </w:r>
      <w:r w:rsidRPr="00133CC2">
        <w:rPr>
          <w:rFonts w:ascii="Gill Sans MT" w:hAnsi="Gill Sans MT"/>
          <w:i/>
        </w:rPr>
        <w:t>Journal of Personality and Social Psychology</w:t>
      </w:r>
      <w:r w:rsidRPr="00133CC2">
        <w:rPr>
          <w:rFonts w:ascii="Gill Sans MT" w:hAnsi="Gill Sans MT"/>
        </w:rPr>
        <w:t>, 45(2), 464-469.</w:t>
      </w:r>
    </w:p>
    <w:p w14:paraId="322DC070" w14:textId="77777777" w:rsidR="008816CD" w:rsidRPr="00133CC2" w:rsidRDefault="008816CD" w:rsidP="008816CD">
      <w:pPr>
        <w:spacing w:after="0"/>
        <w:rPr>
          <w:rFonts w:ascii="Gill Sans MT" w:hAnsi="Gill Sans MT"/>
        </w:rPr>
      </w:pPr>
      <w:r w:rsidRPr="00133CC2">
        <w:rPr>
          <w:rFonts w:ascii="Gill Sans MT" w:hAnsi="Gill Sans MT"/>
        </w:rPr>
        <w:t xml:space="preserve">Bandura, A., 1984, Recycling misconceptions of perceived self-efficacy, </w:t>
      </w:r>
      <w:r w:rsidRPr="00133CC2">
        <w:rPr>
          <w:rFonts w:ascii="Gill Sans MT" w:hAnsi="Gill Sans MT"/>
          <w:i/>
        </w:rPr>
        <w:t>Cognitive Therapy and Research</w:t>
      </w:r>
      <w:r w:rsidRPr="00133CC2">
        <w:rPr>
          <w:rFonts w:ascii="Gill Sans MT" w:hAnsi="Gill Sans MT"/>
        </w:rPr>
        <w:t>, 8(3), 231-255.</w:t>
      </w:r>
    </w:p>
    <w:p w14:paraId="203C45AE" w14:textId="77777777" w:rsidR="008816CD" w:rsidRPr="00133CC2" w:rsidRDefault="008816CD" w:rsidP="008816CD">
      <w:pPr>
        <w:spacing w:after="0"/>
        <w:rPr>
          <w:rFonts w:ascii="Gill Sans MT" w:hAnsi="Gill Sans MT"/>
        </w:rPr>
      </w:pPr>
      <w:r w:rsidRPr="00133CC2">
        <w:rPr>
          <w:rFonts w:ascii="Gill Sans MT" w:hAnsi="Gill Sans MT"/>
        </w:rPr>
        <w:lastRenderedPageBreak/>
        <w:t xml:space="preserve">Bandura, A., 1986, </w:t>
      </w:r>
      <w:r w:rsidRPr="00133CC2">
        <w:rPr>
          <w:rFonts w:ascii="Gill Sans MT" w:hAnsi="Gill Sans MT"/>
          <w:i/>
        </w:rPr>
        <w:t>Social foundations of thought and action: A social cognitive theory</w:t>
      </w:r>
      <w:r w:rsidRPr="00133CC2">
        <w:rPr>
          <w:rFonts w:ascii="Gill Sans MT" w:hAnsi="Gill Sans MT"/>
        </w:rPr>
        <w:t>, Englewood Cliffs NJ, Prentice-Hall.</w:t>
      </w:r>
    </w:p>
    <w:p w14:paraId="4349F881" w14:textId="77777777" w:rsidR="008816CD" w:rsidRPr="00133CC2" w:rsidRDefault="008816CD" w:rsidP="008816CD">
      <w:pPr>
        <w:spacing w:after="0"/>
        <w:rPr>
          <w:rFonts w:ascii="Gill Sans MT" w:hAnsi="Gill Sans MT"/>
        </w:rPr>
      </w:pPr>
      <w:r w:rsidRPr="00133CC2">
        <w:rPr>
          <w:rFonts w:ascii="Gill Sans MT" w:hAnsi="Gill Sans MT"/>
        </w:rPr>
        <w:t xml:space="preserve">Bandura, A., 1989, Human agency in social cognitive theory, </w:t>
      </w:r>
      <w:r w:rsidRPr="00133CC2">
        <w:rPr>
          <w:rFonts w:ascii="Gill Sans MT" w:hAnsi="Gill Sans MT"/>
          <w:i/>
        </w:rPr>
        <w:t>American Psychologist</w:t>
      </w:r>
      <w:r w:rsidRPr="00133CC2">
        <w:rPr>
          <w:rFonts w:ascii="Gill Sans MT" w:hAnsi="Gill Sans MT"/>
        </w:rPr>
        <w:t>, 44(9), 1175-1184.</w:t>
      </w:r>
    </w:p>
    <w:p w14:paraId="07CF53F8" w14:textId="77777777" w:rsidR="008816CD" w:rsidRPr="00133CC2" w:rsidRDefault="008816CD" w:rsidP="008816CD">
      <w:pPr>
        <w:spacing w:after="0"/>
        <w:rPr>
          <w:rFonts w:ascii="Gill Sans MT" w:hAnsi="Gill Sans MT"/>
        </w:rPr>
      </w:pPr>
      <w:r w:rsidRPr="00133CC2">
        <w:rPr>
          <w:rFonts w:ascii="Gill Sans MT" w:hAnsi="Gill Sans MT"/>
        </w:rPr>
        <w:t xml:space="preserve">Bandura, A., 1991, Social cognitive theory of self-regulation, </w:t>
      </w:r>
      <w:r w:rsidRPr="00133CC2">
        <w:rPr>
          <w:rFonts w:ascii="Gill Sans MT" w:hAnsi="Gill Sans MT"/>
          <w:i/>
        </w:rPr>
        <w:t>Organizational Behaviour and Human Decision Processes</w:t>
      </w:r>
      <w:r w:rsidRPr="00133CC2">
        <w:rPr>
          <w:rFonts w:ascii="Gill Sans MT" w:hAnsi="Gill Sans MT"/>
        </w:rPr>
        <w:t>, 50(2), 248-286.</w:t>
      </w:r>
    </w:p>
    <w:p w14:paraId="37D5022C" w14:textId="77777777" w:rsidR="008816CD" w:rsidRPr="00133CC2" w:rsidRDefault="008816CD" w:rsidP="008816CD">
      <w:pPr>
        <w:spacing w:after="0"/>
        <w:rPr>
          <w:rFonts w:ascii="Gill Sans MT" w:hAnsi="Gill Sans MT"/>
        </w:rPr>
      </w:pPr>
      <w:r w:rsidRPr="00133CC2">
        <w:rPr>
          <w:rFonts w:ascii="Gill Sans MT" w:hAnsi="Gill Sans MT"/>
        </w:rPr>
        <w:t xml:space="preserve">Bandura, A., 1995, Comments on the crusade against the causal efficacy of human thought, </w:t>
      </w:r>
      <w:r w:rsidRPr="00133CC2">
        <w:rPr>
          <w:rFonts w:ascii="Gill Sans MT" w:hAnsi="Gill Sans MT"/>
          <w:i/>
        </w:rPr>
        <w:t>Journal of Behaviour Therapy and Experimental Psychiatry</w:t>
      </w:r>
      <w:r w:rsidRPr="00133CC2">
        <w:rPr>
          <w:rFonts w:ascii="Gill Sans MT" w:hAnsi="Gill Sans MT"/>
        </w:rPr>
        <w:t>, 26(3), 179-190.</w:t>
      </w:r>
    </w:p>
    <w:p w14:paraId="01C12ADA" w14:textId="77777777" w:rsidR="008816CD" w:rsidRPr="00133CC2" w:rsidRDefault="008816CD" w:rsidP="008816CD">
      <w:pPr>
        <w:spacing w:after="0"/>
        <w:rPr>
          <w:rFonts w:ascii="Gill Sans MT" w:hAnsi="Gill Sans MT"/>
        </w:rPr>
      </w:pPr>
      <w:r w:rsidRPr="00133CC2">
        <w:rPr>
          <w:rFonts w:ascii="Gill Sans MT" w:hAnsi="Gill Sans MT"/>
        </w:rPr>
        <w:t xml:space="preserve">Bandura, A., 1995, Exercise of personal and collective efficacy in changing societies, IN: Bandura, A., (Ed), </w:t>
      </w:r>
      <w:r w:rsidRPr="00133CC2">
        <w:rPr>
          <w:rFonts w:ascii="Gill Sans MT" w:hAnsi="Gill Sans MT"/>
          <w:i/>
        </w:rPr>
        <w:t>Self-efficacy in changing societies</w:t>
      </w:r>
      <w:r w:rsidRPr="00133CC2">
        <w:rPr>
          <w:rFonts w:ascii="Gill Sans MT" w:hAnsi="Gill Sans MT"/>
        </w:rPr>
        <w:t>, Cambridge, Cambridge University Press.</w:t>
      </w:r>
    </w:p>
    <w:p w14:paraId="6A95B101" w14:textId="77777777" w:rsidR="008816CD" w:rsidRPr="00133CC2" w:rsidRDefault="008816CD" w:rsidP="008816CD">
      <w:pPr>
        <w:spacing w:after="0"/>
        <w:rPr>
          <w:rFonts w:ascii="Gill Sans MT" w:hAnsi="Gill Sans MT"/>
        </w:rPr>
      </w:pPr>
      <w:r w:rsidRPr="00133CC2">
        <w:rPr>
          <w:rFonts w:ascii="Gill Sans MT" w:hAnsi="Gill Sans MT"/>
        </w:rPr>
        <w:t xml:space="preserve">Bandura, A., 1997a, </w:t>
      </w:r>
      <w:r w:rsidRPr="00133CC2">
        <w:rPr>
          <w:rFonts w:ascii="Gill Sans MT" w:hAnsi="Gill Sans MT"/>
          <w:i/>
        </w:rPr>
        <w:t>Self-efficacy - the exercise of control</w:t>
      </w:r>
      <w:r w:rsidRPr="00133CC2">
        <w:rPr>
          <w:rFonts w:ascii="Gill Sans MT" w:hAnsi="Gill Sans MT"/>
        </w:rPr>
        <w:t>, New York, W.H. Freeman &amp; Co.</w:t>
      </w:r>
    </w:p>
    <w:p w14:paraId="0BB45BF8" w14:textId="77777777" w:rsidR="008816CD" w:rsidRPr="00133CC2" w:rsidRDefault="008816CD" w:rsidP="008816CD">
      <w:pPr>
        <w:spacing w:after="0"/>
        <w:rPr>
          <w:rFonts w:ascii="Gill Sans MT" w:hAnsi="Gill Sans MT"/>
        </w:rPr>
      </w:pPr>
      <w:r w:rsidRPr="00133CC2">
        <w:rPr>
          <w:rFonts w:ascii="Gill Sans MT" w:hAnsi="Gill Sans MT"/>
        </w:rPr>
        <w:t xml:space="preserve">Bandura, A., 1997b, </w:t>
      </w:r>
      <w:r w:rsidRPr="00133CC2">
        <w:rPr>
          <w:rFonts w:ascii="Gill Sans MT" w:hAnsi="Gill Sans MT"/>
          <w:i/>
        </w:rPr>
        <w:t>Self-efficacy in changing societies</w:t>
      </w:r>
      <w:r w:rsidRPr="00133CC2">
        <w:rPr>
          <w:rFonts w:ascii="Gill Sans MT" w:hAnsi="Gill Sans MT"/>
        </w:rPr>
        <w:t>, Cambridge, Cambridge University Press.</w:t>
      </w:r>
    </w:p>
    <w:p w14:paraId="2138F317" w14:textId="77777777" w:rsidR="008816CD" w:rsidRPr="00133CC2" w:rsidRDefault="008816CD" w:rsidP="008816CD">
      <w:pPr>
        <w:spacing w:after="0"/>
        <w:rPr>
          <w:rFonts w:ascii="Gill Sans MT" w:hAnsi="Gill Sans MT"/>
        </w:rPr>
      </w:pPr>
      <w:r w:rsidRPr="00133CC2">
        <w:rPr>
          <w:rFonts w:ascii="Gill Sans MT" w:hAnsi="Gill Sans MT"/>
        </w:rPr>
        <w:t xml:space="preserve">Bandura, A., 2000, Exercise of human agency through collective efficacy, </w:t>
      </w:r>
      <w:r w:rsidRPr="00133CC2">
        <w:rPr>
          <w:rFonts w:ascii="Gill Sans MT" w:hAnsi="Gill Sans MT"/>
          <w:i/>
        </w:rPr>
        <w:t>Current Directions in Psychological Science</w:t>
      </w:r>
      <w:r w:rsidRPr="00133CC2">
        <w:rPr>
          <w:rFonts w:ascii="Gill Sans MT" w:hAnsi="Gill Sans MT"/>
        </w:rPr>
        <w:t>, 9(3), 75-78.</w:t>
      </w:r>
    </w:p>
    <w:p w14:paraId="20D28376" w14:textId="77777777" w:rsidR="008816CD" w:rsidRPr="00133CC2" w:rsidRDefault="008816CD" w:rsidP="008816CD">
      <w:pPr>
        <w:spacing w:after="0"/>
        <w:rPr>
          <w:rFonts w:ascii="Gill Sans MT" w:hAnsi="Gill Sans MT"/>
        </w:rPr>
      </w:pPr>
      <w:r w:rsidRPr="00133CC2">
        <w:rPr>
          <w:rFonts w:ascii="Gill Sans MT" w:hAnsi="Gill Sans MT"/>
        </w:rPr>
        <w:t xml:space="preserve">Bandura, A., 2001, Social cognitive theory: an agentic perspective, </w:t>
      </w:r>
      <w:r w:rsidRPr="00133CC2">
        <w:rPr>
          <w:rFonts w:ascii="Gill Sans MT" w:hAnsi="Gill Sans MT"/>
          <w:i/>
        </w:rPr>
        <w:t>Annual Review of Psychology</w:t>
      </w:r>
      <w:r w:rsidRPr="00133CC2">
        <w:rPr>
          <w:rFonts w:ascii="Gill Sans MT" w:hAnsi="Gill Sans MT"/>
        </w:rPr>
        <w:t>, 52, 1-26.</w:t>
      </w:r>
    </w:p>
    <w:p w14:paraId="470A11FF" w14:textId="77777777" w:rsidR="008816CD" w:rsidRPr="00133CC2" w:rsidRDefault="008816CD" w:rsidP="008816CD">
      <w:pPr>
        <w:spacing w:after="0"/>
        <w:rPr>
          <w:rFonts w:ascii="Gill Sans MT" w:hAnsi="Gill Sans MT"/>
        </w:rPr>
      </w:pPr>
      <w:r w:rsidRPr="00133CC2">
        <w:rPr>
          <w:rFonts w:ascii="Gill Sans MT" w:hAnsi="Gill Sans MT"/>
        </w:rPr>
        <w:t xml:space="preserve">Bandura, A., 2006, Adolescent development from an agentic perspective, IN: Pajares, F., Urdan, T., </w:t>
      </w:r>
      <w:r w:rsidRPr="00133CC2">
        <w:rPr>
          <w:rFonts w:ascii="Gill Sans MT" w:hAnsi="Gill Sans MT"/>
          <w:i/>
        </w:rPr>
        <w:t>Self-efficacy beliefs of adolescents</w:t>
      </w:r>
      <w:r w:rsidRPr="00133CC2">
        <w:rPr>
          <w:rFonts w:ascii="Gill Sans MT" w:hAnsi="Gill Sans MT"/>
        </w:rPr>
        <w:t>, Greenwich CT, IAP.</w:t>
      </w:r>
    </w:p>
    <w:p w14:paraId="68612C17" w14:textId="77777777" w:rsidR="008816CD" w:rsidRPr="00133CC2" w:rsidRDefault="008816CD" w:rsidP="008816CD">
      <w:pPr>
        <w:spacing w:after="0"/>
        <w:rPr>
          <w:rFonts w:ascii="Gill Sans MT" w:hAnsi="Gill Sans MT"/>
        </w:rPr>
      </w:pPr>
      <w:r w:rsidRPr="00133CC2">
        <w:rPr>
          <w:rFonts w:ascii="Gill Sans MT" w:hAnsi="Gill Sans MT"/>
        </w:rPr>
        <w:t xml:space="preserve">Bandura, A., 2007, Much ado over a fault conception of perceived self-efficacy grounded in faulty experimentation, </w:t>
      </w:r>
      <w:r w:rsidRPr="00133CC2">
        <w:rPr>
          <w:rFonts w:ascii="Gill Sans MT" w:hAnsi="Gill Sans MT"/>
          <w:i/>
        </w:rPr>
        <w:t>Journal of Social and Clinical Psychology</w:t>
      </w:r>
      <w:r w:rsidRPr="00133CC2">
        <w:rPr>
          <w:rFonts w:ascii="Gill Sans MT" w:hAnsi="Gill Sans MT"/>
        </w:rPr>
        <w:t>, 26(6), 641-658.</w:t>
      </w:r>
    </w:p>
    <w:p w14:paraId="72E560FE" w14:textId="77777777" w:rsidR="008816CD" w:rsidRPr="00133CC2" w:rsidRDefault="008816CD" w:rsidP="008816CD">
      <w:pPr>
        <w:spacing w:after="0"/>
        <w:rPr>
          <w:rFonts w:ascii="Gill Sans MT" w:hAnsi="Gill Sans MT"/>
        </w:rPr>
      </w:pPr>
      <w:r w:rsidRPr="00133CC2">
        <w:rPr>
          <w:rFonts w:ascii="Gill Sans MT" w:hAnsi="Gill Sans MT"/>
        </w:rPr>
        <w:t xml:space="preserve">Bandura, A., 2012, On the functional properties of perceived self-efficacy revisited, </w:t>
      </w:r>
      <w:r w:rsidRPr="00133CC2">
        <w:rPr>
          <w:rFonts w:ascii="Gill Sans MT" w:hAnsi="Gill Sans MT"/>
          <w:i/>
        </w:rPr>
        <w:t>Journal of Management</w:t>
      </w:r>
      <w:r w:rsidRPr="00133CC2">
        <w:rPr>
          <w:rFonts w:ascii="Gill Sans MT" w:hAnsi="Gill Sans MT"/>
        </w:rPr>
        <w:t>, 38(1), 9-44.</w:t>
      </w:r>
    </w:p>
    <w:p w14:paraId="64C6ED07" w14:textId="77777777" w:rsidR="008816CD" w:rsidRPr="00133CC2" w:rsidRDefault="008816CD" w:rsidP="008816CD">
      <w:pPr>
        <w:spacing w:after="0"/>
        <w:rPr>
          <w:rFonts w:ascii="Gill Sans MT" w:hAnsi="Gill Sans MT"/>
        </w:rPr>
      </w:pPr>
      <w:r w:rsidRPr="00133CC2">
        <w:rPr>
          <w:rFonts w:ascii="Gill Sans MT" w:hAnsi="Gill Sans MT"/>
        </w:rPr>
        <w:t xml:space="preserve">Bandura, A., 2015, On deconstructing commentaries regarding alternative theories of self-regulation, </w:t>
      </w:r>
      <w:r w:rsidRPr="00133CC2">
        <w:rPr>
          <w:rFonts w:ascii="Gill Sans MT" w:hAnsi="Gill Sans MT"/>
          <w:i/>
        </w:rPr>
        <w:t>Journal of Management</w:t>
      </w:r>
      <w:r w:rsidRPr="00133CC2">
        <w:rPr>
          <w:rFonts w:ascii="Gill Sans MT" w:hAnsi="Gill Sans MT"/>
        </w:rPr>
        <w:t>, 41(4), 1025-1044.</w:t>
      </w:r>
    </w:p>
    <w:p w14:paraId="3E801004" w14:textId="77777777" w:rsidR="008816CD" w:rsidRPr="00133CC2" w:rsidRDefault="008816CD" w:rsidP="008816CD">
      <w:pPr>
        <w:spacing w:after="0"/>
        <w:rPr>
          <w:rFonts w:ascii="Gill Sans MT" w:hAnsi="Gill Sans MT"/>
        </w:rPr>
      </w:pPr>
      <w:r w:rsidRPr="00133CC2">
        <w:rPr>
          <w:rFonts w:ascii="Gill Sans MT" w:hAnsi="Gill Sans MT"/>
        </w:rPr>
        <w:t xml:space="preserve">Bandura, A., Cervone, D., 1986, Differential engagement of self-reactive influences in cognitive motivation, </w:t>
      </w:r>
      <w:r w:rsidRPr="00133CC2">
        <w:rPr>
          <w:rFonts w:ascii="Gill Sans MT" w:hAnsi="Gill Sans MT"/>
          <w:i/>
        </w:rPr>
        <w:t>Organizational Behavior and Human Decision Processes</w:t>
      </w:r>
      <w:r w:rsidRPr="00133CC2">
        <w:rPr>
          <w:rFonts w:ascii="Gill Sans MT" w:hAnsi="Gill Sans MT"/>
        </w:rPr>
        <w:t>, 38(1), 92-113.</w:t>
      </w:r>
    </w:p>
    <w:p w14:paraId="51F34790" w14:textId="77777777" w:rsidR="008816CD" w:rsidRPr="00133CC2" w:rsidRDefault="008816CD" w:rsidP="008816CD">
      <w:pPr>
        <w:spacing w:after="0"/>
        <w:rPr>
          <w:rFonts w:ascii="Gill Sans MT" w:hAnsi="Gill Sans MT"/>
        </w:rPr>
      </w:pPr>
      <w:r w:rsidRPr="00133CC2">
        <w:rPr>
          <w:rFonts w:ascii="Gill Sans MT" w:hAnsi="Gill Sans MT"/>
        </w:rPr>
        <w:t xml:space="preserve">Bandura, A., Reese, L., Adams, N.E., 1982, Microanalysis of action and fear arousal as a function of differential levels of perceived self-efficacy, </w:t>
      </w:r>
      <w:r w:rsidRPr="00133CC2">
        <w:rPr>
          <w:rFonts w:ascii="Gill Sans MT" w:hAnsi="Gill Sans MT"/>
          <w:i/>
        </w:rPr>
        <w:t>Journal of Personality and Social Psychology</w:t>
      </w:r>
      <w:r w:rsidRPr="00133CC2">
        <w:rPr>
          <w:rFonts w:ascii="Gill Sans MT" w:hAnsi="Gill Sans MT"/>
        </w:rPr>
        <w:t>, 43(1), 5-21.</w:t>
      </w:r>
    </w:p>
    <w:p w14:paraId="7D0D3E8B" w14:textId="77777777" w:rsidR="008816CD" w:rsidRPr="00133CC2" w:rsidRDefault="008816CD" w:rsidP="008816CD">
      <w:pPr>
        <w:spacing w:after="0"/>
        <w:rPr>
          <w:rFonts w:ascii="Gill Sans MT" w:hAnsi="Gill Sans MT"/>
        </w:rPr>
      </w:pPr>
      <w:r w:rsidRPr="00133CC2">
        <w:rPr>
          <w:rFonts w:ascii="Gill Sans MT" w:hAnsi="Gill Sans MT"/>
        </w:rPr>
        <w:t xml:space="preserve">Bandura, A., Schunk, D.H., Cultivating competence: self-efficacy and intrinsic interest through proximal self-motivation, </w:t>
      </w:r>
      <w:r w:rsidRPr="00133CC2">
        <w:rPr>
          <w:rFonts w:ascii="Gill Sans MT" w:hAnsi="Gill Sans MT"/>
          <w:i/>
        </w:rPr>
        <w:t>Journal of Personality and Social Psychology</w:t>
      </w:r>
      <w:r w:rsidRPr="00133CC2">
        <w:rPr>
          <w:rFonts w:ascii="Gill Sans MT" w:hAnsi="Gill Sans MT"/>
        </w:rPr>
        <w:t>, 41(3), 586-598.</w:t>
      </w:r>
    </w:p>
    <w:p w14:paraId="00255588" w14:textId="77777777" w:rsidR="008816CD" w:rsidRDefault="008816CD" w:rsidP="008816CD">
      <w:pPr>
        <w:spacing w:after="0"/>
        <w:rPr>
          <w:rFonts w:ascii="Gill Sans MT" w:hAnsi="Gill Sans MT"/>
        </w:rPr>
      </w:pPr>
      <w:r w:rsidRPr="00133CC2">
        <w:rPr>
          <w:rFonts w:ascii="Gill Sans MT" w:hAnsi="Gill Sans MT"/>
        </w:rPr>
        <w:t xml:space="preserve">Barnette, J.J., 2000, Effects of stem and Likert response option reversals on survey internal consistency: if you feel the need, there is a better alternative to using those negatively worded stems, </w:t>
      </w:r>
      <w:r w:rsidRPr="00133CC2">
        <w:rPr>
          <w:rFonts w:ascii="Gill Sans MT" w:hAnsi="Gill Sans MT"/>
          <w:i/>
        </w:rPr>
        <w:t>Educational and Psychological Measurement</w:t>
      </w:r>
      <w:r w:rsidRPr="00133CC2">
        <w:rPr>
          <w:rFonts w:ascii="Gill Sans MT" w:hAnsi="Gill Sans MT"/>
        </w:rPr>
        <w:t>, 60(3), 361-370.</w:t>
      </w:r>
    </w:p>
    <w:p w14:paraId="334EFFC6" w14:textId="77777777" w:rsidR="008816CD" w:rsidRPr="00745075" w:rsidRDefault="008816CD" w:rsidP="008816CD">
      <w:pPr>
        <w:spacing w:after="0"/>
        <w:rPr>
          <w:rFonts w:ascii="Gill Sans MT" w:hAnsi="Gill Sans MT"/>
        </w:rPr>
      </w:pPr>
      <w:r>
        <w:rPr>
          <w:rFonts w:ascii="Gill Sans MT" w:hAnsi="Gill Sans MT"/>
        </w:rPr>
        <w:t xml:space="preserve">Barrett, A., 2005, Dyslexia and confidence in university undergraduates, </w:t>
      </w:r>
      <w:r>
        <w:rPr>
          <w:rFonts w:ascii="Gill Sans MT" w:hAnsi="Gill Sans MT"/>
          <w:i/>
        </w:rPr>
        <w:t>Unpublished undergraduate dissertation</w:t>
      </w:r>
      <w:r>
        <w:rPr>
          <w:rFonts w:ascii="Gill Sans MT" w:hAnsi="Gill Sans MT"/>
        </w:rPr>
        <w:t>, University of Wales.</w:t>
      </w:r>
    </w:p>
    <w:p w14:paraId="78B71FB3" w14:textId="77777777" w:rsidR="008816CD" w:rsidRPr="00133CC2" w:rsidRDefault="008816CD" w:rsidP="008816CD">
      <w:pPr>
        <w:spacing w:after="0"/>
        <w:rPr>
          <w:rFonts w:ascii="Gill Sans MT" w:hAnsi="Gill Sans MT"/>
        </w:rPr>
      </w:pPr>
      <w:r w:rsidRPr="00133CC2">
        <w:rPr>
          <w:rFonts w:ascii="Gill Sans MT" w:hAnsi="Gill Sans MT"/>
        </w:rPr>
        <w:t xml:space="preserve">Basham, J.D., Marino, M.T., 2013, Understanding STEM education and supporting students through universal design for learning, </w:t>
      </w:r>
      <w:r w:rsidRPr="00133CC2">
        <w:rPr>
          <w:rFonts w:ascii="Gill Sans MT" w:hAnsi="Gill Sans MT"/>
          <w:i/>
        </w:rPr>
        <w:t>Teaching Exceptional Children</w:t>
      </w:r>
      <w:r w:rsidRPr="00133CC2">
        <w:rPr>
          <w:rFonts w:ascii="Gill Sans MT" w:hAnsi="Gill Sans MT"/>
        </w:rPr>
        <w:t>, Mar/Apr 2013, 8-15.</w:t>
      </w:r>
    </w:p>
    <w:p w14:paraId="24481D46" w14:textId="4B5A7920" w:rsidR="008816CD" w:rsidRDefault="008816CD" w:rsidP="008816CD">
      <w:pPr>
        <w:spacing w:after="0"/>
        <w:rPr>
          <w:rFonts w:ascii="Gill Sans MT" w:hAnsi="Gill Sans MT"/>
        </w:rPr>
      </w:pPr>
      <w:r w:rsidRPr="00133CC2">
        <w:rPr>
          <w:rFonts w:ascii="Gill Sans MT" w:hAnsi="Gill Sans MT"/>
        </w:rPr>
        <w:t xml:space="preserve">Beacham, N., Szumko, J., 2005, </w:t>
      </w:r>
      <w:r w:rsidRPr="00133CC2">
        <w:rPr>
          <w:rFonts w:ascii="Gill Sans MT" w:hAnsi="Gill Sans MT"/>
          <w:i/>
        </w:rPr>
        <w:t>Dyslexsim</w:t>
      </w:r>
      <w:r w:rsidRPr="00133CC2">
        <w:rPr>
          <w:rFonts w:ascii="Gill Sans MT" w:hAnsi="Gill Sans MT"/>
        </w:rPr>
        <w:t>, Iansyst, Cambridge.</w:t>
      </w:r>
      <w:r w:rsidR="00A1269D">
        <w:rPr>
          <w:rFonts w:ascii="Gill Sans MT" w:hAnsi="Gill Sans MT"/>
        </w:rPr>
        <w:t xml:space="preserve"> </w:t>
      </w:r>
    </w:p>
    <w:p w14:paraId="68E5A913" w14:textId="22B17E8B" w:rsidR="00A1269D" w:rsidRPr="00133CC2" w:rsidRDefault="00A1269D" w:rsidP="008816CD">
      <w:pPr>
        <w:spacing w:after="0"/>
        <w:rPr>
          <w:rFonts w:ascii="Gill Sans MT" w:hAnsi="Gill Sans MT"/>
        </w:rPr>
      </w:pPr>
      <w:r>
        <w:rPr>
          <w:rFonts w:ascii="Gill Sans MT" w:hAnsi="Gill Sans MT"/>
        </w:rPr>
        <w:lastRenderedPageBreak/>
        <w:t>Beacham, N.A, Alty, J.L., 2006, An investigation into the effects that digital media can have on the learning outcomes of individuals who have dyslexia,</w:t>
      </w:r>
      <w:r>
        <w:rPr>
          <w:rFonts w:ascii="Gill Sans MT" w:hAnsi="Gill Sans MT"/>
          <w:i/>
          <w:iCs/>
        </w:rPr>
        <w:t xml:space="preserve"> Computers and Education, </w:t>
      </w:r>
      <w:r>
        <w:rPr>
          <w:rFonts w:ascii="Gill Sans MT" w:hAnsi="Gill Sans MT"/>
        </w:rPr>
        <w:t xml:space="preserve">47(3), 74-93. </w:t>
      </w:r>
    </w:p>
    <w:p w14:paraId="7D97DB05" w14:textId="77777777" w:rsidR="008816CD" w:rsidRDefault="008816CD" w:rsidP="008816CD">
      <w:pPr>
        <w:spacing w:after="0"/>
        <w:rPr>
          <w:rFonts w:ascii="Gill Sans MT" w:hAnsi="Gill Sans MT"/>
        </w:rPr>
      </w:pPr>
      <w:r w:rsidRPr="00133CC2">
        <w:rPr>
          <w:rFonts w:ascii="Gill Sans MT" w:hAnsi="Gill Sans MT"/>
        </w:rPr>
        <w:t xml:space="preserve">Beauchamp-Prior, K., 2013, How representative are disabled students in the Higher Education System? In: </w:t>
      </w:r>
      <w:r w:rsidRPr="00133CC2">
        <w:rPr>
          <w:rFonts w:ascii="Gill Sans MT" w:hAnsi="Gill Sans MT"/>
          <w:i/>
        </w:rPr>
        <w:t>Disabled students in Welsh Higher Education</w:t>
      </w:r>
      <w:r w:rsidRPr="00133CC2">
        <w:rPr>
          <w:rFonts w:ascii="Gill Sans MT" w:hAnsi="Gill Sans MT"/>
        </w:rPr>
        <w:t xml:space="preserve"> 53-77, SensePublishers.</w:t>
      </w:r>
    </w:p>
    <w:p w14:paraId="45BA51CB" w14:textId="77777777" w:rsidR="008816CD" w:rsidRPr="00DC6932" w:rsidRDefault="008816CD" w:rsidP="008816CD">
      <w:pPr>
        <w:spacing w:after="0"/>
        <w:rPr>
          <w:rFonts w:ascii="Gill Sans MT" w:hAnsi="Gill Sans MT"/>
        </w:rPr>
      </w:pPr>
      <w:r>
        <w:rPr>
          <w:rFonts w:ascii="Gill Sans MT" w:hAnsi="Gill Sans MT"/>
        </w:rPr>
        <w:t xml:space="preserve">Beidas, H., Asaid, K., Breznitz, Z., 2013, The cognitive profile of adult dyslexics and its relation to their reading abilities, </w:t>
      </w:r>
      <w:r>
        <w:rPr>
          <w:rFonts w:ascii="Gill Sans MT" w:hAnsi="Gill Sans MT"/>
          <w:i/>
          <w:iCs/>
        </w:rPr>
        <w:t>Reading and Writing</w:t>
      </w:r>
      <w:r>
        <w:rPr>
          <w:rFonts w:ascii="Gill Sans MT" w:hAnsi="Gill Sans MT"/>
        </w:rPr>
        <w:t>, 26(9), 1487-1515.</w:t>
      </w:r>
    </w:p>
    <w:p w14:paraId="17E09FB5" w14:textId="77777777" w:rsidR="008816CD" w:rsidRDefault="008816CD" w:rsidP="008816CD">
      <w:pPr>
        <w:spacing w:before="240" w:after="0"/>
        <w:rPr>
          <w:rFonts w:ascii="Gill Sans MT" w:hAnsi="Gill Sans MT"/>
        </w:rPr>
      </w:pPr>
      <w:r w:rsidRPr="00460631">
        <w:rPr>
          <w:rFonts w:ascii="Gill Sans MT" w:hAnsi="Gill Sans MT"/>
        </w:rPr>
        <w:t xml:space="preserve">Belger, J., Chelin, J., 2013, The inclusive library: An investigation into provision for students with dyslexia within a sample group of academic libraries in England and Wales, </w:t>
      </w:r>
      <w:r w:rsidRPr="00460631">
        <w:rPr>
          <w:rFonts w:ascii="Gill Sans MT" w:hAnsi="Gill Sans MT"/>
          <w:i/>
        </w:rPr>
        <w:t>Library and Information Research</w:t>
      </w:r>
      <w:r w:rsidRPr="00460631">
        <w:rPr>
          <w:rFonts w:ascii="Gill Sans MT" w:hAnsi="Gill Sans MT"/>
        </w:rPr>
        <w:t>, 37(115), 7-32.</w:t>
      </w:r>
    </w:p>
    <w:p w14:paraId="1F5B96C2" w14:textId="77777777" w:rsidR="008816CD" w:rsidRDefault="008816CD" w:rsidP="008816CD">
      <w:pPr>
        <w:spacing w:after="0"/>
        <w:rPr>
          <w:rFonts w:ascii="Gill Sans MT" w:hAnsi="Gill Sans MT"/>
        </w:rPr>
      </w:pPr>
      <w:r w:rsidRPr="00133CC2">
        <w:rPr>
          <w:rFonts w:ascii="Gill Sans MT" w:hAnsi="Gill Sans MT"/>
        </w:rPr>
        <w:t xml:space="preserve">Bell, F., 2011, Connectivism: its place in theory-informed research and innovation in technology-enabled learning, </w:t>
      </w:r>
      <w:r w:rsidRPr="00133CC2">
        <w:rPr>
          <w:rFonts w:ascii="Gill Sans MT" w:hAnsi="Gill Sans MT"/>
          <w:i/>
        </w:rPr>
        <w:t>The International Review of Research in Open and Distributed Learning</w:t>
      </w:r>
      <w:r w:rsidRPr="00133CC2">
        <w:rPr>
          <w:rFonts w:ascii="Gill Sans MT" w:hAnsi="Gill Sans MT"/>
        </w:rPr>
        <w:t>, 12(3), 98-118.</w:t>
      </w:r>
    </w:p>
    <w:p w14:paraId="17B34634" w14:textId="77777777" w:rsidR="008816CD" w:rsidRDefault="008816CD" w:rsidP="008816CD">
      <w:pPr>
        <w:spacing w:after="0"/>
        <w:rPr>
          <w:rFonts w:ascii="Gill Sans MT" w:hAnsi="Gill Sans MT"/>
        </w:rPr>
      </w:pPr>
      <w:r w:rsidRPr="00133CC2">
        <w:rPr>
          <w:rFonts w:ascii="Gill Sans MT" w:hAnsi="Gill Sans MT"/>
        </w:rPr>
        <w:t xml:space="preserve">Bell, S., McPhillips, T., Doveston, M., 2011, How do teachers in Ireland and England conceptualise dyslexia? </w:t>
      </w:r>
      <w:r w:rsidRPr="00133CC2">
        <w:rPr>
          <w:rFonts w:ascii="Gill Sans MT" w:hAnsi="Gill Sans MT"/>
          <w:i/>
        </w:rPr>
        <w:t>Journal of Research in Reading</w:t>
      </w:r>
      <w:r w:rsidRPr="00133CC2">
        <w:rPr>
          <w:rFonts w:ascii="Gill Sans MT" w:hAnsi="Gill Sans MT"/>
        </w:rPr>
        <w:t xml:space="preserve">, 34(2), 171-192. </w:t>
      </w:r>
    </w:p>
    <w:p w14:paraId="67ECA8E4" w14:textId="3956F7BC" w:rsidR="008C2E73" w:rsidRDefault="008816CD" w:rsidP="008816CD">
      <w:pPr>
        <w:spacing w:after="0"/>
        <w:rPr>
          <w:rFonts w:ascii="Gill Sans MT" w:hAnsi="Gill Sans MT"/>
        </w:rPr>
      </w:pPr>
      <w:r w:rsidRPr="009533E1">
        <w:rPr>
          <w:rFonts w:ascii="Gill Sans MT" w:hAnsi="Gill Sans MT"/>
        </w:rPr>
        <w:t xml:space="preserve">Bellocchi, S., Muneaux, M., Bastien-Toniazzo, M., Ducrot, S., 2013, I can read it in your eyes: What eve movements tell us about visuo-attentional processes in developmental dyslexia, </w:t>
      </w:r>
      <w:r w:rsidRPr="009533E1">
        <w:rPr>
          <w:rFonts w:ascii="Gill Sans MT" w:hAnsi="Gill Sans MT"/>
          <w:i/>
        </w:rPr>
        <w:t>Research in Developmental Disabilities</w:t>
      </w:r>
      <w:r w:rsidRPr="009533E1">
        <w:rPr>
          <w:rFonts w:ascii="Gill Sans MT" w:hAnsi="Gill Sans MT"/>
        </w:rPr>
        <w:t>, 34, 452-460.</w:t>
      </w:r>
    </w:p>
    <w:p w14:paraId="586AAA22" w14:textId="04BD07AC" w:rsidR="002669DC" w:rsidRPr="002669DC" w:rsidRDefault="002669DC" w:rsidP="008816CD">
      <w:pPr>
        <w:spacing w:after="0"/>
        <w:rPr>
          <w:rFonts w:ascii="Gill Sans MT" w:hAnsi="Gill Sans MT"/>
        </w:rPr>
      </w:pPr>
      <w:r>
        <w:rPr>
          <w:rFonts w:ascii="Gill Sans MT" w:hAnsi="Gill Sans MT"/>
        </w:rPr>
        <w:t xml:space="preserve">Bergery, B.W., Deacon, H., Parrila, R.K., 2017, Metacognitive reading and study strategies and academic achievement of university students with and without a history of reading difficulties, </w:t>
      </w:r>
      <w:r>
        <w:rPr>
          <w:rFonts w:ascii="Gill Sans MT" w:hAnsi="Gill Sans MT"/>
          <w:i/>
          <w:iCs/>
        </w:rPr>
        <w:t>Journal of Learning Disabilities</w:t>
      </w:r>
      <w:r>
        <w:rPr>
          <w:rFonts w:ascii="Gill Sans MT" w:hAnsi="Gill Sans MT"/>
        </w:rPr>
        <w:t>, 50(1), 81-94.</w:t>
      </w:r>
    </w:p>
    <w:p w14:paraId="2E0C742C" w14:textId="20823896" w:rsidR="008816CD" w:rsidRDefault="008816CD" w:rsidP="008816CD">
      <w:pPr>
        <w:spacing w:after="0"/>
        <w:rPr>
          <w:rFonts w:ascii="Gill Sans MT" w:hAnsi="Gill Sans MT"/>
        </w:rPr>
      </w:pPr>
      <w:r w:rsidRPr="00133CC2">
        <w:rPr>
          <w:rFonts w:ascii="Gill Sans MT" w:hAnsi="Gill Sans MT"/>
        </w:rPr>
        <w:t xml:space="preserve">Berget, G., 2016, Search and find? An accessibility study of dyslexia and information retrieval, </w:t>
      </w:r>
      <w:r w:rsidRPr="00133CC2">
        <w:rPr>
          <w:rFonts w:ascii="Gill Sans MT" w:hAnsi="Gill Sans MT"/>
          <w:i/>
        </w:rPr>
        <w:t>Unpublished PhD thesis</w:t>
      </w:r>
      <w:r w:rsidRPr="00133CC2">
        <w:rPr>
          <w:rFonts w:ascii="Gill Sans MT" w:hAnsi="Gill Sans MT"/>
        </w:rPr>
        <w:t>, University of Oslo.</w:t>
      </w:r>
    </w:p>
    <w:p w14:paraId="3EC1945B" w14:textId="423C5B41" w:rsidR="008C2E73" w:rsidRPr="00133CC2" w:rsidRDefault="008C2E73" w:rsidP="008816CD">
      <w:pPr>
        <w:spacing w:after="0"/>
        <w:rPr>
          <w:rFonts w:ascii="Gill Sans MT" w:hAnsi="Gill Sans MT"/>
        </w:rPr>
      </w:pPr>
      <w:r>
        <w:rPr>
          <w:rFonts w:ascii="Gill Sans MT" w:hAnsi="Gill Sans MT"/>
        </w:rPr>
        <w:t>Berget, G., Sandness, F.E., 2015, Searching databases without query-building aids: implications for dyslexic users, Information Research, 20(4)</w:t>
      </w:r>
      <w:r w:rsidR="00BC5761">
        <w:rPr>
          <w:rFonts w:ascii="Gill Sans MT" w:hAnsi="Gill Sans MT"/>
        </w:rPr>
        <w:t>.</w:t>
      </w:r>
    </w:p>
    <w:p w14:paraId="2ED19573" w14:textId="77777777" w:rsidR="008816CD" w:rsidRPr="00133CC2" w:rsidRDefault="008816CD" w:rsidP="008816CD">
      <w:pPr>
        <w:spacing w:after="0"/>
        <w:rPr>
          <w:rFonts w:ascii="Gill Sans MT" w:hAnsi="Gill Sans MT"/>
        </w:rPr>
      </w:pPr>
      <w:r w:rsidRPr="00133CC2">
        <w:rPr>
          <w:rFonts w:ascii="Gill Sans MT" w:hAnsi="Gill Sans MT"/>
        </w:rPr>
        <w:t xml:space="preserve">Berget, G., Herstad, J., Sandnes, F.E., 2016, Search, read and write: an inquiry into web accessibility for people with dyslexia, </w:t>
      </w:r>
      <w:r w:rsidRPr="00133CC2">
        <w:rPr>
          <w:rFonts w:ascii="Gill Sans MT" w:hAnsi="Gill Sans MT"/>
          <w:i/>
        </w:rPr>
        <w:t>Universal Design 2016: Learning from the Past, Designing for the Future: Proceedings of the 3rd International Conference on Universal Design</w:t>
      </w:r>
      <w:r w:rsidRPr="00133CC2">
        <w:rPr>
          <w:rFonts w:ascii="Gill Sans MT" w:hAnsi="Gill Sans MT"/>
        </w:rPr>
        <w:t>, 21st-24th August 2016, York, UK.</w:t>
      </w:r>
    </w:p>
    <w:p w14:paraId="395F31F9" w14:textId="77777777" w:rsidR="008816CD" w:rsidRDefault="008816CD" w:rsidP="008816CD">
      <w:pPr>
        <w:spacing w:after="0"/>
        <w:rPr>
          <w:rFonts w:ascii="Gill Sans MT" w:hAnsi="Gill Sans MT"/>
        </w:rPr>
      </w:pPr>
      <w:r w:rsidRPr="00133CC2">
        <w:rPr>
          <w:rFonts w:ascii="Gill Sans MT" w:hAnsi="Gill Sans MT"/>
        </w:rPr>
        <w:t xml:space="preserve">Betancur, M.I.G., King, G., 2014, Using mind-mapping as a method to help ESL/EFL students connect vocabulary and concepts in different formats, </w:t>
      </w:r>
      <w:r w:rsidRPr="00133CC2">
        <w:rPr>
          <w:rFonts w:ascii="Gill Sans MT" w:hAnsi="Gill Sans MT"/>
          <w:i/>
        </w:rPr>
        <w:t>Revista Trilogia</w:t>
      </w:r>
      <w:r>
        <w:rPr>
          <w:rFonts w:ascii="Gill Sans MT" w:hAnsi="Gill Sans MT"/>
        </w:rPr>
        <w:t>, 10, 69-85.</w:t>
      </w:r>
    </w:p>
    <w:p w14:paraId="140CE517" w14:textId="77777777" w:rsidR="008816CD" w:rsidRPr="00133CC2" w:rsidRDefault="008816CD" w:rsidP="008816CD">
      <w:pPr>
        <w:spacing w:after="0"/>
        <w:rPr>
          <w:rFonts w:ascii="Gill Sans MT" w:hAnsi="Gill Sans MT"/>
        </w:rPr>
      </w:pPr>
      <w:r w:rsidRPr="00133CC2">
        <w:rPr>
          <w:rFonts w:ascii="Gill Sans MT" w:hAnsi="Gill Sans MT"/>
        </w:rPr>
        <w:t>Bevel, R.K., Mit</w:t>
      </w:r>
      <w:r>
        <w:rPr>
          <w:rFonts w:ascii="Gill Sans MT" w:hAnsi="Gill Sans MT"/>
        </w:rPr>
        <w:t>ch</w:t>
      </w:r>
      <w:r w:rsidRPr="00133CC2">
        <w:rPr>
          <w:rFonts w:ascii="Gill Sans MT" w:hAnsi="Gill Sans MT"/>
        </w:rPr>
        <w:t xml:space="preserve">ell, R.M., 2012, The effects of academic optimism on elementary reading achievement, </w:t>
      </w:r>
      <w:r w:rsidRPr="00133CC2">
        <w:rPr>
          <w:rFonts w:ascii="Gill Sans MT" w:hAnsi="Gill Sans MT"/>
          <w:i/>
        </w:rPr>
        <w:t>Journal of Educational Administration</w:t>
      </w:r>
      <w:r w:rsidRPr="00133CC2">
        <w:rPr>
          <w:rFonts w:ascii="Gill Sans MT" w:hAnsi="Gill Sans MT"/>
        </w:rPr>
        <w:t>, 50(6), 773-787.</w:t>
      </w:r>
    </w:p>
    <w:p w14:paraId="4DBD6FB5" w14:textId="77777777" w:rsidR="008816CD" w:rsidRPr="00133CC2" w:rsidRDefault="008816CD" w:rsidP="008816CD">
      <w:pPr>
        <w:spacing w:after="0"/>
        <w:rPr>
          <w:rFonts w:ascii="Gill Sans MT" w:hAnsi="Gill Sans MT"/>
        </w:rPr>
      </w:pPr>
      <w:r w:rsidRPr="00133CC2">
        <w:rPr>
          <w:rFonts w:ascii="Gill Sans MT" w:hAnsi="Gill Sans MT"/>
        </w:rPr>
        <w:t xml:space="preserve">Bishop, J.L., Verleger, M.A., 2013, The flipped classroom: A survey of the research, </w:t>
      </w:r>
      <w:r w:rsidRPr="00133CC2">
        <w:rPr>
          <w:rFonts w:ascii="Gill Sans MT" w:hAnsi="Gill Sans MT"/>
          <w:i/>
        </w:rPr>
        <w:t>ASEE National Conference Proceedings</w:t>
      </w:r>
      <w:r w:rsidRPr="00133CC2">
        <w:rPr>
          <w:rFonts w:ascii="Gill Sans MT" w:hAnsi="Gill Sans MT"/>
        </w:rPr>
        <w:t>, Atlanta, GA, 30(9), 1-18.</w:t>
      </w:r>
    </w:p>
    <w:p w14:paraId="7773501D" w14:textId="77777777" w:rsidR="008816CD" w:rsidRPr="00382E04" w:rsidRDefault="008816CD" w:rsidP="008816CD">
      <w:pPr>
        <w:spacing w:after="0"/>
        <w:rPr>
          <w:rFonts w:ascii="Gill Sans MT" w:hAnsi="Gill Sans MT"/>
          <w:i/>
        </w:rPr>
      </w:pPr>
      <w:r>
        <w:rPr>
          <w:rFonts w:ascii="Gill Sans MT" w:hAnsi="Gill Sans MT"/>
        </w:rPr>
        <w:t xml:space="preserve">Blackburne, L.K., Eddy, M.D., Kaira, P., Yee., Sinha, P., Gabrieli, J.D.E., 2014, Neural correlates of letter reversal in children and adults, </w:t>
      </w:r>
      <w:r>
        <w:rPr>
          <w:rFonts w:ascii="Gill Sans MT" w:hAnsi="Gill Sans MT"/>
          <w:i/>
        </w:rPr>
        <w:t>PloSONE 9(5), e98386</w:t>
      </w:r>
    </w:p>
    <w:p w14:paraId="1DD54ED1" w14:textId="77777777" w:rsidR="008816CD" w:rsidRPr="00133CC2" w:rsidRDefault="008816CD" w:rsidP="008816CD">
      <w:pPr>
        <w:spacing w:after="0"/>
        <w:rPr>
          <w:rFonts w:ascii="Gill Sans MT" w:hAnsi="Gill Sans MT"/>
        </w:rPr>
      </w:pPr>
      <w:r w:rsidRPr="00133CC2">
        <w:rPr>
          <w:rFonts w:ascii="Gill Sans MT" w:hAnsi="Gill Sans MT"/>
        </w:rPr>
        <w:t xml:space="preserve">Bong, M., 1997a, Congruence of measurement specificity on relations between academic self-efficacy, effort and achievement indices, </w:t>
      </w:r>
      <w:r w:rsidRPr="00133CC2">
        <w:rPr>
          <w:rFonts w:ascii="Gill Sans MT" w:hAnsi="Gill Sans MT"/>
          <w:i/>
        </w:rPr>
        <w:t>Paper presented at the Annual Meeting of the American Educational Research Association</w:t>
      </w:r>
      <w:r w:rsidRPr="00133CC2">
        <w:rPr>
          <w:rFonts w:ascii="Gill Sans MT" w:hAnsi="Gill Sans MT"/>
        </w:rPr>
        <w:t>, Chicago, IL.</w:t>
      </w:r>
    </w:p>
    <w:p w14:paraId="1B3D5928" w14:textId="77777777" w:rsidR="008816CD" w:rsidRPr="00133CC2" w:rsidRDefault="008816CD" w:rsidP="008816CD">
      <w:pPr>
        <w:spacing w:after="0"/>
        <w:rPr>
          <w:rFonts w:ascii="Gill Sans MT" w:hAnsi="Gill Sans MT"/>
        </w:rPr>
      </w:pPr>
      <w:r w:rsidRPr="00133CC2">
        <w:rPr>
          <w:rFonts w:ascii="Gill Sans MT" w:hAnsi="Gill Sans MT"/>
        </w:rPr>
        <w:t xml:space="preserve">Bong, M., 1997b, Generality of academic self-efficacy judgments: evidence of hierarchical relations, </w:t>
      </w:r>
      <w:r w:rsidRPr="00133CC2">
        <w:rPr>
          <w:rFonts w:ascii="Gill Sans MT" w:hAnsi="Gill Sans MT"/>
          <w:i/>
        </w:rPr>
        <w:t>Journal of Educational Psychology</w:t>
      </w:r>
      <w:r w:rsidRPr="00133CC2">
        <w:rPr>
          <w:rFonts w:ascii="Gill Sans MT" w:hAnsi="Gill Sans MT"/>
        </w:rPr>
        <w:t>, 89(4), 696-709.</w:t>
      </w:r>
    </w:p>
    <w:p w14:paraId="1B9213F9" w14:textId="77777777" w:rsidR="008816CD" w:rsidRPr="00133CC2" w:rsidRDefault="008816CD" w:rsidP="008816CD">
      <w:pPr>
        <w:spacing w:after="0"/>
        <w:rPr>
          <w:rFonts w:ascii="Gill Sans MT" w:hAnsi="Gill Sans MT"/>
        </w:rPr>
      </w:pPr>
      <w:r w:rsidRPr="00133CC2">
        <w:rPr>
          <w:rFonts w:ascii="Gill Sans MT" w:hAnsi="Gill Sans MT"/>
        </w:rPr>
        <w:lastRenderedPageBreak/>
        <w:t>Bong, M., 1998a, Personal factors affecting the generality of academic self-efficacy judgments: gender, ethnicity and relative expertise</w:t>
      </w:r>
      <w:r w:rsidRPr="00133CC2">
        <w:rPr>
          <w:rFonts w:ascii="Gill Sans MT" w:hAnsi="Gill Sans MT"/>
          <w:i/>
        </w:rPr>
        <w:t>, Paper presented at the Annual Meeting of the American Educational Research Association</w:t>
      </w:r>
      <w:r w:rsidRPr="00133CC2">
        <w:rPr>
          <w:rFonts w:ascii="Gill Sans MT" w:hAnsi="Gill Sans MT"/>
        </w:rPr>
        <w:t>, San Diego, CA.</w:t>
      </w:r>
    </w:p>
    <w:p w14:paraId="4E14F306" w14:textId="77777777" w:rsidR="008816CD" w:rsidRPr="00133CC2" w:rsidRDefault="008816CD" w:rsidP="008816CD">
      <w:pPr>
        <w:spacing w:after="0"/>
        <w:rPr>
          <w:rFonts w:ascii="Gill Sans MT" w:hAnsi="Gill Sans MT"/>
        </w:rPr>
      </w:pPr>
      <w:r w:rsidRPr="00133CC2">
        <w:rPr>
          <w:rFonts w:ascii="Gill Sans MT" w:hAnsi="Gill Sans MT"/>
        </w:rPr>
        <w:t xml:space="preserve">Bong, M., 1998b, Tests of the Internal/External frames of reference model with subject-specific academic self-efficacy and frame-specific academic self-concepts, </w:t>
      </w:r>
      <w:r w:rsidRPr="00133CC2">
        <w:rPr>
          <w:rFonts w:ascii="Gill Sans MT" w:hAnsi="Gill Sans MT"/>
          <w:i/>
        </w:rPr>
        <w:t>Journal of Educational Psychology</w:t>
      </w:r>
      <w:r w:rsidRPr="00133CC2">
        <w:rPr>
          <w:rFonts w:ascii="Gill Sans MT" w:hAnsi="Gill Sans MT"/>
        </w:rPr>
        <w:t>, 90(1), 102-110.</w:t>
      </w:r>
    </w:p>
    <w:p w14:paraId="14BC1688" w14:textId="77777777" w:rsidR="008816CD" w:rsidRPr="00133CC2" w:rsidRDefault="008816CD" w:rsidP="008816CD">
      <w:pPr>
        <w:spacing w:after="0"/>
        <w:rPr>
          <w:rFonts w:ascii="Gill Sans MT" w:hAnsi="Gill Sans MT"/>
        </w:rPr>
      </w:pPr>
      <w:r w:rsidRPr="00133CC2">
        <w:rPr>
          <w:rFonts w:ascii="Gill Sans MT" w:hAnsi="Gill Sans MT"/>
        </w:rPr>
        <w:t xml:space="preserve">Bong, M., 1999, Role of self-efficacy and task-value in predicting college students' course performance and future enrolment intentions, </w:t>
      </w:r>
      <w:r w:rsidRPr="00133CC2">
        <w:rPr>
          <w:rFonts w:ascii="Gill Sans MT" w:hAnsi="Gill Sans MT"/>
          <w:i/>
        </w:rPr>
        <w:t>Paper presented at the Annual Convention of the American Psychological Association</w:t>
      </w:r>
      <w:r w:rsidRPr="00133CC2">
        <w:rPr>
          <w:rFonts w:ascii="Gill Sans MT" w:hAnsi="Gill Sans MT"/>
        </w:rPr>
        <w:t>, Boston, MA.</w:t>
      </w:r>
    </w:p>
    <w:p w14:paraId="0EB921B9" w14:textId="77777777" w:rsidR="008816CD" w:rsidRPr="00133CC2" w:rsidRDefault="008816CD" w:rsidP="008816CD">
      <w:pPr>
        <w:spacing w:after="0"/>
        <w:rPr>
          <w:rFonts w:ascii="Gill Sans MT" w:hAnsi="Gill Sans MT"/>
        </w:rPr>
      </w:pPr>
      <w:r w:rsidRPr="00133CC2">
        <w:rPr>
          <w:rFonts w:ascii="Gill Sans MT" w:hAnsi="Gill Sans MT"/>
        </w:rPr>
        <w:t xml:space="preserve">Bong, M., 2001, Measuring self-efficacy: multi-trait multi-method comparison of scaling procedures, </w:t>
      </w:r>
      <w:r w:rsidRPr="00133CC2">
        <w:rPr>
          <w:rFonts w:ascii="Gill Sans MT" w:hAnsi="Gill Sans MT"/>
          <w:i/>
        </w:rPr>
        <w:t>Paper presented at the Annual Meeting of the American Educational Research Association</w:t>
      </w:r>
      <w:r w:rsidRPr="00133CC2">
        <w:rPr>
          <w:rFonts w:ascii="Gill Sans MT" w:hAnsi="Gill Sans MT"/>
        </w:rPr>
        <w:t>, Seattle, WA.</w:t>
      </w:r>
    </w:p>
    <w:p w14:paraId="6F4F602A" w14:textId="77777777" w:rsidR="008816CD" w:rsidRPr="00133CC2" w:rsidRDefault="008816CD" w:rsidP="008816CD">
      <w:pPr>
        <w:spacing w:after="0"/>
        <w:rPr>
          <w:rFonts w:ascii="Gill Sans MT" w:hAnsi="Gill Sans MT"/>
        </w:rPr>
      </w:pPr>
      <w:r w:rsidRPr="00133CC2">
        <w:rPr>
          <w:rFonts w:ascii="Gill Sans MT" w:hAnsi="Gill Sans MT"/>
        </w:rPr>
        <w:t>Bong, M., 2002, Stability and structure of self-efficacy, task-value and achievement goals and consistency of their relations across specific and general academic contexts and across the school year</w:t>
      </w:r>
      <w:r w:rsidRPr="00133CC2">
        <w:rPr>
          <w:rFonts w:ascii="Gill Sans MT" w:hAnsi="Gill Sans MT"/>
          <w:i/>
        </w:rPr>
        <w:t>, Paper presented at the Annual Meeting of the American Educational Research Association</w:t>
      </w:r>
      <w:r w:rsidRPr="00133CC2">
        <w:rPr>
          <w:rFonts w:ascii="Gill Sans MT" w:hAnsi="Gill Sans MT"/>
        </w:rPr>
        <w:t>, New Orleans, LA.</w:t>
      </w:r>
    </w:p>
    <w:p w14:paraId="532920AB" w14:textId="77777777" w:rsidR="008816CD" w:rsidRDefault="008816CD" w:rsidP="008816CD">
      <w:pPr>
        <w:spacing w:after="0"/>
        <w:rPr>
          <w:rFonts w:ascii="Gill Sans MT" w:hAnsi="Gill Sans MT"/>
        </w:rPr>
      </w:pPr>
      <w:r w:rsidRPr="00133CC2">
        <w:rPr>
          <w:rFonts w:ascii="Gill Sans MT" w:hAnsi="Gill Sans MT"/>
        </w:rPr>
        <w:t xml:space="preserve">Bong, M., Skaalvik, E.M., 2003, Academic self-concept and self-efficacy: how different are they really? </w:t>
      </w:r>
      <w:r w:rsidRPr="00133CC2">
        <w:rPr>
          <w:rFonts w:ascii="Gill Sans MT" w:hAnsi="Gill Sans MT"/>
          <w:i/>
        </w:rPr>
        <w:t>Educational Psychology Review</w:t>
      </w:r>
      <w:r w:rsidRPr="00133CC2">
        <w:rPr>
          <w:rFonts w:ascii="Gill Sans MT" w:hAnsi="Gill Sans MT"/>
        </w:rPr>
        <w:t>, 15(1), 1-40.</w:t>
      </w:r>
    </w:p>
    <w:p w14:paraId="6BD7323C" w14:textId="77777777" w:rsidR="008816CD" w:rsidRPr="000D39C9" w:rsidRDefault="008816CD" w:rsidP="008816CD">
      <w:pPr>
        <w:spacing w:after="0"/>
        <w:rPr>
          <w:rFonts w:ascii="Gill Sans MT" w:hAnsi="Gill Sans MT"/>
        </w:rPr>
      </w:pPr>
      <w:r>
        <w:rPr>
          <w:rFonts w:ascii="Gill Sans MT" w:hAnsi="Gill Sans MT"/>
        </w:rPr>
        <w:t xml:space="preserve">Borkowski, J.G., Estrada, M.T., Milstead, M., Hale, C.A., 1989, General problem-solving skills: relations between metacognition and strategic processing, </w:t>
      </w:r>
      <w:r>
        <w:rPr>
          <w:rFonts w:ascii="Gill Sans MT" w:hAnsi="Gill Sans MT"/>
          <w:i/>
        </w:rPr>
        <w:t>Learning Disabilities Quarterly</w:t>
      </w:r>
      <w:r>
        <w:rPr>
          <w:rFonts w:ascii="Gill Sans MT" w:hAnsi="Gill Sans MT"/>
        </w:rPr>
        <w:t>, 12(1), 57-70.</w:t>
      </w:r>
    </w:p>
    <w:p w14:paraId="39AF1A23" w14:textId="77777777" w:rsidR="008816CD" w:rsidRPr="00133CC2" w:rsidRDefault="008816CD" w:rsidP="008816CD">
      <w:pPr>
        <w:spacing w:after="0"/>
        <w:rPr>
          <w:rFonts w:ascii="Gill Sans MT" w:hAnsi="Gill Sans MT"/>
        </w:rPr>
      </w:pPr>
      <w:r w:rsidRPr="00133CC2">
        <w:rPr>
          <w:rFonts w:ascii="Gill Sans MT" w:hAnsi="Gill Sans MT"/>
        </w:rPr>
        <w:t xml:space="preserve">Bosscher, R.J., Smit, J.H., 1998, Confirmatory factor analysis of the general self-efficacy scale, </w:t>
      </w:r>
      <w:r w:rsidRPr="00133CC2">
        <w:rPr>
          <w:rFonts w:ascii="Gill Sans MT" w:hAnsi="Gill Sans MT"/>
          <w:i/>
        </w:rPr>
        <w:t>Behaviour Research and Therapy</w:t>
      </w:r>
      <w:r w:rsidRPr="00133CC2">
        <w:rPr>
          <w:rFonts w:ascii="Gill Sans MT" w:hAnsi="Gill Sans MT"/>
        </w:rPr>
        <w:t>, 36(3), 339-343.</w:t>
      </w:r>
    </w:p>
    <w:p w14:paraId="0D8A91C0" w14:textId="77777777" w:rsidR="008816CD" w:rsidRPr="00133CC2" w:rsidRDefault="008816CD" w:rsidP="008816CD">
      <w:pPr>
        <w:spacing w:after="0"/>
        <w:rPr>
          <w:rFonts w:ascii="Gill Sans MT" w:hAnsi="Gill Sans MT"/>
        </w:rPr>
      </w:pPr>
      <w:r w:rsidRPr="00133CC2">
        <w:rPr>
          <w:rFonts w:ascii="Gill Sans MT" w:hAnsi="Gill Sans MT"/>
        </w:rPr>
        <w:t xml:space="preserve">Bosse, M-L., Tainturier, M.J., Valdois, S., 2007, Developmental dyslexia: the visual span attention deficit hypothesis, </w:t>
      </w:r>
      <w:r w:rsidRPr="00133CC2">
        <w:rPr>
          <w:rFonts w:ascii="Gill Sans MT" w:hAnsi="Gill Sans MT"/>
          <w:i/>
        </w:rPr>
        <w:t>Cognition</w:t>
      </w:r>
      <w:r w:rsidRPr="00133CC2">
        <w:rPr>
          <w:rFonts w:ascii="Gill Sans MT" w:hAnsi="Gill Sans MT"/>
        </w:rPr>
        <w:t xml:space="preserve">, 104, 198-230. </w:t>
      </w:r>
    </w:p>
    <w:p w14:paraId="18062ED8" w14:textId="77777777" w:rsidR="008816CD" w:rsidRPr="00133CC2" w:rsidRDefault="008816CD" w:rsidP="008816CD">
      <w:pPr>
        <w:spacing w:after="0"/>
        <w:rPr>
          <w:rFonts w:ascii="Gill Sans MT" w:hAnsi="Gill Sans MT"/>
        </w:rPr>
      </w:pPr>
      <w:r w:rsidRPr="00133CC2">
        <w:rPr>
          <w:rFonts w:ascii="Gill Sans MT" w:hAnsi="Gill Sans MT"/>
        </w:rPr>
        <w:t xml:space="preserve">Bosworth, T.H., Murray, M.E., 1983, Locus of control and achievement motivation in dyslexic children, </w:t>
      </w:r>
      <w:r w:rsidRPr="00133CC2">
        <w:rPr>
          <w:rFonts w:ascii="Gill Sans MT" w:hAnsi="Gill Sans MT"/>
          <w:i/>
        </w:rPr>
        <w:t>Journal of Developmental &amp; Behavioral Paediatrics</w:t>
      </w:r>
      <w:r w:rsidRPr="00133CC2">
        <w:rPr>
          <w:rFonts w:ascii="Gill Sans MT" w:hAnsi="Gill Sans MT"/>
        </w:rPr>
        <w:t xml:space="preserve">, 4(4), 253-256. </w:t>
      </w:r>
    </w:p>
    <w:p w14:paraId="403FE1DF" w14:textId="77777777" w:rsidR="008816CD" w:rsidRPr="00133CC2" w:rsidRDefault="008816CD" w:rsidP="008816CD">
      <w:pPr>
        <w:spacing w:after="0"/>
        <w:rPr>
          <w:rFonts w:ascii="Gill Sans MT" w:hAnsi="Gill Sans MT"/>
        </w:rPr>
      </w:pPr>
      <w:r w:rsidRPr="00133CC2">
        <w:rPr>
          <w:rFonts w:ascii="Gill Sans MT" w:hAnsi="Gill Sans MT"/>
        </w:rPr>
        <w:t xml:space="preserve">Bower, G.H., Gilligan, S.G., Monteiro, K.P., 1981, Selectivity of learning caused by affective states, </w:t>
      </w:r>
      <w:r w:rsidRPr="00133CC2">
        <w:rPr>
          <w:rFonts w:ascii="Gill Sans MT" w:hAnsi="Gill Sans MT"/>
          <w:i/>
        </w:rPr>
        <w:t>Journal of Experimental Psychology: General</w:t>
      </w:r>
      <w:r w:rsidRPr="00133CC2">
        <w:rPr>
          <w:rFonts w:ascii="Gill Sans MT" w:hAnsi="Gill Sans MT"/>
        </w:rPr>
        <w:t>, 110(4), 451-473.</w:t>
      </w:r>
    </w:p>
    <w:p w14:paraId="6DC8F3D6" w14:textId="77777777" w:rsidR="008816CD" w:rsidRDefault="008816CD" w:rsidP="008816CD">
      <w:pPr>
        <w:spacing w:after="0"/>
        <w:rPr>
          <w:rFonts w:ascii="Gill Sans MT" w:hAnsi="Gill Sans MT"/>
        </w:rPr>
      </w:pPr>
      <w:r w:rsidRPr="00133CC2">
        <w:rPr>
          <w:rFonts w:ascii="Gill Sans MT" w:hAnsi="Gill Sans MT"/>
        </w:rPr>
        <w:t xml:space="preserve">Bowers-Brown, T., 2006, Widening participation in higher education amongst students from disadvantaged socio-economic groups, </w:t>
      </w:r>
      <w:r w:rsidRPr="00133CC2">
        <w:rPr>
          <w:rFonts w:ascii="Gill Sans MT" w:hAnsi="Gill Sans MT"/>
          <w:i/>
        </w:rPr>
        <w:t>Tertiary Education and Management</w:t>
      </w:r>
      <w:r w:rsidRPr="00133CC2">
        <w:rPr>
          <w:rFonts w:ascii="Gill Sans MT" w:hAnsi="Gill Sans MT"/>
        </w:rPr>
        <w:t>, 12(1), 59-74.</w:t>
      </w:r>
    </w:p>
    <w:p w14:paraId="513F520D" w14:textId="77777777" w:rsidR="008816CD" w:rsidRPr="00133CC2" w:rsidRDefault="008816CD" w:rsidP="008816CD">
      <w:pPr>
        <w:spacing w:after="0"/>
        <w:rPr>
          <w:rFonts w:ascii="Gill Sans MT" w:hAnsi="Gill Sans MT"/>
        </w:rPr>
      </w:pPr>
      <w:r w:rsidRPr="00133CC2">
        <w:rPr>
          <w:rFonts w:ascii="Gill Sans MT" w:hAnsi="Gill Sans MT"/>
        </w:rPr>
        <w:t xml:space="preserve">Boyle, G.J., Saklofske, D.H., Matthews, G., 2015, </w:t>
      </w:r>
      <w:r w:rsidRPr="00133CC2">
        <w:rPr>
          <w:rFonts w:ascii="Gill Sans MT" w:hAnsi="Gill Sans MT"/>
          <w:i/>
        </w:rPr>
        <w:t>Measures of Personality and Social Psychological Constructs</w:t>
      </w:r>
      <w:r>
        <w:rPr>
          <w:rFonts w:ascii="Gill Sans MT" w:hAnsi="Gill Sans MT"/>
        </w:rPr>
        <w:t>, London, Academic Press.</w:t>
      </w:r>
    </w:p>
    <w:p w14:paraId="053B9990" w14:textId="77777777" w:rsidR="008816CD" w:rsidRPr="00133CC2" w:rsidRDefault="008816CD" w:rsidP="008816CD">
      <w:pPr>
        <w:spacing w:after="0"/>
        <w:rPr>
          <w:rFonts w:ascii="Gill Sans MT" w:hAnsi="Gill Sans MT"/>
        </w:rPr>
      </w:pPr>
      <w:r w:rsidRPr="00133CC2">
        <w:rPr>
          <w:rFonts w:ascii="Gill Sans MT" w:hAnsi="Gill Sans MT"/>
        </w:rPr>
        <w:t xml:space="preserve">Brady, S.A., Shankwiler, D.P., 1991, </w:t>
      </w:r>
      <w:r w:rsidRPr="00133CC2">
        <w:rPr>
          <w:rFonts w:ascii="Gill Sans MT" w:hAnsi="Gill Sans MT"/>
          <w:i/>
        </w:rPr>
        <w:t>Phonological processes in literacy: A tribute to Isabelle Y. Liberman</w:t>
      </w:r>
      <w:r w:rsidRPr="00133CC2">
        <w:rPr>
          <w:rFonts w:ascii="Gill Sans MT" w:hAnsi="Gill Sans MT"/>
        </w:rPr>
        <w:t xml:space="preserve">, New York, Routledge </w:t>
      </w:r>
    </w:p>
    <w:p w14:paraId="5A7EDECF" w14:textId="77777777" w:rsidR="008816CD" w:rsidRPr="00133CC2" w:rsidRDefault="008816CD" w:rsidP="008816CD">
      <w:pPr>
        <w:spacing w:after="0"/>
        <w:rPr>
          <w:rFonts w:ascii="Gill Sans MT" w:hAnsi="Gill Sans MT"/>
        </w:rPr>
      </w:pPr>
      <w:r w:rsidRPr="00133CC2">
        <w:rPr>
          <w:rFonts w:ascii="Gill Sans MT" w:hAnsi="Gill Sans MT"/>
        </w:rPr>
        <w:t xml:space="preserve">Braithwaite, R., Corr, P.J., 2016, Hans Eysenck, education and the experimental approach: A meta-analysis of academic capabilities in university students, </w:t>
      </w:r>
      <w:r w:rsidRPr="00133CC2">
        <w:rPr>
          <w:rFonts w:ascii="Gill Sans MT" w:hAnsi="Gill Sans MT"/>
          <w:i/>
        </w:rPr>
        <w:t>Personality and Individual Differences</w:t>
      </w:r>
      <w:r w:rsidRPr="00133CC2">
        <w:rPr>
          <w:rFonts w:ascii="Gill Sans MT" w:hAnsi="Gill Sans MT"/>
        </w:rPr>
        <w:t>, 103, 163-171.</w:t>
      </w:r>
    </w:p>
    <w:p w14:paraId="50369F90" w14:textId="77777777" w:rsidR="008816CD" w:rsidRPr="00133CC2" w:rsidRDefault="008816CD" w:rsidP="008816CD">
      <w:pPr>
        <w:spacing w:after="0"/>
        <w:rPr>
          <w:rFonts w:ascii="Gill Sans MT" w:hAnsi="Gill Sans MT"/>
        </w:rPr>
      </w:pPr>
      <w:r w:rsidRPr="00133CC2">
        <w:rPr>
          <w:rFonts w:ascii="Gill Sans MT" w:hAnsi="Gill Sans MT"/>
        </w:rPr>
        <w:t xml:space="preserve">Bredo, E., 1997, The Social Construction of Learning, IN: Phye, G.D. (Ed), </w:t>
      </w:r>
      <w:r w:rsidRPr="00133CC2">
        <w:rPr>
          <w:rFonts w:ascii="Gill Sans MT" w:hAnsi="Gill Sans MT"/>
          <w:i/>
        </w:rPr>
        <w:t>Handbook of Academic Learning</w:t>
      </w:r>
      <w:r w:rsidRPr="00133CC2">
        <w:rPr>
          <w:rFonts w:ascii="Gill Sans MT" w:hAnsi="Gill Sans MT"/>
        </w:rPr>
        <w:t>, San Diego, Academic Press.</w:t>
      </w:r>
    </w:p>
    <w:p w14:paraId="5A943486" w14:textId="77777777" w:rsidR="008816CD" w:rsidRDefault="008816CD" w:rsidP="008816CD">
      <w:pPr>
        <w:spacing w:after="0"/>
        <w:rPr>
          <w:rFonts w:ascii="Gill Sans MT" w:hAnsi="Gill Sans MT"/>
        </w:rPr>
      </w:pPr>
      <w:r w:rsidRPr="00133CC2">
        <w:rPr>
          <w:rFonts w:ascii="Gill Sans MT" w:hAnsi="Gill Sans MT"/>
        </w:rPr>
        <w:t xml:space="preserve">Brief, A.P., Burke, M.J., George, J.M., Robinson, B.S., Webster, J., 1988, Should negative affectivity remain an unmeasured variable in the study of job stress? </w:t>
      </w:r>
      <w:r w:rsidRPr="00133CC2">
        <w:rPr>
          <w:rFonts w:ascii="Gill Sans MT" w:hAnsi="Gill Sans MT"/>
          <w:i/>
        </w:rPr>
        <w:t>Journal of Applied Psychology</w:t>
      </w:r>
      <w:r w:rsidRPr="00133CC2">
        <w:rPr>
          <w:rFonts w:ascii="Gill Sans MT" w:hAnsi="Gill Sans MT"/>
        </w:rPr>
        <w:t>, 73, 193-198.</w:t>
      </w:r>
    </w:p>
    <w:p w14:paraId="02AFD106" w14:textId="77777777" w:rsidR="008816CD" w:rsidRPr="00641284" w:rsidRDefault="008816CD" w:rsidP="008816CD">
      <w:pPr>
        <w:spacing w:after="0"/>
        <w:rPr>
          <w:rFonts w:ascii="Gill Sans MT" w:hAnsi="Gill Sans MT"/>
        </w:rPr>
      </w:pPr>
      <w:r>
        <w:rPr>
          <w:rFonts w:ascii="Gill Sans MT" w:hAnsi="Gill Sans MT"/>
        </w:rPr>
        <w:t xml:space="preserve">British Dyslexia Association (BDA), 2007, </w:t>
      </w:r>
      <w:r>
        <w:rPr>
          <w:rFonts w:ascii="Gill Sans MT" w:hAnsi="Gill Sans MT"/>
          <w:i/>
        </w:rPr>
        <w:t>Definition of dyslexia [(previously) available at http://www.bdadyslexia.org.uk, Accessed 25 August 2009]</w:t>
      </w:r>
      <w:r>
        <w:rPr>
          <w:rFonts w:ascii="Gill Sans MT" w:hAnsi="Gill Sans MT"/>
        </w:rPr>
        <w:t xml:space="preserve">, IN: Lapraik, S.J., 2012, Dyslexic students preparing </w:t>
      </w:r>
      <w:r>
        <w:rPr>
          <w:rFonts w:ascii="Gill Sans MT" w:hAnsi="Gill Sans MT"/>
        </w:rPr>
        <w:lastRenderedPageBreak/>
        <w:t xml:space="preserve">for examinations in higher education: strategies and a sense of control, </w:t>
      </w:r>
      <w:r>
        <w:rPr>
          <w:rFonts w:ascii="Gill Sans MT" w:hAnsi="Gill Sans MT"/>
          <w:i/>
        </w:rPr>
        <w:t>Unpublished doctoral thesis</w:t>
      </w:r>
      <w:r>
        <w:rPr>
          <w:rFonts w:ascii="Gill Sans MT" w:hAnsi="Gill Sans MT"/>
        </w:rPr>
        <w:t>, University of Southampton.</w:t>
      </w:r>
    </w:p>
    <w:p w14:paraId="2DF28C94" w14:textId="77777777" w:rsidR="008816CD" w:rsidRPr="00D85A90" w:rsidRDefault="008816CD" w:rsidP="008816CD">
      <w:pPr>
        <w:spacing w:after="0"/>
        <w:rPr>
          <w:rFonts w:ascii="Gill Sans MT" w:hAnsi="Gill Sans MT"/>
        </w:rPr>
      </w:pPr>
      <w:r>
        <w:rPr>
          <w:rFonts w:ascii="Gill Sans MT" w:hAnsi="Gill Sans MT"/>
        </w:rPr>
        <w:t xml:space="preserve">British Dyslexia Association (BDA), 2017, </w:t>
      </w:r>
      <w:r>
        <w:rPr>
          <w:rFonts w:ascii="Gill Sans MT" w:hAnsi="Gill Sans MT"/>
          <w:i/>
        </w:rPr>
        <w:t>Dyslexia</w:t>
      </w:r>
      <w:r>
        <w:rPr>
          <w:rFonts w:ascii="Gill Sans MT" w:hAnsi="Gill Sans MT"/>
        </w:rPr>
        <w:t xml:space="preserve">, Available at: </w:t>
      </w:r>
      <w:hyperlink r:id="rId59" w:history="1">
        <w:r w:rsidRPr="00D820D9">
          <w:rPr>
            <w:rStyle w:val="Hyperlink"/>
            <w:rFonts w:ascii="Gill Sans MT" w:hAnsi="Gill Sans MT"/>
          </w:rPr>
          <w:t>https://bdadyslexia.org.uk/dyslexic</w:t>
        </w:r>
      </w:hyperlink>
      <w:r>
        <w:rPr>
          <w:rFonts w:ascii="Gill Sans MT" w:hAnsi="Gill Sans MT"/>
        </w:rPr>
        <w:t>, Accessed on: 30</w:t>
      </w:r>
      <w:r w:rsidRPr="00D85A90">
        <w:rPr>
          <w:rFonts w:ascii="Gill Sans MT" w:hAnsi="Gill Sans MT"/>
          <w:vertAlign w:val="superscript"/>
        </w:rPr>
        <w:t>th</w:t>
      </w:r>
      <w:r>
        <w:rPr>
          <w:rFonts w:ascii="Gill Sans MT" w:hAnsi="Gill Sans MT"/>
        </w:rPr>
        <w:t xml:space="preserve"> August 2017.</w:t>
      </w:r>
    </w:p>
    <w:p w14:paraId="4D07C27D" w14:textId="77777777" w:rsidR="008816CD" w:rsidRDefault="008816CD" w:rsidP="008816CD">
      <w:pPr>
        <w:spacing w:after="0"/>
        <w:rPr>
          <w:rFonts w:ascii="Gill Sans MT" w:hAnsi="Gill Sans MT"/>
        </w:rPr>
      </w:pPr>
      <w:r>
        <w:rPr>
          <w:rFonts w:ascii="Gill Sans MT" w:hAnsi="Gill Sans MT"/>
        </w:rPr>
        <w:t xml:space="preserve">British Dyslexia Association (BDA), 2018, </w:t>
      </w:r>
      <w:r>
        <w:rPr>
          <w:rFonts w:ascii="Gill Sans MT" w:hAnsi="Gill Sans MT"/>
          <w:i/>
        </w:rPr>
        <w:t>Disabled Students’ Allowances</w:t>
      </w:r>
      <w:r>
        <w:rPr>
          <w:rFonts w:ascii="Gill Sans MT" w:hAnsi="Gill Sans MT"/>
        </w:rPr>
        <w:t xml:space="preserve">, Available at: </w:t>
      </w:r>
      <w:hyperlink r:id="rId60" w:history="1">
        <w:r w:rsidRPr="00D820D9">
          <w:rPr>
            <w:rStyle w:val="Hyperlink"/>
            <w:rFonts w:ascii="Gill Sans MT" w:hAnsi="Gill Sans MT"/>
          </w:rPr>
          <w:t>https://bdadyslexia.org.uk/about/campaigns/disabled-students-allowance-s</w:t>
        </w:r>
      </w:hyperlink>
      <w:r>
        <w:rPr>
          <w:rFonts w:ascii="Gill Sans MT" w:hAnsi="Gill Sans MT"/>
        </w:rPr>
        <w:t>, Accessed on: 25</w:t>
      </w:r>
      <w:r w:rsidRPr="009F5D32">
        <w:rPr>
          <w:rFonts w:ascii="Gill Sans MT" w:hAnsi="Gill Sans MT"/>
          <w:vertAlign w:val="superscript"/>
        </w:rPr>
        <w:t>th</w:t>
      </w:r>
      <w:r>
        <w:rPr>
          <w:rFonts w:ascii="Gill Sans MT" w:hAnsi="Gill Sans MT"/>
        </w:rPr>
        <w:t xml:space="preserve"> November 2017a.</w:t>
      </w:r>
    </w:p>
    <w:p w14:paraId="3DBD1325" w14:textId="77777777" w:rsidR="008816CD" w:rsidRPr="00B07F13" w:rsidRDefault="008816CD" w:rsidP="008816CD">
      <w:pPr>
        <w:spacing w:after="0"/>
        <w:rPr>
          <w:rFonts w:ascii="Gill Sans MT" w:hAnsi="Gill Sans MT"/>
        </w:rPr>
      </w:pPr>
      <w:r>
        <w:rPr>
          <w:rFonts w:ascii="Gill Sans MT" w:hAnsi="Gill Sans MT"/>
        </w:rPr>
        <w:t xml:space="preserve">Broadbent, J., Poon, W.L., 2015, Self-regulated learning strategies and academic achievement in online higher education learning environments: A systematic review, </w:t>
      </w:r>
      <w:r>
        <w:rPr>
          <w:rFonts w:ascii="Gill Sans MT" w:hAnsi="Gill Sans MT"/>
          <w:i/>
          <w:iCs/>
        </w:rPr>
        <w:t>The Internet and Higher Education</w:t>
      </w:r>
      <w:r>
        <w:rPr>
          <w:rFonts w:ascii="Gill Sans MT" w:hAnsi="Gill Sans MT"/>
        </w:rPr>
        <w:t>, 27, 1-13.</w:t>
      </w:r>
    </w:p>
    <w:p w14:paraId="19945533" w14:textId="77777777" w:rsidR="008816CD" w:rsidRPr="00133CC2" w:rsidRDefault="008816CD" w:rsidP="008816CD">
      <w:pPr>
        <w:spacing w:after="0"/>
        <w:rPr>
          <w:rFonts w:ascii="Gill Sans MT" w:hAnsi="Gill Sans MT"/>
        </w:rPr>
      </w:pPr>
      <w:r w:rsidRPr="00133CC2">
        <w:rPr>
          <w:rFonts w:ascii="Gill Sans MT" w:hAnsi="Gill Sans MT"/>
        </w:rPr>
        <w:t xml:space="preserve">Brown, G.D.A., Wood, A.M., Ogden, R.S., Maltby, J., 2014, Do student evaluations of university reflect inaccurate beliefs or actual experience? A relative rank model, </w:t>
      </w:r>
      <w:r w:rsidRPr="00133CC2">
        <w:rPr>
          <w:rFonts w:ascii="Gill Sans MT" w:hAnsi="Gill Sans MT"/>
          <w:i/>
        </w:rPr>
        <w:t>Journal of Behavioral Decision-making</w:t>
      </w:r>
      <w:r w:rsidRPr="00133CC2">
        <w:rPr>
          <w:rFonts w:ascii="Gill Sans MT" w:hAnsi="Gill Sans MT"/>
        </w:rPr>
        <w:t>, 28(1), 14-26.</w:t>
      </w:r>
    </w:p>
    <w:p w14:paraId="6A954870" w14:textId="77777777" w:rsidR="008816CD" w:rsidRPr="00133CC2" w:rsidRDefault="008816CD" w:rsidP="008816CD">
      <w:pPr>
        <w:spacing w:after="0"/>
        <w:rPr>
          <w:rFonts w:ascii="Gill Sans MT" w:hAnsi="Gill Sans MT"/>
        </w:rPr>
      </w:pPr>
      <w:r w:rsidRPr="00133CC2">
        <w:rPr>
          <w:rFonts w:ascii="Gill Sans MT" w:hAnsi="Gill Sans MT"/>
        </w:rPr>
        <w:t xml:space="preserve">Brown, J.D., 2011, Likert items and scale measurement, SHIKEN:JALT </w:t>
      </w:r>
      <w:r w:rsidRPr="00133CC2">
        <w:rPr>
          <w:rFonts w:ascii="Gill Sans MT" w:hAnsi="Gill Sans MT"/>
          <w:i/>
        </w:rPr>
        <w:t>Testing &amp; Evaluation SIG Newsletter</w:t>
      </w:r>
      <w:r w:rsidRPr="00133CC2">
        <w:rPr>
          <w:rFonts w:ascii="Gill Sans MT" w:hAnsi="Gill Sans MT"/>
        </w:rPr>
        <w:t>, 15(1), 10-14.</w:t>
      </w:r>
    </w:p>
    <w:p w14:paraId="7C08D264" w14:textId="77777777" w:rsidR="008816CD" w:rsidRDefault="008816CD" w:rsidP="008816CD">
      <w:pPr>
        <w:spacing w:after="0"/>
        <w:rPr>
          <w:rFonts w:ascii="Gill Sans MT" w:hAnsi="Gill Sans MT"/>
        </w:rPr>
      </w:pPr>
      <w:r w:rsidRPr="00133CC2">
        <w:rPr>
          <w:rFonts w:ascii="Gill Sans MT" w:hAnsi="Gill Sans MT"/>
        </w:rPr>
        <w:t xml:space="preserve">Brownlee, J., Walker, S., Lennoz, S., Exley, B., Pearce, S., 2009, The first year university experience: using personal epistemology to understand effective learning and teaching in higher education, </w:t>
      </w:r>
      <w:r w:rsidRPr="00133CC2">
        <w:rPr>
          <w:rFonts w:ascii="Gill Sans MT" w:hAnsi="Gill Sans MT"/>
          <w:i/>
        </w:rPr>
        <w:t>Higher Education</w:t>
      </w:r>
      <w:r w:rsidRPr="00133CC2">
        <w:rPr>
          <w:rFonts w:ascii="Gill Sans MT" w:hAnsi="Gill Sans MT"/>
        </w:rPr>
        <w:t xml:space="preserve">, 56(5), 599-618. </w:t>
      </w:r>
    </w:p>
    <w:p w14:paraId="797C4122" w14:textId="77777777" w:rsidR="008816CD" w:rsidRDefault="008816CD" w:rsidP="008816CD">
      <w:pPr>
        <w:spacing w:after="0"/>
        <w:rPr>
          <w:rFonts w:ascii="Gill Sans MT" w:hAnsi="Gill Sans MT"/>
        </w:rPr>
      </w:pPr>
      <w:r>
        <w:rPr>
          <w:rFonts w:ascii="Gill Sans MT" w:hAnsi="Gill Sans MT"/>
        </w:rPr>
        <w:t>Bruck, M., 1992, Persistence of dyslexics’ phonological awareness deficits,</w:t>
      </w:r>
      <w:r>
        <w:rPr>
          <w:rFonts w:ascii="Gill Sans MT" w:hAnsi="Gill Sans MT"/>
          <w:i/>
        </w:rPr>
        <w:t xml:space="preserve"> Developmental Psychology</w:t>
      </w:r>
      <w:r>
        <w:rPr>
          <w:rFonts w:ascii="Gill Sans MT" w:hAnsi="Gill Sans MT"/>
        </w:rPr>
        <w:t>, 28(5), 874-886.</w:t>
      </w:r>
    </w:p>
    <w:p w14:paraId="2EDBAA77" w14:textId="77777777" w:rsidR="008816CD" w:rsidRDefault="008816CD" w:rsidP="008816CD">
      <w:pPr>
        <w:spacing w:after="0"/>
        <w:rPr>
          <w:rFonts w:ascii="Gill Sans MT" w:hAnsi="Gill Sans MT"/>
        </w:rPr>
      </w:pPr>
      <w:r>
        <w:rPr>
          <w:rFonts w:ascii="Gill Sans MT" w:hAnsi="Gill Sans MT"/>
        </w:rPr>
        <w:t xml:space="preserve">Brunswick, N., Martin, G.N., Marzano, L., 2010, Visuospatial superiority in developmental dyslexia: myth or reality?, </w:t>
      </w:r>
      <w:r>
        <w:rPr>
          <w:rFonts w:ascii="Gill Sans MT" w:hAnsi="Gill Sans MT"/>
          <w:i/>
          <w:iCs/>
        </w:rPr>
        <w:t>Learning and Individual Differences</w:t>
      </w:r>
      <w:r>
        <w:rPr>
          <w:rFonts w:ascii="Gill Sans MT" w:hAnsi="Gill Sans MT"/>
        </w:rPr>
        <w:t>, 20, 421-426.</w:t>
      </w:r>
    </w:p>
    <w:p w14:paraId="3C276D79" w14:textId="77777777" w:rsidR="008816CD" w:rsidRPr="00DC6932" w:rsidRDefault="008816CD" w:rsidP="008816CD">
      <w:pPr>
        <w:spacing w:after="0"/>
        <w:rPr>
          <w:rFonts w:ascii="Gill Sans MT" w:hAnsi="Gill Sans MT"/>
        </w:rPr>
      </w:pPr>
      <w:r>
        <w:rPr>
          <w:rFonts w:ascii="Gill Sans MT" w:hAnsi="Gill Sans MT"/>
        </w:rPr>
        <w:t xml:space="preserve">Brunswick, N., McCory, E., Price, C.J., Frith, C.D., Frith, U., 1999, Explicit and implicit processing of words and pseudowords by adult developmental dyslexics: a search for Wernicke’s Wortschatz?, </w:t>
      </w:r>
      <w:r>
        <w:rPr>
          <w:rFonts w:ascii="Gill Sans MT" w:hAnsi="Gill Sans MT"/>
          <w:i/>
          <w:iCs/>
        </w:rPr>
        <w:t>Brain</w:t>
      </w:r>
      <w:r>
        <w:rPr>
          <w:rFonts w:ascii="Gill Sans MT" w:hAnsi="Gill Sans MT"/>
        </w:rPr>
        <w:t>, 122(10), 1901-1917.</w:t>
      </w:r>
    </w:p>
    <w:p w14:paraId="4F9F976B" w14:textId="77777777" w:rsidR="008816CD" w:rsidRPr="00185900" w:rsidRDefault="008816CD" w:rsidP="008816CD">
      <w:pPr>
        <w:spacing w:after="0"/>
        <w:rPr>
          <w:rFonts w:ascii="Gill Sans MT" w:hAnsi="Gill Sans MT"/>
        </w:rPr>
      </w:pPr>
      <w:r>
        <w:rPr>
          <w:rFonts w:ascii="Gill Sans MT" w:hAnsi="Gill Sans MT"/>
        </w:rPr>
        <w:t xml:space="preserve">Brunswick, N., Martin, G.N., Rippon, G., 2012, Early cognitive profiles of emergent readers: a longitudinal investigation, </w:t>
      </w:r>
      <w:r>
        <w:rPr>
          <w:rFonts w:ascii="Gill Sans MT" w:hAnsi="Gill Sans MT"/>
          <w:i/>
        </w:rPr>
        <w:t>Journal of Experimental Child Psychology</w:t>
      </w:r>
      <w:r>
        <w:rPr>
          <w:rFonts w:ascii="Gill Sans MT" w:hAnsi="Gill Sans MT"/>
        </w:rPr>
        <w:t>, 111, 268-285.</w:t>
      </w:r>
    </w:p>
    <w:p w14:paraId="3880C341" w14:textId="77777777" w:rsidR="008816CD" w:rsidRPr="00133CC2" w:rsidRDefault="008816CD" w:rsidP="008816CD">
      <w:pPr>
        <w:spacing w:after="0"/>
        <w:rPr>
          <w:rFonts w:ascii="Gill Sans MT" w:hAnsi="Gill Sans MT"/>
        </w:rPr>
      </w:pPr>
      <w:r w:rsidRPr="00133CC2">
        <w:rPr>
          <w:rFonts w:ascii="Gill Sans MT" w:hAnsi="Gill Sans MT"/>
        </w:rPr>
        <w:t xml:space="preserve">Bryant, B.R., Palton, J.R., Dunn, C., 1991, </w:t>
      </w:r>
      <w:r w:rsidRPr="00133CC2">
        <w:rPr>
          <w:rFonts w:ascii="Gill Sans MT" w:hAnsi="Gill Sans MT"/>
          <w:i/>
        </w:rPr>
        <w:t>SATA - Scholastic Abilities Test for Adults</w:t>
      </w:r>
      <w:r>
        <w:rPr>
          <w:rFonts w:ascii="Gill Sans MT" w:hAnsi="Gill Sans MT"/>
        </w:rPr>
        <w:t>, Austin, Texas, Pro-Ed.</w:t>
      </w:r>
    </w:p>
    <w:p w14:paraId="3ECF7738" w14:textId="77777777" w:rsidR="008816CD" w:rsidRPr="002B1480" w:rsidRDefault="008816CD" w:rsidP="008816CD">
      <w:pPr>
        <w:spacing w:after="0"/>
        <w:rPr>
          <w:rFonts w:ascii="Gill Sans MT" w:hAnsi="Gill Sans MT"/>
        </w:rPr>
      </w:pPr>
      <w:r>
        <w:rPr>
          <w:rFonts w:ascii="Gill Sans MT" w:hAnsi="Gill Sans MT"/>
        </w:rPr>
        <w:t xml:space="preserve">Burch, S., Sutherland, I., 2006, Who’s not here yet? American disability history, </w:t>
      </w:r>
      <w:r>
        <w:rPr>
          <w:rFonts w:ascii="Gill Sans MT" w:hAnsi="Gill Sans MT"/>
          <w:i/>
        </w:rPr>
        <w:t>Radical History Review</w:t>
      </w:r>
      <w:r>
        <w:rPr>
          <w:rFonts w:ascii="Gill Sans MT" w:hAnsi="Gill Sans MT"/>
        </w:rPr>
        <w:t>, 94, 127-147.</w:t>
      </w:r>
    </w:p>
    <w:p w14:paraId="381D7AAF" w14:textId="77777777" w:rsidR="008816CD" w:rsidRPr="00133CC2" w:rsidRDefault="008816CD" w:rsidP="008816CD">
      <w:pPr>
        <w:spacing w:after="0"/>
        <w:rPr>
          <w:rFonts w:ascii="Gill Sans MT" w:hAnsi="Gill Sans MT"/>
        </w:rPr>
      </w:pPr>
      <w:r w:rsidRPr="00133CC2">
        <w:rPr>
          <w:rFonts w:ascii="Gill Sans MT" w:hAnsi="Gill Sans MT"/>
        </w:rPr>
        <w:t xml:space="preserve">Burden, R., Burdett, J., 2005, Factors associated with successful learning in pupils with dyslexia: a motivational analysis, </w:t>
      </w:r>
      <w:r w:rsidRPr="00133CC2">
        <w:rPr>
          <w:rFonts w:ascii="Gill Sans MT" w:hAnsi="Gill Sans MT"/>
          <w:i/>
        </w:rPr>
        <w:t>British Journal of Special Education</w:t>
      </w:r>
      <w:r w:rsidRPr="00133CC2">
        <w:rPr>
          <w:rFonts w:ascii="Gill Sans MT" w:hAnsi="Gill Sans MT"/>
        </w:rPr>
        <w:t>, 32(2), 100-104.</w:t>
      </w:r>
    </w:p>
    <w:p w14:paraId="5DF84F28" w14:textId="0F93AD01" w:rsidR="008816CD" w:rsidRDefault="008816CD" w:rsidP="008816CD">
      <w:pPr>
        <w:spacing w:after="0"/>
        <w:rPr>
          <w:rFonts w:ascii="Gill Sans MT" w:hAnsi="Gill Sans MT"/>
        </w:rPr>
      </w:pPr>
      <w:r w:rsidRPr="00133CC2">
        <w:rPr>
          <w:rFonts w:ascii="Gill Sans MT" w:hAnsi="Gill Sans MT"/>
        </w:rPr>
        <w:t xml:space="preserve">Burden, R., Burdett, J., 2007, What's in a name? Student with dyslexia: their use of metaphor in making sense of their disability, </w:t>
      </w:r>
      <w:r w:rsidRPr="00133CC2">
        <w:rPr>
          <w:rFonts w:ascii="Gill Sans MT" w:hAnsi="Gill Sans MT"/>
          <w:i/>
        </w:rPr>
        <w:t>British Journal of Special Education</w:t>
      </w:r>
      <w:r w:rsidRPr="00133CC2">
        <w:rPr>
          <w:rFonts w:ascii="Gill Sans MT" w:hAnsi="Gill Sans MT"/>
        </w:rPr>
        <w:t>, 34(2), 77-82.</w:t>
      </w:r>
    </w:p>
    <w:p w14:paraId="2F60C6EC" w14:textId="510954BA" w:rsidR="004E70F4" w:rsidRPr="00C53413" w:rsidRDefault="004E70F4" w:rsidP="008816CD">
      <w:pPr>
        <w:spacing w:after="0"/>
        <w:rPr>
          <w:rFonts w:ascii="Gill Sans MT" w:hAnsi="Gill Sans MT"/>
        </w:rPr>
      </w:pPr>
      <w:r>
        <w:rPr>
          <w:rFonts w:ascii="Gill Sans MT" w:hAnsi="Gill Sans MT"/>
        </w:rPr>
        <w:t xml:space="preserve">Burden, R., 2008, </w:t>
      </w:r>
      <w:r w:rsidR="00C53413">
        <w:rPr>
          <w:rFonts w:ascii="Gill Sans MT" w:hAnsi="Gill Sans MT"/>
        </w:rPr>
        <w:t xml:space="preserve">Is dyslexia necessarily associated with negative feelings of self-worth? A review and implications for future research, </w:t>
      </w:r>
      <w:r w:rsidR="00C53413">
        <w:rPr>
          <w:rFonts w:ascii="Gill Sans MT" w:hAnsi="Gill Sans MT"/>
          <w:i/>
          <w:iCs/>
        </w:rPr>
        <w:t>Dyslexia</w:t>
      </w:r>
      <w:r w:rsidR="00C53413">
        <w:rPr>
          <w:rFonts w:ascii="Gill Sans MT" w:hAnsi="Gill Sans MT"/>
        </w:rPr>
        <w:t>, 14(3), 188-196.</w:t>
      </w:r>
    </w:p>
    <w:p w14:paraId="1A01AB98" w14:textId="2F4962D6" w:rsidR="008816CD" w:rsidRPr="009E05BE" w:rsidRDefault="008816CD" w:rsidP="008816CD">
      <w:pPr>
        <w:spacing w:after="0"/>
        <w:rPr>
          <w:rFonts w:ascii="Gill Sans MT" w:hAnsi="Gill Sans MT"/>
        </w:rPr>
      </w:pPr>
      <w:r>
        <w:rPr>
          <w:rFonts w:ascii="Gill Sans MT" w:hAnsi="Gill Sans MT"/>
        </w:rPr>
        <w:t>Burke, L., M</w:t>
      </w:r>
      <w:r w:rsidR="000E690E">
        <w:rPr>
          <w:rFonts w:ascii="Gill Sans MT" w:hAnsi="Gill Sans MT"/>
        </w:rPr>
        <w:t>a</w:t>
      </w:r>
      <w:r>
        <w:rPr>
          <w:rFonts w:ascii="Gill Sans MT" w:hAnsi="Gill Sans MT"/>
        </w:rPr>
        <w:t xml:space="preserve">rks-Maran, D.J., Ooms, A., Webb, M., Cooper, D., 2009, Towards a pedagogy of work-based learning: perceptions of work-based learning in foundation degrees, </w:t>
      </w:r>
      <w:r>
        <w:rPr>
          <w:rFonts w:ascii="Gill Sans MT" w:hAnsi="Gill Sans MT"/>
          <w:i/>
        </w:rPr>
        <w:t>Journal of Vocational Education and Training</w:t>
      </w:r>
      <w:r>
        <w:rPr>
          <w:rFonts w:ascii="Gill Sans MT" w:hAnsi="Gill Sans MT"/>
        </w:rPr>
        <w:t>, 61(1), 15-33.</w:t>
      </w:r>
    </w:p>
    <w:p w14:paraId="4D209593" w14:textId="77777777" w:rsidR="008816CD" w:rsidRPr="00133CC2" w:rsidRDefault="008816CD" w:rsidP="008816CD">
      <w:pPr>
        <w:spacing w:after="0"/>
        <w:rPr>
          <w:rFonts w:ascii="Gill Sans MT" w:hAnsi="Gill Sans MT"/>
        </w:rPr>
      </w:pPr>
      <w:r w:rsidRPr="00133CC2">
        <w:rPr>
          <w:rFonts w:ascii="Gill Sans MT" w:hAnsi="Gill Sans MT"/>
        </w:rPr>
        <w:lastRenderedPageBreak/>
        <w:t xml:space="preserve">Burns, M.K., 2001, Examining special education labels through attribution theory: A potential source for learned helplessness, </w:t>
      </w:r>
      <w:r w:rsidRPr="00133CC2">
        <w:rPr>
          <w:rFonts w:ascii="Gill Sans MT" w:hAnsi="Gill Sans MT"/>
          <w:i/>
        </w:rPr>
        <w:t>Ethical Human Sciences and Services</w:t>
      </w:r>
      <w:r w:rsidRPr="00133CC2">
        <w:rPr>
          <w:rFonts w:ascii="Gill Sans MT" w:hAnsi="Gill Sans MT"/>
        </w:rPr>
        <w:t>, 2(2), 101-107.</w:t>
      </w:r>
    </w:p>
    <w:p w14:paraId="7616FA72" w14:textId="77777777" w:rsidR="008816CD" w:rsidRDefault="008816CD" w:rsidP="008816CD">
      <w:pPr>
        <w:spacing w:after="0"/>
        <w:rPr>
          <w:rFonts w:ascii="Gill Sans MT" w:hAnsi="Gill Sans MT"/>
        </w:rPr>
      </w:pPr>
      <w:r w:rsidRPr="00133CC2">
        <w:rPr>
          <w:rFonts w:ascii="Gill Sans MT" w:hAnsi="Gill Sans MT"/>
        </w:rPr>
        <w:t>Burton,</w:t>
      </w:r>
      <w:r>
        <w:rPr>
          <w:rFonts w:ascii="Gill Sans MT" w:hAnsi="Gill Sans MT"/>
        </w:rPr>
        <w:t xml:space="preserve"> </w:t>
      </w:r>
      <w:r w:rsidRPr="00133CC2">
        <w:rPr>
          <w:rFonts w:ascii="Gill Sans MT" w:hAnsi="Gill Sans MT"/>
        </w:rPr>
        <w:t xml:space="preserve">S., 2004, Self-esteem groups for secondary pupils with dyslexia, </w:t>
      </w:r>
      <w:r w:rsidRPr="00133CC2">
        <w:rPr>
          <w:rFonts w:ascii="Gill Sans MT" w:hAnsi="Gill Sans MT"/>
          <w:i/>
        </w:rPr>
        <w:t>Educational Psychology in Practice</w:t>
      </w:r>
      <w:r w:rsidRPr="00133CC2">
        <w:rPr>
          <w:rFonts w:ascii="Gill Sans MT" w:hAnsi="Gill Sans MT"/>
        </w:rPr>
        <w:t xml:space="preserve">, 20(1), 55-73. </w:t>
      </w:r>
    </w:p>
    <w:p w14:paraId="6A92E3A5" w14:textId="77777777" w:rsidR="008816CD" w:rsidRPr="0021051F" w:rsidRDefault="008816CD" w:rsidP="008816CD">
      <w:pPr>
        <w:spacing w:after="0"/>
        <w:rPr>
          <w:rFonts w:ascii="Gill Sans MT" w:hAnsi="Gill Sans MT"/>
        </w:rPr>
      </w:pPr>
      <w:r>
        <w:rPr>
          <w:rFonts w:ascii="Gill Sans MT" w:hAnsi="Gill Sans MT"/>
        </w:rPr>
        <w:t xml:space="preserve">Busato, V.V., Prins, F.J., Elshout, J.J., Hamaker, C., 2000, Intellectual ability, learning style, personality, achievement motivation and academic success of psychology students in higher education, </w:t>
      </w:r>
      <w:r>
        <w:rPr>
          <w:rFonts w:ascii="Gill Sans MT" w:hAnsi="Gill Sans MT"/>
          <w:i/>
        </w:rPr>
        <w:t>Personality and Individual Differences</w:t>
      </w:r>
      <w:r>
        <w:rPr>
          <w:rFonts w:ascii="Gill Sans MT" w:hAnsi="Gill Sans MT"/>
        </w:rPr>
        <w:t>, 29(6), 1057-1068.</w:t>
      </w:r>
    </w:p>
    <w:p w14:paraId="20341114" w14:textId="77777777" w:rsidR="008816CD" w:rsidRPr="00133CC2" w:rsidRDefault="008816CD" w:rsidP="008816CD">
      <w:pPr>
        <w:spacing w:after="0"/>
        <w:rPr>
          <w:rFonts w:ascii="Gill Sans MT" w:hAnsi="Gill Sans MT"/>
        </w:rPr>
      </w:pPr>
      <w:r w:rsidRPr="00133CC2">
        <w:rPr>
          <w:rFonts w:ascii="Gill Sans MT" w:hAnsi="Gill Sans MT"/>
        </w:rPr>
        <w:t xml:space="preserve">Buskirk, T.D., Saunders, T., Michaud, J., 2015, Are sliders too slick for surveys? An experiment comparing slider and radio button scales for smartphone, tablet and computer-based surveys, </w:t>
      </w:r>
      <w:r w:rsidRPr="00133CC2">
        <w:rPr>
          <w:rFonts w:ascii="Gill Sans MT" w:hAnsi="Gill Sans MT"/>
          <w:i/>
        </w:rPr>
        <w:t>Methods, Data Analysis</w:t>
      </w:r>
      <w:r w:rsidRPr="00133CC2">
        <w:rPr>
          <w:rFonts w:ascii="Gill Sans MT" w:hAnsi="Gill Sans MT"/>
        </w:rPr>
        <w:t xml:space="preserve">, 9(2), 229-260. </w:t>
      </w:r>
    </w:p>
    <w:p w14:paraId="087FE178" w14:textId="77777777" w:rsidR="008816CD" w:rsidRPr="00133CC2" w:rsidRDefault="008816CD" w:rsidP="008816CD">
      <w:pPr>
        <w:spacing w:after="0"/>
        <w:rPr>
          <w:rFonts w:ascii="Gill Sans MT" w:hAnsi="Gill Sans MT"/>
        </w:rPr>
      </w:pPr>
      <w:r w:rsidRPr="00133CC2">
        <w:rPr>
          <w:rFonts w:ascii="Gill Sans MT" w:hAnsi="Gill Sans MT"/>
        </w:rPr>
        <w:t xml:space="preserve">Buttner, G., Hasselhorn, M., 2011, Learning disabilities: debates on definitions, causes, subtypes and responses, </w:t>
      </w:r>
      <w:r w:rsidRPr="00133CC2">
        <w:rPr>
          <w:rFonts w:ascii="Gill Sans MT" w:hAnsi="Gill Sans MT"/>
          <w:i/>
        </w:rPr>
        <w:t>International Journal of Learning Disabilities</w:t>
      </w:r>
      <w:r w:rsidRPr="00133CC2">
        <w:rPr>
          <w:rFonts w:ascii="Gill Sans MT" w:hAnsi="Gill Sans MT"/>
        </w:rPr>
        <w:t>, 58(1), 75-87.</w:t>
      </w:r>
    </w:p>
    <w:p w14:paraId="2CF96AB9" w14:textId="77777777" w:rsidR="008816CD" w:rsidRDefault="008816CD" w:rsidP="008816CD">
      <w:pPr>
        <w:spacing w:after="0"/>
        <w:rPr>
          <w:rFonts w:ascii="Gill Sans MT" w:hAnsi="Gill Sans MT"/>
        </w:rPr>
      </w:pPr>
      <w:r w:rsidRPr="00133CC2">
        <w:rPr>
          <w:rFonts w:ascii="Gill Sans MT" w:hAnsi="Gill Sans MT"/>
        </w:rPr>
        <w:t xml:space="preserve">Cahill, S.P., Gallo, L.A., Lisman, S.A., Weinstein, A., 2006, Willing or able? The meanings of self-efficacy, </w:t>
      </w:r>
      <w:r w:rsidRPr="00133CC2">
        <w:rPr>
          <w:rFonts w:ascii="Gill Sans MT" w:hAnsi="Gill Sans MT"/>
          <w:i/>
        </w:rPr>
        <w:t>Journal of Social and Clinical Psychology</w:t>
      </w:r>
      <w:r w:rsidRPr="00133CC2">
        <w:rPr>
          <w:rFonts w:ascii="Gill Sans MT" w:hAnsi="Gill Sans MT"/>
        </w:rPr>
        <w:t>, 25(2), 196-209.</w:t>
      </w:r>
    </w:p>
    <w:p w14:paraId="77800289" w14:textId="77777777" w:rsidR="008816CD" w:rsidRDefault="008816CD" w:rsidP="008816CD">
      <w:pPr>
        <w:spacing w:after="0"/>
        <w:rPr>
          <w:rFonts w:ascii="Gill Sans MT" w:hAnsi="Gill Sans MT"/>
        </w:rPr>
      </w:pPr>
      <w:r>
        <w:rPr>
          <w:rFonts w:ascii="Gill Sans MT" w:hAnsi="Gill Sans MT"/>
        </w:rPr>
        <w:t xml:space="preserve">Callens, M., Tops, W., Brysbaert, M., 2012, Cognitive profile of students who enter higher education with an indication of dyslexia, </w:t>
      </w:r>
      <w:r>
        <w:rPr>
          <w:rFonts w:ascii="Gill Sans MT" w:hAnsi="Gill Sans MT"/>
          <w:i/>
        </w:rPr>
        <w:t>PlosOne</w:t>
      </w:r>
      <w:r>
        <w:rPr>
          <w:rFonts w:ascii="Gill Sans MT" w:hAnsi="Gill Sans MT"/>
        </w:rPr>
        <w:t>, 7(6), e38081.</w:t>
      </w:r>
    </w:p>
    <w:p w14:paraId="04EE3EFB" w14:textId="77777777" w:rsidR="008816CD" w:rsidRPr="00D76553" w:rsidRDefault="008816CD" w:rsidP="008816CD">
      <w:pPr>
        <w:spacing w:after="0"/>
        <w:rPr>
          <w:rFonts w:ascii="Gill Sans MT" w:hAnsi="Gill Sans MT"/>
        </w:rPr>
      </w:pPr>
      <w:r>
        <w:rPr>
          <w:rFonts w:ascii="Gill Sans MT" w:hAnsi="Gill Sans MT"/>
        </w:rPr>
        <w:t xml:space="preserve">Callens, M., Tops, W., Stevens, M., Brysbaert, M., 2014, An exploratory factor analysis of the cognitive functioning of first-year bachelor students with dyslexia, </w:t>
      </w:r>
      <w:r>
        <w:rPr>
          <w:rFonts w:ascii="Gill Sans MT" w:hAnsi="Gill Sans MT"/>
          <w:i/>
        </w:rPr>
        <w:t>Annals of Dyslexia</w:t>
      </w:r>
      <w:r>
        <w:rPr>
          <w:rFonts w:ascii="Gill Sans MT" w:hAnsi="Gill Sans MT"/>
        </w:rPr>
        <w:t>, 64, 91-119.</w:t>
      </w:r>
    </w:p>
    <w:p w14:paraId="42F2C461" w14:textId="77777777" w:rsidR="008816CD" w:rsidRPr="00133CC2" w:rsidRDefault="008816CD" w:rsidP="008816CD">
      <w:pPr>
        <w:spacing w:after="0"/>
        <w:rPr>
          <w:rFonts w:ascii="Gill Sans MT" w:hAnsi="Gill Sans MT"/>
        </w:rPr>
      </w:pPr>
      <w:r w:rsidRPr="00133CC2">
        <w:rPr>
          <w:rFonts w:ascii="Gill Sans MT" w:hAnsi="Gill Sans MT"/>
        </w:rPr>
        <w:t>Cameron, H., Billington, T., 2015</w:t>
      </w:r>
      <w:r>
        <w:rPr>
          <w:rFonts w:ascii="Gill Sans MT" w:hAnsi="Gill Sans MT"/>
        </w:rPr>
        <w:t>a</w:t>
      </w:r>
      <w:r w:rsidRPr="00133CC2">
        <w:rPr>
          <w:rFonts w:ascii="Gill Sans MT" w:hAnsi="Gill Sans MT"/>
        </w:rPr>
        <w:t xml:space="preserve">, The discursive construction of dyslexia by students in a higher education institution as a moral and intellectual good, </w:t>
      </w:r>
      <w:r w:rsidRPr="00133CC2">
        <w:rPr>
          <w:rFonts w:ascii="Gill Sans MT" w:hAnsi="Gill Sans MT"/>
          <w:i/>
        </w:rPr>
        <w:t>Disability &amp; Society</w:t>
      </w:r>
      <w:r w:rsidRPr="00133CC2">
        <w:rPr>
          <w:rFonts w:ascii="Gill Sans MT" w:hAnsi="Gill Sans MT"/>
        </w:rPr>
        <w:t>, 30(8), 1225-1240.</w:t>
      </w:r>
    </w:p>
    <w:p w14:paraId="7664829E" w14:textId="77777777" w:rsidR="008816CD" w:rsidRPr="00133CC2" w:rsidRDefault="008816CD" w:rsidP="008816CD">
      <w:pPr>
        <w:spacing w:after="0"/>
        <w:rPr>
          <w:rFonts w:ascii="Gill Sans MT" w:hAnsi="Gill Sans MT"/>
        </w:rPr>
      </w:pPr>
      <w:r w:rsidRPr="00133CC2">
        <w:rPr>
          <w:rFonts w:ascii="Gill Sans MT" w:hAnsi="Gill Sans MT"/>
        </w:rPr>
        <w:t>Cameron, H., Billington, T., 2015</w:t>
      </w:r>
      <w:r>
        <w:rPr>
          <w:rFonts w:ascii="Gill Sans MT" w:hAnsi="Gill Sans MT"/>
        </w:rPr>
        <w:t>b</w:t>
      </w:r>
      <w:r w:rsidRPr="00133CC2">
        <w:rPr>
          <w:rFonts w:ascii="Gill Sans MT" w:hAnsi="Gill Sans MT"/>
        </w:rPr>
        <w:t xml:space="preserve">, 'Just deal with it': Neoliberalism in dyslexic students' talk about dyslexia and learning at university, </w:t>
      </w:r>
      <w:r w:rsidRPr="00133CC2">
        <w:rPr>
          <w:rFonts w:ascii="Gill Sans MT" w:hAnsi="Gill Sans MT"/>
          <w:i/>
        </w:rPr>
        <w:t>Studies in Higher Education</w:t>
      </w:r>
      <w:r w:rsidRPr="00133CC2">
        <w:rPr>
          <w:rFonts w:ascii="Gill Sans MT" w:hAnsi="Gill Sans MT"/>
        </w:rPr>
        <w:t xml:space="preserve">,40, 2-15. </w:t>
      </w:r>
    </w:p>
    <w:p w14:paraId="08F3EF3F" w14:textId="77777777" w:rsidR="008816CD" w:rsidRDefault="008816CD" w:rsidP="008816CD">
      <w:pPr>
        <w:spacing w:after="0"/>
        <w:rPr>
          <w:rFonts w:ascii="Gill Sans MT" w:hAnsi="Gill Sans MT"/>
        </w:rPr>
      </w:pPr>
      <w:r w:rsidRPr="00133CC2">
        <w:rPr>
          <w:rFonts w:ascii="Gill Sans MT" w:hAnsi="Gill Sans MT"/>
        </w:rPr>
        <w:t xml:space="preserve">Cameron, H.E., 2016, Beyond cognitive deficit: the everyday lived experience of dyslexic students at university, </w:t>
      </w:r>
      <w:r w:rsidRPr="00133CC2">
        <w:rPr>
          <w:rFonts w:ascii="Gill Sans MT" w:hAnsi="Gill Sans MT"/>
          <w:i/>
        </w:rPr>
        <w:t>Disability &amp; Society</w:t>
      </w:r>
      <w:r w:rsidRPr="00133CC2">
        <w:rPr>
          <w:rFonts w:ascii="Gill Sans MT" w:hAnsi="Gill Sans MT"/>
        </w:rPr>
        <w:t>, 31(2), 223-239.</w:t>
      </w:r>
    </w:p>
    <w:p w14:paraId="112E0381" w14:textId="77777777" w:rsidR="008816CD" w:rsidRPr="000E236F" w:rsidRDefault="008816CD" w:rsidP="008816CD">
      <w:pPr>
        <w:spacing w:after="0"/>
        <w:rPr>
          <w:rFonts w:ascii="Gill Sans MT" w:hAnsi="Gill Sans MT"/>
        </w:rPr>
      </w:pPr>
      <w:r>
        <w:rPr>
          <w:rFonts w:ascii="Gill Sans MT" w:hAnsi="Gill Sans MT"/>
        </w:rPr>
        <w:t xml:space="preserve">Canas, A.J., Novak, J., 2010, Itineraries: Capturing instructors experience using concept maps as learning object organizers, </w:t>
      </w:r>
      <w:r>
        <w:rPr>
          <w:rFonts w:ascii="Gill Sans MT" w:hAnsi="Gill Sans MT"/>
          <w:i/>
        </w:rPr>
        <w:t>Concept Maps: Making Learning Meaningful – Proceedings of the 4</w:t>
      </w:r>
      <w:r w:rsidRPr="000E236F">
        <w:rPr>
          <w:rFonts w:ascii="Gill Sans MT" w:hAnsi="Gill Sans MT"/>
          <w:i/>
          <w:vertAlign w:val="superscript"/>
        </w:rPr>
        <w:t>th</w:t>
      </w:r>
      <w:r>
        <w:rPr>
          <w:rFonts w:ascii="Gill Sans MT" w:hAnsi="Gill Sans MT"/>
          <w:i/>
        </w:rPr>
        <w:t xml:space="preserve"> Concept Mapping Conference CMC</w:t>
      </w:r>
      <w:r>
        <w:rPr>
          <w:rFonts w:ascii="Gill Sans MT" w:hAnsi="Gill Sans MT"/>
        </w:rPr>
        <w:t>, Vina del Mar, Chile.</w:t>
      </w:r>
    </w:p>
    <w:p w14:paraId="2D492782" w14:textId="77777777" w:rsidR="008816CD" w:rsidRDefault="008816CD" w:rsidP="008816CD">
      <w:pPr>
        <w:spacing w:after="0"/>
        <w:rPr>
          <w:rFonts w:ascii="Gill Sans MT" w:hAnsi="Gill Sans MT"/>
        </w:rPr>
      </w:pPr>
      <w:r w:rsidRPr="00133CC2">
        <w:rPr>
          <w:rFonts w:ascii="Gill Sans MT" w:hAnsi="Gill Sans MT"/>
        </w:rPr>
        <w:t xml:space="preserve">Caprara, G.V., Barbaranelli, C., Pastorelli, C., Bandura, A., Zimbardo, P.G., 2000, Prosocial foundations of children's academic achievement, </w:t>
      </w:r>
      <w:r w:rsidRPr="00133CC2">
        <w:rPr>
          <w:rFonts w:ascii="Gill Sans MT" w:hAnsi="Gill Sans MT"/>
          <w:i/>
        </w:rPr>
        <w:t>Psychological Science</w:t>
      </w:r>
      <w:r w:rsidRPr="00133CC2">
        <w:rPr>
          <w:rFonts w:ascii="Gill Sans MT" w:hAnsi="Gill Sans MT"/>
        </w:rPr>
        <w:t>, 11(4), 302-306.</w:t>
      </w:r>
    </w:p>
    <w:p w14:paraId="6A7D702E" w14:textId="77777777" w:rsidR="008816CD" w:rsidRPr="00133CC2" w:rsidRDefault="008816CD" w:rsidP="008816CD">
      <w:pPr>
        <w:spacing w:after="0"/>
        <w:rPr>
          <w:rFonts w:ascii="Gill Sans MT" w:hAnsi="Gill Sans MT"/>
        </w:rPr>
      </w:pPr>
      <w:r>
        <w:rPr>
          <w:rFonts w:ascii="Gill Sans MT" w:hAnsi="Gill Sans MT"/>
        </w:rPr>
        <w:t xml:space="preserve">Capstick, S., Fleming, H., Hurne, J., 2004, Implementing peer assisted learning in Higher Education: the experience of a new university and a model for the achievement of a mainstream programme, </w:t>
      </w:r>
      <w:r>
        <w:rPr>
          <w:rFonts w:ascii="Gill Sans MT" w:hAnsi="Gill Sans MT"/>
          <w:i/>
        </w:rPr>
        <w:t>Paper presented at Peer Assisted Learning Conference, Bournemouth</w:t>
      </w:r>
      <w:r>
        <w:rPr>
          <w:rFonts w:ascii="Gill Sans MT" w:hAnsi="Gill Sans MT"/>
        </w:rPr>
        <w:t xml:space="preserve">, Bournemouth University. </w:t>
      </w:r>
    </w:p>
    <w:p w14:paraId="69457943" w14:textId="77777777" w:rsidR="008816CD" w:rsidRPr="00133CC2" w:rsidRDefault="008816CD" w:rsidP="008816CD">
      <w:pPr>
        <w:spacing w:after="0"/>
        <w:rPr>
          <w:rFonts w:ascii="Gill Sans MT" w:hAnsi="Gill Sans MT"/>
        </w:rPr>
      </w:pPr>
      <w:r w:rsidRPr="00133CC2">
        <w:rPr>
          <w:rFonts w:ascii="Gill Sans MT" w:hAnsi="Gill Sans MT"/>
        </w:rPr>
        <w:t xml:space="preserve">Carawan, L.W., Nalavany, B.A., Jenkins, C., 2016, Emotional experience with dyslexia and self-esteem: the protective support of perceived family support in late adulthood, </w:t>
      </w:r>
      <w:r w:rsidRPr="00133CC2">
        <w:rPr>
          <w:rFonts w:ascii="Gill Sans MT" w:hAnsi="Gill Sans MT"/>
          <w:i/>
        </w:rPr>
        <w:t>Aging and Mental Health</w:t>
      </w:r>
      <w:r w:rsidRPr="00133CC2">
        <w:rPr>
          <w:rFonts w:ascii="Gill Sans MT" w:hAnsi="Gill Sans MT"/>
        </w:rPr>
        <w:t>, 20(3), 284-294.</w:t>
      </w:r>
    </w:p>
    <w:p w14:paraId="2949F667" w14:textId="77777777" w:rsidR="008816CD" w:rsidRPr="00133CC2" w:rsidRDefault="008816CD" w:rsidP="008816CD">
      <w:pPr>
        <w:spacing w:after="0"/>
        <w:rPr>
          <w:rFonts w:ascii="Gill Sans MT" w:hAnsi="Gill Sans MT"/>
        </w:rPr>
      </w:pPr>
      <w:r w:rsidRPr="00133CC2">
        <w:rPr>
          <w:rFonts w:ascii="Gill Sans MT" w:hAnsi="Gill Sans MT"/>
        </w:rPr>
        <w:t xml:space="preserve">Card, N.A., 2015, </w:t>
      </w:r>
      <w:r w:rsidRPr="00133CC2">
        <w:rPr>
          <w:rFonts w:ascii="Gill Sans MT" w:hAnsi="Gill Sans MT"/>
          <w:i/>
        </w:rPr>
        <w:t>Applied meta-analysis for social science research</w:t>
      </w:r>
      <w:r w:rsidRPr="00133CC2">
        <w:rPr>
          <w:rFonts w:ascii="Gill Sans MT" w:hAnsi="Gill Sans MT"/>
        </w:rPr>
        <w:t>, New York, Guilford.</w:t>
      </w:r>
    </w:p>
    <w:p w14:paraId="157E98F3" w14:textId="77777777" w:rsidR="008816CD" w:rsidRPr="00133CC2" w:rsidRDefault="008816CD" w:rsidP="008816CD">
      <w:pPr>
        <w:spacing w:after="0"/>
        <w:rPr>
          <w:rFonts w:ascii="Gill Sans MT" w:hAnsi="Gill Sans MT"/>
        </w:rPr>
      </w:pPr>
      <w:r w:rsidRPr="00133CC2">
        <w:rPr>
          <w:rFonts w:ascii="Gill Sans MT" w:hAnsi="Gill Sans MT"/>
        </w:rPr>
        <w:t xml:space="preserve">Carifio, J., Perla, R.J., 2007, Ten common misunderstandings, misconceptions persistent myths and urban legends about Likert scales and Likert response item formats and their antidotes, </w:t>
      </w:r>
      <w:r w:rsidRPr="00133CC2">
        <w:rPr>
          <w:rFonts w:ascii="Gill Sans MT" w:hAnsi="Gill Sans MT"/>
          <w:i/>
        </w:rPr>
        <w:t>Journal of Social Sciences</w:t>
      </w:r>
      <w:r w:rsidRPr="00133CC2">
        <w:rPr>
          <w:rFonts w:ascii="Gill Sans MT" w:hAnsi="Gill Sans MT"/>
        </w:rPr>
        <w:t>, 3(3), 106-116.</w:t>
      </w:r>
    </w:p>
    <w:p w14:paraId="34BE595A" w14:textId="77777777" w:rsidR="008816CD" w:rsidRPr="00133CC2" w:rsidRDefault="008816CD" w:rsidP="008816CD">
      <w:pPr>
        <w:spacing w:after="0"/>
        <w:rPr>
          <w:rFonts w:ascii="Gill Sans MT" w:hAnsi="Gill Sans MT"/>
        </w:rPr>
      </w:pPr>
      <w:r w:rsidRPr="00133CC2">
        <w:rPr>
          <w:rFonts w:ascii="Gill Sans MT" w:hAnsi="Gill Sans MT"/>
        </w:rPr>
        <w:lastRenderedPageBreak/>
        <w:t xml:space="preserve">Carifio, J., Perla, R.J., 2008, Resolving the 50-year debate around using and misusing Likert scales, </w:t>
      </w:r>
      <w:r w:rsidRPr="00133CC2">
        <w:rPr>
          <w:rFonts w:ascii="Gill Sans MT" w:hAnsi="Gill Sans MT"/>
          <w:i/>
        </w:rPr>
        <w:t>Medical Education</w:t>
      </w:r>
      <w:r w:rsidRPr="00133CC2">
        <w:rPr>
          <w:rFonts w:ascii="Gill Sans MT" w:hAnsi="Gill Sans MT"/>
        </w:rPr>
        <w:t>, 42, 1150-1152.</w:t>
      </w:r>
    </w:p>
    <w:p w14:paraId="05769895" w14:textId="77777777" w:rsidR="008816CD" w:rsidRPr="00133CC2" w:rsidRDefault="008816CD" w:rsidP="008816CD">
      <w:pPr>
        <w:spacing w:after="0"/>
        <w:rPr>
          <w:rFonts w:ascii="Gill Sans MT" w:hAnsi="Gill Sans MT"/>
        </w:rPr>
      </w:pPr>
      <w:r w:rsidRPr="00133CC2">
        <w:rPr>
          <w:rFonts w:ascii="Gill Sans MT" w:hAnsi="Gill Sans MT"/>
        </w:rPr>
        <w:t xml:space="preserve">Carrion-Castillo, A., Franke, B., Fisher, S.E., 2013, Molecular genetics of dyslexia: an overview, </w:t>
      </w:r>
      <w:r w:rsidRPr="00133CC2">
        <w:rPr>
          <w:rFonts w:ascii="Gill Sans MT" w:hAnsi="Gill Sans MT"/>
          <w:i/>
        </w:rPr>
        <w:t>Dyslexia</w:t>
      </w:r>
      <w:r w:rsidRPr="00133CC2">
        <w:rPr>
          <w:rFonts w:ascii="Gill Sans MT" w:hAnsi="Gill Sans MT"/>
        </w:rPr>
        <w:t>, 19(4) 214-240.</w:t>
      </w:r>
    </w:p>
    <w:p w14:paraId="31C83929" w14:textId="77777777" w:rsidR="008816CD" w:rsidRPr="00133CC2" w:rsidRDefault="008816CD" w:rsidP="008816CD">
      <w:pPr>
        <w:spacing w:after="0"/>
        <w:rPr>
          <w:rFonts w:ascii="Gill Sans MT" w:hAnsi="Gill Sans MT"/>
        </w:rPr>
      </w:pPr>
      <w:r w:rsidRPr="00133CC2">
        <w:rPr>
          <w:rFonts w:ascii="Gill Sans MT" w:hAnsi="Gill Sans MT"/>
        </w:rPr>
        <w:t xml:space="preserve">Carroll, J.M., Iles, J.E., 2006, An assessment of anxiety levels in dyslexic students in higher education, </w:t>
      </w:r>
      <w:r w:rsidRPr="00133CC2">
        <w:rPr>
          <w:rFonts w:ascii="Gill Sans MT" w:hAnsi="Gill Sans MT"/>
          <w:i/>
        </w:rPr>
        <w:t>British Journal of Educational Psychology</w:t>
      </w:r>
      <w:r w:rsidRPr="00133CC2">
        <w:rPr>
          <w:rFonts w:ascii="Gill Sans MT" w:hAnsi="Gill Sans MT"/>
        </w:rPr>
        <w:t>, 76, 651-662.</w:t>
      </w:r>
    </w:p>
    <w:p w14:paraId="6945BA1A" w14:textId="77777777" w:rsidR="008816CD" w:rsidRPr="00133CC2" w:rsidRDefault="008816CD" w:rsidP="008816CD">
      <w:pPr>
        <w:spacing w:after="0"/>
        <w:rPr>
          <w:rFonts w:ascii="Gill Sans MT" w:hAnsi="Gill Sans MT"/>
        </w:rPr>
      </w:pPr>
      <w:r w:rsidRPr="00133CC2">
        <w:rPr>
          <w:rFonts w:ascii="Gill Sans MT" w:hAnsi="Gill Sans MT"/>
        </w:rPr>
        <w:t xml:space="preserve">Casale, A., Identifying dyslexic students: The need for computer-based dyslexia screening in higher education, </w:t>
      </w:r>
      <w:r w:rsidRPr="00133CC2">
        <w:rPr>
          <w:rFonts w:ascii="Gill Sans MT" w:hAnsi="Gill Sans MT"/>
          <w:i/>
        </w:rPr>
        <w:t>Estro: Essex Student Research Online</w:t>
      </w:r>
      <w:r w:rsidRPr="00133CC2">
        <w:rPr>
          <w:rFonts w:ascii="Gill Sans MT" w:hAnsi="Gill Sans MT"/>
        </w:rPr>
        <w:t>, 1(1), 69-82.</w:t>
      </w:r>
    </w:p>
    <w:p w14:paraId="330159FA" w14:textId="77777777" w:rsidR="008816CD" w:rsidRPr="00133CC2" w:rsidRDefault="008816CD" w:rsidP="008816CD">
      <w:pPr>
        <w:spacing w:after="0"/>
        <w:rPr>
          <w:rFonts w:ascii="Gill Sans MT" w:hAnsi="Gill Sans MT"/>
        </w:rPr>
      </w:pPr>
      <w:r w:rsidRPr="00133CC2">
        <w:rPr>
          <w:rFonts w:ascii="Gill Sans MT" w:hAnsi="Gill Sans MT"/>
        </w:rPr>
        <w:t xml:space="preserve">Casserly, A.M., 2013, The socio-emotional needs of children with dyslexia in different educational settings in Ireland, </w:t>
      </w:r>
      <w:r w:rsidRPr="00133CC2">
        <w:rPr>
          <w:rFonts w:ascii="Gill Sans MT" w:hAnsi="Gill Sans MT"/>
          <w:i/>
        </w:rPr>
        <w:t>Journal of Research in Special Educational Needs</w:t>
      </w:r>
      <w:r w:rsidRPr="00133CC2">
        <w:rPr>
          <w:rFonts w:ascii="Gill Sans MT" w:hAnsi="Gill Sans MT"/>
        </w:rPr>
        <w:t>, 13(1), 79-91.</w:t>
      </w:r>
    </w:p>
    <w:p w14:paraId="1D934047" w14:textId="77777777" w:rsidR="00F5076F" w:rsidRDefault="008816CD" w:rsidP="008816CD">
      <w:pPr>
        <w:spacing w:after="0"/>
        <w:rPr>
          <w:rFonts w:ascii="Gill Sans MT" w:hAnsi="Gill Sans MT"/>
        </w:rPr>
      </w:pPr>
      <w:r w:rsidRPr="00133CC2">
        <w:rPr>
          <w:rFonts w:ascii="Gill Sans MT" w:hAnsi="Gill Sans MT"/>
        </w:rPr>
        <w:t xml:space="preserve">Castles, A., </w:t>
      </w:r>
      <w:r>
        <w:rPr>
          <w:rFonts w:ascii="Gill Sans MT" w:hAnsi="Gill Sans MT"/>
        </w:rPr>
        <w:t>Coltheart</w:t>
      </w:r>
      <w:r w:rsidRPr="00133CC2">
        <w:rPr>
          <w:rFonts w:ascii="Gill Sans MT" w:hAnsi="Gill Sans MT"/>
        </w:rPr>
        <w:t xml:space="preserve">, M., 1993, Varieties of developmental dyslexia, </w:t>
      </w:r>
      <w:r w:rsidRPr="00133CC2">
        <w:rPr>
          <w:rFonts w:ascii="Gill Sans MT" w:hAnsi="Gill Sans MT"/>
          <w:i/>
        </w:rPr>
        <w:t>Cognition</w:t>
      </w:r>
      <w:r w:rsidRPr="00133CC2">
        <w:rPr>
          <w:rFonts w:ascii="Gill Sans MT" w:hAnsi="Gill Sans MT"/>
        </w:rPr>
        <w:t>, 47, 149-180.</w:t>
      </w:r>
    </w:p>
    <w:p w14:paraId="55E5A030" w14:textId="7200ADD6" w:rsidR="008816CD" w:rsidRPr="00133CC2" w:rsidRDefault="00F5076F" w:rsidP="008816CD">
      <w:pPr>
        <w:spacing w:after="0"/>
        <w:rPr>
          <w:rFonts w:ascii="Gill Sans MT" w:hAnsi="Gill Sans MT"/>
        </w:rPr>
      </w:pPr>
      <w:r>
        <w:rPr>
          <w:rFonts w:ascii="Gill Sans MT" w:hAnsi="Gill Sans MT"/>
        </w:rPr>
        <w:t xml:space="preserve">Cattell, R.B., 1966, The scree test for the number of factors, </w:t>
      </w:r>
      <w:r>
        <w:rPr>
          <w:rFonts w:ascii="Gill Sans MT" w:hAnsi="Gill Sans MT"/>
          <w:i/>
          <w:iCs/>
        </w:rPr>
        <w:t>Multivariate Behavioural Research</w:t>
      </w:r>
      <w:r>
        <w:rPr>
          <w:rFonts w:ascii="Gill Sans MT" w:hAnsi="Gill Sans MT"/>
        </w:rPr>
        <w:t>, 1(2), 245-276.</w:t>
      </w:r>
      <w:r w:rsidR="008816CD" w:rsidRPr="00133CC2">
        <w:rPr>
          <w:rFonts w:ascii="Gill Sans MT" w:hAnsi="Gill Sans MT"/>
        </w:rPr>
        <w:t xml:space="preserve"> </w:t>
      </w:r>
    </w:p>
    <w:p w14:paraId="653F3F81" w14:textId="77777777" w:rsidR="008816CD" w:rsidRPr="00133CC2" w:rsidRDefault="008816CD" w:rsidP="008816CD">
      <w:pPr>
        <w:spacing w:after="0"/>
        <w:rPr>
          <w:rFonts w:ascii="Gill Sans MT" w:hAnsi="Gill Sans MT"/>
        </w:rPr>
      </w:pPr>
      <w:r w:rsidRPr="00133CC2">
        <w:rPr>
          <w:rFonts w:ascii="Gill Sans MT" w:hAnsi="Gill Sans MT"/>
        </w:rPr>
        <w:t xml:space="preserve">Cavalli, E., Duncan, L.G., Elbro, C., El Ahmadi, A., Cole, P., 2017, Phonemic-morphemic disassociation in university students with dyslexia: an index of reading compensation? </w:t>
      </w:r>
      <w:r w:rsidRPr="00133CC2">
        <w:rPr>
          <w:rFonts w:ascii="Gill Sans MT" w:hAnsi="Gill Sans MT"/>
          <w:i/>
        </w:rPr>
        <w:t>Annals of Dyslexia</w:t>
      </w:r>
      <w:r w:rsidRPr="00133CC2">
        <w:rPr>
          <w:rFonts w:ascii="Gill Sans MT" w:hAnsi="Gill Sans MT"/>
        </w:rPr>
        <w:t xml:space="preserve">, 67(1), 63-84. </w:t>
      </w:r>
    </w:p>
    <w:p w14:paraId="4674318C" w14:textId="77777777" w:rsidR="008816CD" w:rsidRPr="00133CC2" w:rsidRDefault="008816CD" w:rsidP="008816CD">
      <w:pPr>
        <w:spacing w:after="0"/>
        <w:rPr>
          <w:rFonts w:ascii="Gill Sans MT" w:hAnsi="Gill Sans MT"/>
        </w:rPr>
      </w:pPr>
      <w:r w:rsidRPr="00133CC2">
        <w:rPr>
          <w:rFonts w:ascii="Gill Sans MT" w:hAnsi="Gill Sans MT"/>
        </w:rPr>
        <w:t xml:space="preserve">Cavanagh, D., 2013, Outbound Train: The instructor support project: Universal Design for Learning and the role of technology, </w:t>
      </w:r>
      <w:r w:rsidRPr="00133CC2">
        <w:rPr>
          <w:rFonts w:ascii="Gill Sans MT" w:hAnsi="Gill Sans MT"/>
          <w:i/>
        </w:rPr>
        <w:t>QScience Conference Proceedings 2013, Global Innovators Conference 2013:7</w:t>
      </w:r>
      <w:r w:rsidRPr="00133CC2">
        <w:rPr>
          <w:rFonts w:ascii="Gill Sans MT" w:hAnsi="Gill Sans MT"/>
        </w:rPr>
        <w:t>, available at: http://www.qscience.com/doi/abs/10.5339/qproc.2013.gic.7, accessed on: 20th May 2015.</w:t>
      </w:r>
    </w:p>
    <w:p w14:paraId="729DA119" w14:textId="77777777" w:rsidR="008816CD" w:rsidRPr="00133CC2" w:rsidRDefault="008816CD" w:rsidP="008816CD">
      <w:pPr>
        <w:spacing w:after="0"/>
        <w:rPr>
          <w:rFonts w:ascii="Gill Sans MT" w:hAnsi="Gill Sans MT"/>
        </w:rPr>
      </w:pPr>
      <w:r w:rsidRPr="00133CC2">
        <w:rPr>
          <w:rFonts w:ascii="Gill Sans MT" w:hAnsi="Gill Sans MT"/>
        </w:rPr>
        <w:t xml:space="preserve">Cervone, D., Kopp, D.A., Schaumann, L., Scott, W.D., 1994, Mood, self-efficacy and performance standards: Lower moods induce higher standards for performance, </w:t>
      </w:r>
      <w:r w:rsidRPr="00133CC2">
        <w:rPr>
          <w:rFonts w:ascii="Gill Sans MT" w:hAnsi="Gill Sans MT"/>
          <w:i/>
        </w:rPr>
        <w:t>Journal of Personality and Social Psychology</w:t>
      </w:r>
      <w:r w:rsidRPr="00133CC2">
        <w:rPr>
          <w:rFonts w:ascii="Gill Sans MT" w:hAnsi="Gill Sans MT"/>
        </w:rPr>
        <w:t>, 67(3), 499-512.</w:t>
      </w:r>
    </w:p>
    <w:p w14:paraId="243A22BC" w14:textId="77777777" w:rsidR="008816CD" w:rsidRPr="00133CC2" w:rsidRDefault="008816CD" w:rsidP="008816CD">
      <w:pPr>
        <w:spacing w:after="0"/>
        <w:rPr>
          <w:rFonts w:ascii="Gill Sans MT" w:hAnsi="Gill Sans MT"/>
        </w:rPr>
      </w:pPr>
      <w:r w:rsidRPr="00133CC2">
        <w:rPr>
          <w:rFonts w:ascii="Gill Sans MT" w:hAnsi="Gill Sans MT"/>
        </w:rPr>
        <w:t xml:space="preserve">Chakravarty, A., 2009, Artistic talent in dyslexia - A hypothesis, </w:t>
      </w:r>
      <w:r w:rsidRPr="00133CC2">
        <w:rPr>
          <w:rFonts w:ascii="Gill Sans MT" w:hAnsi="Gill Sans MT"/>
          <w:i/>
        </w:rPr>
        <w:t>Medical Hypotheses</w:t>
      </w:r>
      <w:r w:rsidRPr="00133CC2">
        <w:rPr>
          <w:rFonts w:ascii="Gill Sans MT" w:hAnsi="Gill Sans MT"/>
        </w:rPr>
        <w:t xml:space="preserve">, 73(4), 569-571. </w:t>
      </w:r>
    </w:p>
    <w:p w14:paraId="65535A70" w14:textId="77777777" w:rsidR="008816CD" w:rsidRPr="00133CC2" w:rsidRDefault="008816CD" w:rsidP="008816CD">
      <w:pPr>
        <w:spacing w:after="0"/>
        <w:rPr>
          <w:rFonts w:ascii="Gill Sans MT" w:hAnsi="Gill Sans MT"/>
        </w:rPr>
      </w:pPr>
      <w:r w:rsidRPr="00133CC2">
        <w:rPr>
          <w:rFonts w:ascii="Gill Sans MT" w:hAnsi="Gill Sans MT"/>
        </w:rPr>
        <w:t xml:space="preserve">Chanock, K., 2007, How do we not communicate about dyslexia? The discourses that distance scientists, disabilities staff, ALL advisers, students and lecturers from one another, </w:t>
      </w:r>
      <w:r w:rsidRPr="00133CC2">
        <w:rPr>
          <w:rFonts w:ascii="Gill Sans MT" w:hAnsi="Gill Sans MT"/>
          <w:i/>
        </w:rPr>
        <w:t>Journal of Academic Language &amp; Learning</w:t>
      </w:r>
      <w:r w:rsidRPr="00133CC2">
        <w:rPr>
          <w:rFonts w:ascii="Gill Sans MT" w:hAnsi="Gill Sans MT"/>
        </w:rPr>
        <w:t>, 1(1) A34-A43.</w:t>
      </w:r>
    </w:p>
    <w:p w14:paraId="49C17A37" w14:textId="77777777" w:rsidR="008816CD" w:rsidRPr="00133CC2" w:rsidRDefault="008816CD" w:rsidP="008816CD">
      <w:pPr>
        <w:spacing w:after="0"/>
        <w:rPr>
          <w:rFonts w:ascii="Gill Sans MT" w:hAnsi="Gill Sans MT"/>
        </w:rPr>
      </w:pPr>
      <w:r w:rsidRPr="00133CC2">
        <w:rPr>
          <w:rFonts w:ascii="Gill Sans MT" w:hAnsi="Gill Sans MT"/>
        </w:rPr>
        <w:t xml:space="preserve">Chanock, K., Farchione, D., Paulusz W., Freeman, S., Lo-Giudice, L., 2010, In search of a simple assessment instrument for identifying dyslexia in university students </w:t>
      </w:r>
      <w:r w:rsidRPr="00133CC2">
        <w:rPr>
          <w:rFonts w:ascii="Gill Sans MT" w:hAnsi="Gill Sans MT"/>
          <w:i/>
        </w:rPr>
        <w:t>Australian Journal of Learning Difficulties</w:t>
      </w:r>
      <w:r w:rsidRPr="00133CC2">
        <w:rPr>
          <w:rFonts w:ascii="Gill Sans MT" w:hAnsi="Gill Sans MT"/>
        </w:rPr>
        <w:t>, 15(1), 35-49.</w:t>
      </w:r>
    </w:p>
    <w:p w14:paraId="1E7A6FAB" w14:textId="77777777" w:rsidR="008816CD" w:rsidRPr="00133CC2" w:rsidRDefault="008816CD" w:rsidP="008816CD">
      <w:pPr>
        <w:spacing w:after="0"/>
        <w:rPr>
          <w:rFonts w:ascii="Gill Sans MT" w:hAnsi="Gill Sans MT"/>
        </w:rPr>
      </w:pPr>
      <w:r w:rsidRPr="00133CC2">
        <w:rPr>
          <w:rFonts w:ascii="Gill Sans MT" w:hAnsi="Gill Sans MT"/>
        </w:rPr>
        <w:t xml:space="preserve">Chemers, M.M., Hu, L., Garcia, B.F., 2001, Academic self-efficacy and first-year college student performance and adjustment, </w:t>
      </w:r>
      <w:r w:rsidRPr="00133CC2">
        <w:rPr>
          <w:rFonts w:ascii="Gill Sans MT" w:hAnsi="Gill Sans MT"/>
          <w:i/>
        </w:rPr>
        <w:t>Journal of Educational Psychology</w:t>
      </w:r>
      <w:r w:rsidRPr="00133CC2">
        <w:rPr>
          <w:rFonts w:ascii="Gill Sans MT" w:hAnsi="Gill Sans MT"/>
        </w:rPr>
        <w:t>, 93(1), 55-94.</w:t>
      </w:r>
    </w:p>
    <w:p w14:paraId="5A1AA4DF" w14:textId="77777777" w:rsidR="008816CD" w:rsidRPr="00133CC2" w:rsidRDefault="008816CD" w:rsidP="008816CD">
      <w:pPr>
        <w:spacing w:after="0"/>
        <w:rPr>
          <w:rFonts w:ascii="Gill Sans MT" w:hAnsi="Gill Sans MT"/>
        </w:rPr>
      </w:pPr>
      <w:r w:rsidRPr="00133CC2">
        <w:rPr>
          <w:rFonts w:ascii="Gill Sans MT" w:hAnsi="Gill Sans MT"/>
        </w:rPr>
        <w:t xml:space="preserve">Chen, C.C., Greene, P.G., Crick, A., 1998, Does entrepreneurial self-efficacy distinguish entrepreneurs from managers? </w:t>
      </w:r>
      <w:r w:rsidRPr="00133CC2">
        <w:rPr>
          <w:rFonts w:ascii="Gill Sans MT" w:hAnsi="Gill Sans MT"/>
          <w:i/>
        </w:rPr>
        <w:t>Journal of Business Venturing</w:t>
      </w:r>
      <w:r w:rsidRPr="00133CC2">
        <w:rPr>
          <w:rFonts w:ascii="Gill Sans MT" w:hAnsi="Gill Sans MT"/>
        </w:rPr>
        <w:t>, 13(4), 295-316.</w:t>
      </w:r>
    </w:p>
    <w:p w14:paraId="4B33F03A" w14:textId="77777777" w:rsidR="008816CD" w:rsidRPr="00133CC2" w:rsidRDefault="008816CD" w:rsidP="008816CD">
      <w:pPr>
        <w:spacing w:after="0"/>
        <w:rPr>
          <w:rFonts w:ascii="Gill Sans MT" w:hAnsi="Gill Sans MT"/>
        </w:rPr>
      </w:pPr>
      <w:r w:rsidRPr="00133CC2">
        <w:rPr>
          <w:rFonts w:ascii="Gill Sans MT" w:hAnsi="Gill Sans MT"/>
        </w:rPr>
        <w:t xml:space="preserve">Chen, C.J., Keong, M.W.Y., Teh, C.S., Chuah, K M., 2016, Web text reading: what satisfy both dyslexic and normal learners? </w:t>
      </w:r>
      <w:r w:rsidRPr="00133CC2">
        <w:rPr>
          <w:rFonts w:ascii="Gill Sans MT" w:hAnsi="Gill Sans MT"/>
          <w:i/>
        </w:rPr>
        <w:t>Journal of Computers in Education</w:t>
      </w:r>
      <w:r w:rsidRPr="00133CC2">
        <w:rPr>
          <w:rFonts w:ascii="Gill Sans MT" w:hAnsi="Gill Sans MT"/>
        </w:rPr>
        <w:t xml:space="preserve">, 3(1), 47-58. </w:t>
      </w:r>
    </w:p>
    <w:p w14:paraId="2293CC85" w14:textId="77777777" w:rsidR="008816CD" w:rsidRPr="00133CC2" w:rsidRDefault="008816CD" w:rsidP="008816CD">
      <w:pPr>
        <w:spacing w:after="0"/>
        <w:rPr>
          <w:rFonts w:ascii="Gill Sans MT" w:hAnsi="Gill Sans MT"/>
        </w:rPr>
      </w:pPr>
      <w:r w:rsidRPr="00133CC2">
        <w:rPr>
          <w:rFonts w:ascii="Gill Sans MT" w:hAnsi="Gill Sans MT"/>
        </w:rPr>
        <w:t xml:space="preserve">Chen, G., Gully, S.M., Eden, D., 2001, Validation of a new general self-efficacy scale, </w:t>
      </w:r>
      <w:r w:rsidRPr="00133CC2">
        <w:rPr>
          <w:rFonts w:ascii="Gill Sans MT" w:hAnsi="Gill Sans MT"/>
          <w:i/>
        </w:rPr>
        <w:t>Organizational Research Methods</w:t>
      </w:r>
      <w:r w:rsidRPr="00133CC2">
        <w:rPr>
          <w:rFonts w:ascii="Gill Sans MT" w:hAnsi="Gill Sans MT"/>
        </w:rPr>
        <w:t>, 4(1), 62-83.</w:t>
      </w:r>
    </w:p>
    <w:p w14:paraId="1B19CFED" w14:textId="77777777" w:rsidR="008816CD" w:rsidRDefault="008816CD" w:rsidP="008816CD">
      <w:pPr>
        <w:spacing w:after="0"/>
        <w:rPr>
          <w:rFonts w:ascii="Gill Sans MT" w:hAnsi="Gill Sans MT"/>
        </w:rPr>
      </w:pPr>
      <w:r w:rsidRPr="00133CC2">
        <w:rPr>
          <w:rFonts w:ascii="Gill Sans MT" w:hAnsi="Gill Sans MT"/>
        </w:rPr>
        <w:t xml:space="preserve">Chester, A., Buntine, A., Hammond, K., Atkinson, L., 2011, Podcasting in education: student attitudes, behaviours and self-efficacy, </w:t>
      </w:r>
      <w:r w:rsidRPr="00133CC2">
        <w:rPr>
          <w:rFonts w:ascii="Gill Sans MT" w:hAnsi="Gill Sans MT"/>
          <w:i/>
        </w:rPr>
        <w:t>Journal of Educational Technology &amp; Society</w:t>
      </w:r>
      <w:r w:rsidRPr="00133CC2">
        <w:rPr>
          <w:rFonts w:ascii="Gill Sans MT" w:hAnsi="Gill Sans MT"/>
        </w:rPr>
        <w:t xml:space="preserve">, 14(2), 236-247. </w:t>
      </w:r>
    </w:p>
    <w:p w14:paraId="484A871F" w14:textId="77777777" w:rsidR="008816CD" w:rsidRPr="00133CC2" w:rsidRDefault="008816CD" w:rsidP="008816CD">
      <w:pPr>
        <w:spacing w:after="0"/>
        <w:rPr>
          <w:rFonts w:ascii="Gill Sans MT" w:hAnsi="Gill Sans MT"/>
        </w:rPr>
      </w:pPr>
      <w:r w:rsidRPr="00133CC2">
        <w:rPr>
          <w:rFonts w:ascii="Gill Sans MT" w:hAnsi="Gill Sans MT"/>
        </w:rPr>
        <w:lastRenderedPageBreak/>
        <w:t xml:space="preserve">Chester, A., Xenos, S., Ryan, R., Elgar, K., Telley, A., Li, J., Saunders, P., 2010, Supporting and challenging first year students: Evaluation of an embedded peer tutoring model in three disciplines, </w:t>
      </w:r>
      <w:r w:rsidRPr="00133CC2">
        <w:rPr>
          <w:rFonts w:ascii="Gill Sans MT" w:hAnsi="Gill Sans MT"/>
          <w:i/>
        </w:rPr>
        <w:t>Nuts and Bolts</w:t>
      </w:r>
      <w:r w:rsidRPr="00133CC2">
        <w:rPr>
          <w:rFonts w:ascii="Gill Sans MT" w:hAnsi="Gill Sans MT"/>
        </w:rPr>
        <w:t>, Melbourne Australia, RMIT University.</w:t>
      </w:r>
    </w:p>
    <w:p w14:paraId="6E2E89CC" w14:textId="77777777" w:rsidR="008816CD" w:rsidRPr="00133CC2" w:rsidRDefault="008816CD" w:rsidP="008816CD">
      <w:pPr>
        <w:spacing w:after="0"/>
        <w:rPr>
          <w:rFonts w:ascii="Gill Sans MT" w:hAnsi="Gill Sans MT"/>
        </w:rPr>
      </w:pPr>
      <w:r w:rsidRPr="00133CC2">
        <w:rPr>
          <w:rFonts w:ascii="Gill Sans MT" w:hAnsi="Gill Sans MT"/>
        </w:rPr>
        <w:t xml:space="preserve">Chirkov, V., Ryna, R.M., Kim, Y., Kaplan, U., 2003, Differentiating autonomy from individualism and independence: a self-determination theory perspective on internalization of cultural orientations and well-being, </w:t>
      </w:r>
      <w:r w:rsidRPr="00133CC2">
        <w:rPr>
          <w:rFonts w:ascii="Gill Sans MT" w:hAnsi="Gill Sans MT"/>
          <w:i/>
        </w:rPr>
        <w:t>Journal of Personality and Social Psychology</w:t>
      </w:r>
      <w:r w:rsidRPr="00133CC2">
        <w:rPr>
          <w:rFonts w:ascii="Gill Sans MT" w:hAnsi="Gill Sans MT"/>
        </w:rPr>
        <w:t>, 84(1), 97-110.</w:t>
      </w:r>
    </w:p>
    <w:p w14:paraId="0A6959A3" w14:textId="77777777" w:rsidR="008816CD" w:rsidRPr="00133CC2" w:rsidRDefault="008816CD" w:rsidP="008816CD">
      <w:pPr>
        <w:spacing w:after="0"/>
        <w:rPr>
          <w:rFonts w:ascii="Gill Sans MT" w:hAnsi="Gill Sans MT"/>
        </w:rPr>
      </w:pPr>
      <w:r w:rsidRPr="00133CC2">
        <w:rPr>
          <w:rFonts w:ascii="Gill Sans MT" w:hAnsi="Gill Sans MT"/>
        </w:rPr>
        <w:t xml:space="preserve">Choudhary, R., Malthaus, C., 2017, The impact of targeted mathematics/numeracy tutorials on maths anxiety, numeracy and basic drug calculation exam marks, </w:t>
      </w:r>
      <w:r w:rsidRPr="00133CC2">
        <w:rPr>
          <w:rFonts w:ascii="Gill Sans MT" w:hAnsi="Gill Sans MT"/>
          <w:i/>
        </w:rPr>
        <w:t>Journal of Academic Language and Learning</w:t>
      </w:r>
      <w:r w:rsidRPr="00133CC2">
        <w:rPr>
          <w:rFonts w:ascii="Gill Sans MT" w:hAnsi="Gill Sans MT"/>
        </w:rPr>
        <w:t xml:space="preserve">, 11(1), A1-A22. </w:t>
      </w:r>
    </w:p>
    <w:p w14:paraId="06A085E1" w14:textId="77777777" w:rsidR="008816CD" w:rsidRPr="00133CC2" w:rsidRDefault="008816CD" w:rsidP="008816CD">
      <w:pPr>
        <w:spacing w:after="0"/>
        <w:rPr>
          <w:rFonts w:ascii="Gill Sans MT" w:hAnsi="Gill Sans MT"/>
        </w:rPr>
      </w:pPr>
      <w:r w:rsidRPr="00133CC2">
        <w:rPr>
          <w:rFonts w:ascii="Gill Sans MT" w:hAnsi="Gill Sans MT"/>
        </w:rPr>
        <w:t xml:space="preserve">Choy, S.C., Elvirozita, T., 2017, How and why Malaysian hospitality and tourism management students learn, IN: Teh, G.B., Choy, S.C., </w:t>
      </w:r>
      <w:r w:rsidRPr="00133CC2">
        <w:rPr>
          <w:rFonts w:ascii="Gill Sans MT" w:hAnsi="Gill Sans MT"/>
          <w:i/>
        </w:rPr>
        <w:t>Empowering 21st Century Learners Through Holistic and Enterprising Learning</w:t>
      </w:r>
      <w:r w:rsidRPr="00133CC2">
        <w:rPr>
          <w:rFonts w:ascii="Gill Sans MT" w:hAnsi="Gill Sans MT"/>
        </w:rPr>
        <w:t>, Kuala Lumpur, Springer, 59-67.</w:t>
      </w:r>
    </w:p>
    <w:p w14:paraId="573CBD0A" w14:textId="77777777" w:rsidR="008816CD" w:rsidRDefault="008816CD" w:rsidP="008816CD">
      <w:pPr>
        <w:spacing w:after="0"/>
        <w:rPr>
          <w:rFonts w:ascii="Gill Sans MT" w:hAnsi="Gill Sans MT"/>
        </w:rPr>
      </w:pPr>
      <w:r w:rsidRPr="00133CC2">
        <w:rPr>
          <w:rFonts w:ascii="Gill Sans MT" w:hAnsi="Gill Sans MT"/>
        </w:rPr>
        <w:t xml:space="preserve">Cirocki, A., 2013, The reading portfolio: A tool for both learning and assessment in the secondary school EFL classroom, </w:t>
      </w:r>
      <w:r w:rsidRPr="00133CC2">
        <w:rPr>
          <w:rFonts w:ascii="Gill Sans MT" w:hAnsi="Gill Sans MT"/>
          <w:i/>
        </w:rPr>
        <w:t>International Journal of Innovation in English Language Teaching and Research</w:t>
      </w:r>
      <w:r w:rsidRPr="00133CC2">
        <w:rPr>
          <w:rFonts w:ascii="Gill Sans MT" w:hAnsi="Gill Sans MT"/>
        </w:rPr>
        <w:t>, 2(2), 223-228.</w:t>
      </w:r>
    </w:p>
    <w:p w14:paraId="502CFA3B" w14:textId="77777777" w:rsidR="008816CD" w:rsidRPr="00267B2F" w:rsidRDefault="008816CD" w:rsidP="008816CD">
      <w:pPr>
        <w:spacing w:after="0"/>
        <w:rPr>
          <w:rFonts w:ascii="Gill Sans MT" w:hAnsi="Gill Sans MT"/>
        </w:rPr>
      </w:pPr>
      <w:r>
        <w:rPr>
          <w:rFonts w:ascii="Gill Sans MT" w:hAnsi="Gill Sans MT"/>
        </w:rPr>
        <w:t xml:space="preserve">Claro Software Ltd, 2017, </w:t>
      </w:r>
      <w:r>
        <w:rPr>
          <w:rFonts w:ascii="Gill Sans MT" w:hAnsi="Gill Sans MT"/>
          <w:i/>
        </w:rPr>
        <w:t>ClaroRead for PC</w:t>
      </w:r>
      <w:r>
        <w:rPr>
          <w:rFonts w:ascii="Gill Sans MT" w:hAnsi="Gill Sans MT"/>
        </w:rPr>
        <w:t xml:space="preserve">, Available at: </w:t>
      </w:r>
      <w:hyperlink r:id="rId61" w:history="1">
        <w:r w:rsidRPr="007612E0">
          <w:rPr>
            <w:rStyle w:val="Hyperlink"/>
            <w:rFonts w:ascii="Gill Sans MT" w:hAnsi="Gill Sans MT"/>
          </w:rPr>
          <w:t>https://www.clarosoftware.com/portfolio/claroread</w:t>
        </w:r>
      </w:hyperlink>
      <w:r>
        <w:rPr>
          <w:rFonts w:ascii="Gill Sans MT" w:hAnsi="Gill Sans MT"/>
        </w:rPr>
        <w:t>, Accessed on: 25</w:t>
      </w:r>
      <w:r w:rsidRPr="00267B2F">
        <w:rPr>
          <w:rFonts w:ascii="Gill Sans MT" w:hAnsi="Gill Sans MT"/>
          <w:vertAlign w:val="superscript"/>
        </w:rPr>
        <w:t>th</w:t>
      </w:r>
      <w:r>
        <w:rPr>
          <w:rFonts w:ascii="Gill Sans MT" w:hAnsi="Gill Sans MT"/>
        </w:rPr>
        <w:t xml:space="preserve"> February 2017.</w:t>
      </w:r>
    </w:p>
    <w:p w14:paraId="68887BDA" w14:textId="15F56592" w:rsidR="008816CD" w:rsidRDefault="008816CD" w:rsidP="008816CD">
      <w:pPr>
        <w:spacing w:after="0"/>
        <w:rPr>
          <w:rFonts w:ascii="Gill Sans MT" w:hAnsi="Gill Sans MT"/>
        </w:rPr>
      </w:pPr>
      <w:r>
        <w:rPr>
          <w:rFonts w:ascii="Gill Sans MT" w:hAnsi="Gill Sans MT"/>
        </w:rPr>
        <w:t xml:space="preserve">Coates, H., 2005, The value of student engagement for higher education quality assurance, </w:t>
      </w:r>
      <w:r>
        <w:rPr>
          <w:rFonts w:ascii="Gill Sans MT" w:hAnsi="Gill Sans MT"/>
          <w:i/>
        </w:rPr>
        <w:t>Quality in Higher Education</w:t>
      </w:r>
      <w:r>
        <w:rPr>
          <w:rFonts w:ascii="Gill Sans MT" w:hAnsi="Gill Sans MT"/>
        </w:rPr>
        <w:t>, 11(1), 25-36.</w:t>
      </w:r>
    </w:p>
    <w:p w14:paraId="02465E65" w14:textId="1A0D77E0" w:rsidR="001B59C3" w:rsidRPr="001B59C3" w:rsidRDefault="001B59C3" w:rsidP="008816CD">
      <w:pPr>
        <w:spacing w:after="0"/>
        <w:rPr>
          <w:rFonts w:ascii="Gill Sans MT" w:hAnsi="Gill Sans MT"/>
        </w:rPr>
      </w:pPr>
      <w:r>
        <w:rPr>
          <w:rFonts w:ascii="Gill Sans MT" w:hAnsi="Gill Sans MT"/>
        </w:rPr>
        <w:t xml:space="preserve">Cockroft, K., Hartgill, M., 2004, Focusing on the abilities in learning disabilities: dyslexia and creativity. </w:t>
      </w:r>
      <w:r>
        <w:rPr>
          <w:rFonts w:ascii="Gill Sans MT" w:hAnsi="Gill Sans MT"/>
          <w:i/>
          <w:iCs/>
        </w:rPr>
        <w:t>Education As Change</w:t>
      </w:r>
      <w:r>
        <w:rPr>
          <w:rFonts w:ascii="Gill Sans MT" w:hAnsi="Gill Sans MT"/>
        </w:rPr>
        <w:t>, 8(1), 61-79.</w:t>
      </w:r>
    </w:p>
    <w:p w14:paraId="570452E7" w14:textId="77777777" w:rsidR="008816CD" w:rsidRPr="00760AF7" w:rsidRDefault="008816CD" w:rsidP="008816CD">
      <w:pPr>
        <w:spacing w:after="0"/>
        <w:rPr>
          <w:rFonts w:ascii="Gill Sans MT" w:hAnsi="Gill Sans MT"/>
        </w:rPr>
      </w:pPr>
      <w:r>
        <w:rPr>
          <w:rFonts w:ascii="Gill Sans MT" w:hAnsi="Gill Sans MT"/>
        </w:rPr>
        <w:t xml:space="preserve">Cohen, J., 1988, </w:t>
      </w:r>
      <w:r>
        <w:rPr>
          <w:rFonts w:ascii="Gill Sans MT" w:hAnsi="Gill Sans MT"/>
          <w:i/>
        </w:rPr>
        <w:t>Statistical power analysis for the behavioural sciences (2</w:t>
      </w:r>
      <w:r w:rsidRPr="00760AF7">
        <w:rPr>
          <w:rFonts w:ascii="Gill Sans MT" w:hAnsi="Gill Sans MT"/>
          <w:i/>
          <w:vertAlign w:val="superscript"/>
        </w:rPr>
        <w:t>nd</w:t>
      </w:r>
      <w:r>
        <w:rPr>
          <w:rFonts w:ascii="Gill Sans MT" w:hAnsi="Gill Sans MT"/>
          <w:i/>
        </w:rPr>
        <w:t xml:space="preserve"> edn)</w:t>
      </w:r>
      <w:r>
        <w:rPr>
          <w:rFonts w:ascii="Gill Sans MT" w:hAnsi="Gill Sans MT"/>
        </w:rPr>
        <w:t>, New York, Psychology Press.</w:t>
      </w:r>
    </w:p>
    <w:p w14:paraId="5BED59A8" w14:textId="77777777" w:rsidR="008816CD" w:rsidRPr="00133CC2" w:rsidRDefault="008816CD" w:rsidP="008816CD">
      <w:pPr>
        <w:spacing w:after="0"/>
        <w:rPr>
          <w:rFonts w:ascii="Gill Sans MT" w:hAnsi="Gill Sans MT"/>
        </w:rPr>
      </w:pPr>
      <w:r w:rsidRPr="00133CC2">
        <w:rPr>
          <w:rFonts w:ascii="Gill Sans MT" w:hAnsi="Gill Sans MT"/>
        </w:rPr>
        <w:t xml:space="preserve">Cohen, J., 1992, A power primer, </w:t>
      </w:r>
      <w:r w:rsidRPr="00133CC2">
        <w:rPr>
          <w:rFonts w:ascii="Gill Sans MT" w:hAnsi="Gill Sans MT"/>
          <w:i/>
        </w:rPr>
        <w:t>Psychological Bulletin</w:t>
      </w:r>
      <w:r w:rsidRPr="00133CC2">
        <w:rPr>
          <w:rFonts w:ascii="Gill Sans MT" w:hAnsi="Gill Sans MT"/>
        </w:rPr>
        <w:t>, 112(1), 155-159.</w:t>
      </w:r>
    </w:p>
    <w:p w14:paraId="3B9577E5" w14:textId="60B8B65F" w:rsidR="008816CD" w:rsidRDefault="008816CD" w:rsidP="008816CD">
      <w:pPr>
        <w:spacing w:after="0"/>
        <w:rPr>
          <w:rFonts w:ascii="Gill Sans MT" w:hAnsi="Gill Sans MT"/>
        </w:rPr>
      </w:pPr>
      <w:r w:rsidRPr="00133CC2">
        <w:rPr>
          <w:rFonts w:ascii="Gill Sans MT" w:hAnsi="Gill Sans MT"/>
        </w:rPr>
        <w:t xml:space="preserve">Cohen, L., Manion, L., 1994, </w:t>
      </w:r>
      <w:r w:rsidRPr="00133CC2">
        <w:rPr>
          <w:rFonts w:ascii="Gill Sans MT" w:hAnsi="Gill Sans MT"/>
          <w:i/>
        </w:rPr>
        <w:t>Research Methods in Education (4th edn)</w:t>
      </w:r>
      <w:r w:rsidRPr="00133CC2">
        <w:rPr>
          <w:rFonts w:ascii="Gill Sans MT" w:hAnsi="Gill Sans MT"/>
        </w:rPr>
        <w:t xml:space="preserve">, London, Routledge. </w:t>
      </w:r>
    </w:p>
    <w:p w14:paraId="29394284" w14:textId="0D1A1604" w:rsidR="00115215" w:rsidRPr="00115215" w:rsidRDefault="00115215" w:rsidP="008816CD">
      <w:pPr>
        <w:spacing w:after="0"/>
        <w:rPr>
          <w:rFonts w:ascii="Gill Sans MT" w:hAnsi="Gill Sans MT"/>
        </w:rPr>
      </w:pPr>
      <w:r>
        <w:rPr>
          <w:rFonts w:ascii="Gill Sans MT" w:hAnsi="Gill Sans MT"/>
        </w:rPr>
        <w:t xml:space="preserve">Cohen, L., Manion, L., Morrison, K., 2007, </w:t>
      </w:r>
      <w:r>
        <w:rPr>
          <w:rFonts w:ascii="Gill Sans MT" w:hAnsi="Gill Sans MT"/>
          <w:i/>
          <w:iCs/>
        </w:rPr>
        <w:t>Research Methods in Education (6th edn)</w:t>
      </w:r>
      <w:r>
        <w:rPr>
          <w:rFonts w:ascii="Gill Sans MT" w:hAnsi="Gill Sans MT"/>
        </w:rPr>
        <w:t>, London, Routledge.</w:t>
      </w:r>
    </w:p>
    <w:p w14:paraId="70255B50" w14:textId="77777777" w:rsidR="008816CD" w:rsidRPr="00133CC2" w:rsidRDefault="008816CD" w:rsidP="008816CD">
      <w:pPr>
        <w:spacing w:after="0"/>
        <w:rPr>
          <w:rFonts w:ascii="Gill Sans MT" w:hAnsi="Gill Sans MT"/>
        </w:rPr>
      </w:pPr>
      <w:r w:rsidRPr="00133CC2">
        <w:rPr>
          <w:rFonts w:ascii="Gill Sans MT" w:hAnsi="Gill Sans MT"/>
        </w:rPr>
        <w:t xml:space="preserve">Collins, B.L., 1982, Self-efficacy and ability in achievement behaviour, Conference </w:t>
      </w:r>
      <w:r w:rsidRPr="00133CC2">
        <w:rPr>
          <w:rFonts w:ascii="Gill Sans MT" w:hAnsi="Gill Sans MT"/>
          <w:i/>
        </w:rPr>
        <w:t>Paper presented at the Annual Meeting of the American Educational Research Association</w:t>
      </w:r>
      <w:r w:rsidRPr="00133CC2">
        <w:rPr>
          <w:rFonts w:ascii="Gill Sans MT" w:hAnsi="Gill Sans MT"/>
        </w:rPr>
        <w:t>, New York.</w:t>
      </w:r>
    </w:p>
    <w:p w14:paraId="642D0512" w14:textId="77777777" w:rsidR="008816CD" w:rsidRPr="00133CC2" w:rsidRDefault="008816CD" w:rsidP="008816CD">
      <w:pPr>
        <w:spacing w:after="0"/>
        <w:rPr>
          <w:rFonts w:ascii="Gill Sans MT" w:hAnsi="Gill Sans MT"/>
        </w:rPr>
      </w:pPr>
      <w:r w:rsidRPr="00133CC2">
        <w:rPr>
          <w:rFonts w:ascii="Gill Sans MT" w:hAnsi="Gill Sans MT"/>
        </w:rPr>
        <w:t xml:space="preserve">Collinson, C., Penketh, C., 2010, 'Sit in the corner and don't eat the crayons': postgraduates with dyslexia and dominant lexic discourse, </w:t>
      </w:r>
      <w:r w:rsidRPr="00133CC2">
        <w:rPr>
          <w:rFonts w:ascii="Gill Sans MT" w:hAnsi="Gill Sans MT"/>
          <w:i/>
        </w:rPr>
        <w:t>Disability &amp; Society</w:t>
      </w:r>
      <w:r w:rsidRPr="00133CC2">
        <w:rPr>
          <w:rFonts w:ascii="Gill Sans MT" w:hAnsi="Gill Sans MT"/>
        </w:rPr>
        <w:t xml:space="preserve">, 25(1), 7-19. </w:t>
      </w:r>
    </w:p>
    <w:p w14:paraId="2E286ADE" w14:textId="77777777" w:rsidR="008816CD" w:rsidRPr="00133CC2" w:rsidRDefault="008816CD" w:rsidP="008816CD">
      <w:pPr>
        <w:spacing w:after="0"/>
        <w:rPr>
          <w:rFonts w:ascii="Gill Sans MT" w:hAnsi="Gill Sans MT"/>
        </w:rPr>
      </w:pPr>
      <w:r w:rsidRPr="00133CC2">
        <w:rPr>
          <w:rFonts w:ascii="Gill Sans MT" w:hAnsi="Gill Sans MT"/>
        </w:rPr>
        <w:t xml:space="preserve">Collinson, C., Penketh, C., 2013, Idle Chatter and Alienating 'Blah': Rewriting literacy as a site for exclusion, </w:t>
      </w:r>
      <w:r w:rsidRPr="00133CC2">
        <w:rPr>
          <w:rFonts w:ascii="Gill Sans MT" w:hAnsi="Gill Sans MT"/>
          <w:i/>
        </w:rPr>
        <w:t>International Journal of Inclusive Education</w:t>
      </w:r>
      <w:r w:rsidRPr="00133CC2">
        <w:rPr>
          <w:rFonts w:ascii="Gill Sans MT" w:hAnsi="Gill Sans MT"/>
        </w:rPr>
        <w:t>, 17(2), 143-155.</w:t>
      </w:r>
    </w:p>
    <w:p w14:paraId="5F988CA1" w14:textId="77777777" w:rsidR="008816CD" w:rsidRPr="00133CC2" w:rsidRDefault="008816CD" w:rsidP="008816CD">
      <w:pPr>
        <w:spacing w:after="0"/>
        <w:rPr>
          <w:rFonts w:ascii="Gill Sans MT" w:hAnsi="Gill Sans MT"/>
        </w:rPr>
      </w:pPr>
      <w:r w:rsidRPr="00133CC2">
        <w:rPr>
          <w:rFonts w:ascii="Gill Sans MT" w:hAnsi="Gill Sans MT"/>
        </w:rPr>
        <w:t xml:space="preserve">Collis, B., Moonen, J., 2008, Web 2.0 tools and processes in higher education: quality perspectives, </w:t>
      </w:r>
      <w:r w:rsidRPr="00133CC2">
        <w:rPr>
          <w:rFonts w:ascii="Gill Sans MT" w:hAnsi="Gill Sans MT"/>
          <w:i/>
        </w:rPr>
        <w:t>Educational Media International</w:t>
      </w:r>
      <w:r w:rsidRPr="00133CC2">
        <w:rPr>
          <w:rFonts w:ascii="Gill Sans MT" w:hAnsi="Gill Sans MT"/>
        </w:rPr>
        <w:t>, 45(2), 93-106.</w:t>
      </w:r>
    </w:p>
    <w:p w14:paraId="7A57EF5A" w14:textId="77777777" w:rsidR="008816CD" w:rsidRDefault="008816CD" w:rsidP="008816CD">
      <w:pPr>
        <w:spacing w:after="0"/>
        <w:rPr>
          <w:rFonts w:ascii="Gill Sans MT" w:hAnsi="Gill Sans MT"/>
        </w:rPr>
      </w:pPr>
      <w:r w:rsidRPr="00133CC2">
        <w:rPr>
          <w:rFonts w:ascii="Gill Sans MT" w:hAnsi="Gill Sans MT"/>
        </w:rPr>
        <w:t xml:space="preserve">Colosi, L., 2006, Designing an effective questionnaire, </w:t>
      </w:r>
      <w:r w:rsidRPr="00133CC2">
        <w:rPr>
          <w:rFonts w:ascii="Gill Sans MT" w:hAnsi="Gill Sans MT"/>
          <w:i/>
        </w:rPr>
        <w:t>Research brief: Cornell University, New York City</w:t>
      </w:r>
      <w:r w:rsidRPr="00133CC2">
        <w:rPr>
          <w:rFonts w:ascii="Gill Sans MT" w:hAnsi="Gill Sans MT"/>
        </w:rPr>
        <w:t>; available at: http://citeseerx.ist.psu.edu/viewdoc/download?doi=10.1.1.419.6136&amp;rep=rep1&amp;type=pdf; accessed on: 8th May 2016.</w:t>
      </w:r>
    </w:p>
    <w:p w14:paraId="1A863AFF" w14:textId="77777777" w:rsidR="008816CD" w:rsidRPr="008D6AE7" w:rsidRDefault="008816CD" w:rsidP="008816CD">
      <w:pPr>
        <w:spacing w:after="0"/>
        <w:rPr>
          <w:rFonts w:ascii="Gill Sans MT" w:hAnsi="Gill Sans MT"/>
        </w:rPr>
      </w:pPr>
      <w:r>
        <w:rPr>
          <w:rFonts w:ascii="Gill Sans MT" w:hAnsi="Gill Sans MT"/>
        </w:rPr>
        <w:t xml:space="preserve">Comrey, A.L., Lee, H.B., 2013, </w:t>
      </w:r>
      <w:r>
        <w:rPr>
          <w:rFonts w:ascii="Gill Sans MT" w:hAnsi="Gill Sans MT"/>
          <w:i/>
        </w:rPr>
        <w:t>A first course in factor analysis (2</w:t>
      </w:r>
      <w:r w:rsidRPr="008D6AE7">
        <w:rPr>
          <w:rFonts w:ascii="Gill Sans MT" w:hAnsi="Gill Sans MT"/>
          <w:i/>
          <w:vertAlign w:val="superscript"/>
        </w:rPr>
        <w:t>nd</w:t>
      </w:r>
      <w:r>
        <w:rPr>
          <w:rFonts w:ascii="Gill Sans MT" w:hAnsi="Gill Sans MT"/>
          <w:i/>
        </w:rPr>
        <w:t xml:space="preserve"> edn)</w:t>
      </w:r>
      <w:r>
        <w:rPr>
          <w:rFonts w:ascii="Gill Sans MT" w:hAnsi="Gill Sans MT"/>
        </w:rPr>
        <w:t>, New York, Psychology Press.</w:t>
      </w:r>
    </w:p>
    <w:p w14:paraId="2A92004F" w14:textId="77777777" w:rsidR="008816CD" w:rsidRPr="00133CC2" w:rsidRDefault="008816CD" w:rsidP="008816CD">
      <w:pPr>
        <w:spacing w:after="0"/>
        <w:rPr>
          <w:rFonts w:ascii="Gill Sans MT" w:hAnsi="Gill Sans MT"/>
        </w:rPr>
      </w:pPr>
      <w:r w:rsidRPr="00133CC2">
        <w:rPr>
          <w:rFonts w:ascii="Gill Sans MT" w:hAnsi="Gill Sans MT"/>
        </w:rPr>
        <w:t xml:space="preserve">Conley, D.T., French, E.M., 2014, Student ownership of learning s a key component of college readiness, </w:t>
      </w:r>
      <w:r w:rsidRPr="00133CC2">
        <w:rPr>
          <w:rFonts w:ascii="Gill Sans MT" w:hAnsi="Gill Sans MT"/>
          <w:i/>
        </w:rPr>
        <w:t>American Behavioral Scientist</w:t>
      </w:r>
      <w:r w:rsidRPr="00133CC2">
        <w:rPr>
          <w:rFonts w:ascii="Gill Sans MT" w:hAnsi="Gill Sans MT"/>
        </w:rPr>
        <w:t>, 58(8), 1018-1034.</w:t>
      </w:r>
    </w:p>
    <w:p w14:paraId="3E22AEF7" w14:textId="77777777" w:rsidR="008816CD" w:rsidRPr="00133CC2" w:rsidRDefault="008816CD" w:rsidP="008816CD">
      <w:pPr>
        <w:spacing w:after="0"/>
        <w:rPr>
          <w:rFonts w:ascii="Gill Sans MT" w:hAnsi="Gill Sans MT"/>
        </w:rPr>
      </w:pPr>
      <w:r w:rsidRPr="00133CC2">
        <w:rPr>
          <w:rFonts w:ascii="Gill Sans MT" w:hAnsi="Gill Sans MT"/>
        </w:rPr>
        <w:lastRenderedPageBreak/>
        <w:t xml:space="preserve">Cooper, R., 2006, </w:t>
      </w:r>
      <w:r w:rsidRPr="00133CC2">
        <w:rPr>
          <w:rFonts w:ascii="Gill Sans MT" w:hAnsi="Gill Sans MT"/>
          <w:i/>
        </w:rPr>
        <w:t>Neurodiversity and Dyslexia: challenging the social construction of specific learning difficulties</w:t>
      </w:r>
      <w:r w:rsidRPr="00133CC2">
        <w:rPr>
          <w:rFonts w:ascii="Gill Sans MT" w:hAnsi="Gill Sans MT"/>
        </w:rPr>
        <w:t>, London South Bank University.</w:t>
      </w:r>
    </w:p>
    <w:p w14:paraId="539F1285" w14:textId="77777777" w:rsidR="008816CD" w:rsidRPr="00133CC2" w:rsidRDefault="008816CD" w:rsidP="008816CD">
      <w:pPr>
        <w:spacing w:after="0"/>
        <w:rPr>
          <w:rFonts w:ascii="Gill Sans MT" w:hAnsi="Gill Sans MT"/>
        </w:rPr>
      </w:pPr>
      <w:r w:rsidRPr="00133CC2">
        <w:rPr>
          <w:rFonts w:ascii="Gill Sans MT" w:hAnsi="Gill Sans MT"/>
        </w:rPr>
        <w:t>Cooper, R., 2009, Dyslexia, IN: Pollak, D., (Ed), </w:t>
      </w:r>
      <w:r w:rsidRPr="00133CC2">
        <w:rPr>
          <w:rFonts w:ascii="Gill Sans MT" w:hAnsi="Gill Sans MT"/>
          <w:i/>
        </w:rPr>
        <w:t>Neurodiversity in Higher Education: Positive responses to specific learning differences</w:t>
      </w:r>
      <w:r w:rsidRPr="00133CC2">
        <w:rPr>
          <w:rFonts w:ascii="Gill Sans MT" w:hAnsi="Gill Sans MT"/>
        </w:rPr>
        <w:t>, Chichester, Wiley-Blackwell.</w:t>
      </w:r>
    </w:p>
    <w:p w14:paraId="18965B86" w14:textId="77777777" w:rsidR="008816CD" w:rsidRPr="00F355BD" w:rsidRDefault="008816CD" w:rsidP="008816CD">
      <w:pPr>
        <w:spacing w:after="0"/>
        <w:rPr>
          <w:rFonts w:ascii="Gill Sans MT" w:hAnsi="Gill Sans MT"/>
        </w:rPr>
      </w:pPr>
      <w:r>
        <w:rPr>
          <w:rFonts w:ascii="Gill Sans MT" w:hAnsi="Gill Sans MT"/>
        </w:rPr>
        <w:t xml:space="preserve">Corballis, M.C., 2018, Mirror-image equivalence and interhemispheric mirror-image reversal, </w:t>
      </w:r>
      <w:r>
        <w:rPr>
          <w:rFonts w:ascii="Gill Sans MT" w:hAnsi="Gill Sans MT"/>
          <w:i/>
        </w:rPr>
        <w:t>Frontiers Human Neuroscience</w:t>
      </w:r>
      <w:r>
        <w:rPr>
          <w:rFonts w:ascii="Gill Sans MT" w:hAnsi="Gill Sans MT"/>
        </w:rPr>
        <w:t xml:space="preserve">, 12, </w:t>
      </w:r>
    </w:p>
    <w:p w14:paraId="5B41EA09" w14:textId="77777777" w:rsidR="008816CD" w:rsidRPr="00382E04" w:rsidRDefault="008816CD" w:rsidP="008816CD">
      <w:pPr>
        <w:spacing w:after="0"/>
        <w:rPr>
          <w:rFonts w:ascii="Gill Sans MT" w:hAnsi="Gill Sans MT"/>
        </w:rPr>
      </w:pPr>
      <w:r>
        <w:rPr>
          <w:rFonts w:ascii="Gill Sans MT" w:hAnsi="Gill Sans MT"/>
        </w:rPr>
        <w:t xml:space="preserve">Corballis, M.C., Macadie, L., Crotty, A., Beale, I.L., 1985, The naming of disoriented letters by normal and reading-disabled children, </w:t>
      </w:r>
      <w:r>
        <w:rPr>
          <w:rFonts w:ascii="Gill Sans MT" w:hAnsi="Gill Sans MT"/>
          <w:i/>
        </w:rPr>
        <w:t>Journal of Child Psychology and Psychiatry</w:t>
      </w:r>
      <w:r>
        <w:rPr>
          <w:rFonts w:ascii="Gill Sans MT" w:hAnsi="Gill Sans MT"/>
        </w:rPr>
        <w:t>, 26, 919-938.</w:t>
      </w:r>
    </w:p>
    <w:p w14:paraId="4A6FC8F7" w14:textId="77777777" w:rsidR="00451907" w:rsidRDefault="008816CD" w:rsidP="008816CD">
      <w:pPr>
        <w:spacing w:after="0"/>
        <w:rPr>
          <w:rFonts w:ascii="Gill Sans MT" w:hAnsi="Gill Sans MT"/>
        </w:rPr>
      </w:pPr>
      <w:r w:rsidRPr="00133CC2">
        <w:rPr>
          <w:rFonts w:ascii="Gill Sans MT" w:hAnsi="Gill Sans MT"/>
        </w:rPr>
        <w:t xml:space="preserve">Corkery, E., O'Sullivan, K., O'Mullane, J., Murphy, M., 2011, Examining the use of the Academic Confidence Scale in a student population, </w:t>
      </w:r>
      <w:r w:rsidRPr="00133CC2">
        <w:rPr>
          <w:rFonts w:ascii="Gill Sans MT" w:hAnsi="Gill Sans MT"/>
          <w:i/>
        </w:rPr>
        <w:t>31st Conference on Applied Statistics 2011</w:t>
      </w:r>
      <w:r w:rsidRPr="00133CC2">
        <w:rPr>
          <w:rFonts w:ascii="Gill Sans MT" w:hAnsi="Gill Sans MT"/>
        </w:rPr>
        <w:t>, NUI Galway.</w:t>
      </w:r>
    </w:p>
    <w:p w14:paraId="0ABC4A9E" w14:textId="2E549440" w:rsidR="008816CD" w:rsidRPr="00133CC2" w:rsidRDefault="00451907" w:rsidP="008816CD">
      <w:pPr>
        <w:spacing w:after="0"/>
        <w:rPr>
          <w:rFonts w:ascii="Gill Sans MT" w:hAnsi="Gill Sans MT"/>
        </w:rPr>
      </w:pPr>
      <w:r w:rsidRPr="00451907">
        <w:rPr>
          <w:rFonts w:ascii="Gill Sans MT" w:hAnsi="Gill Sans MT"/>
        </w:rPr>
        <w:t xml:space="preserve">Cortina, J.M., 1993, What is coefficient alpha?, </w:t>
      </w:r>
      <w:r w:rsidRPr="00451907">
        <w:rPr>
          <w:rFonts w:ascii="Gill Sans MT" w:hAnsi="Gill Sans MT"/>
          <w:i/>
          <w:iCs/>
        </w:rPr>
        <w:t>Journal of Applied Psychology,</w:t>
      </w:r>
      <w:r w:rsidRPr="00451907">
        <w:rPr>
          <w:rFonts w:ascii="Gill Sans MT" w:hAnsi="Gill Sans MT"/>
        </w:rPr>
        <w:t xml:space="preserve"> 78(1), 98-104.</w:t>
      </w:r>
    </w:p>
    <w:p w14:paraId="74873FB9" w14:textId="77777777" w:rsidR="008816CD" w:rsidRPr="00133CC2" w:rsidRDefault="008816CD" w:rsidP="008816CD">
      <w:pPr>
        <w:spacing w:after="0"/>
        <w:rPr>
          <w:rFonts w:ascii="Gill Sans MT" w:hAnsi="Gill Sans MT"/>
        </w:rPr>
      </w:pPr>
      <w:r w:rsidRPr="00133CC2">
        <w:rPr>
          <w:rFonts w:ascii="Gill Sans MT" w:hAnsi="Gill Sans MT"/>
        </w:rPr>
        <w:t xml:space="preserve">Cotton, S.M., Crewther, D.P., Crewther, S.G., 2005, Measurement error: Implications for diagnosis and discrepancy models of developmental dyslexia, </w:t>
      </w:r>
      <w:r w:rsidRPr="00133CC2">
        <w:rPr>
          <w:rFonts w:ascii="Gill Sans MT" w:hAnsi="Gill Sans MT"/>
          <w:i/>
        </w:rPr>
        <w:t>Dyslexia</w:t>
      </w:r>
      <w:r w:rsidRPr="00133CC2">
        <w:rPr>
          <w:rFonts w:ascii="Gill Sans MT" w:hAnsi="Gill Sans MT"/>
        </w:rPr>
        <w:t>, 11, 186-202.</w:t>
      </w:r>
    </w:p>
    <w:p w14:paraId="03A4A27C" w14:textId="77777777" w:rsidR="008816CD" w:rsidRPr="00133CC2" w:rsidRDefault="008816CD" w:rsidP="008816CD">
      <w:pPr>
        <w:spacing w:after="0"/>
        <w:rPr>
          <w:rFonts w:ascii="Gill Sans MT" w:hAnsi="Gill Sans MT"/>
        </w:rPr>
      </w:pPr>
      <w:r w:rsidRPr="00133CC2">
        <w:rPr>
          <w:rFonts w:ascii="Gill Sans MT" w:hAnsi="Gill Sans MT"/>
        </w:rPr>
        <w:t xml:space="preserve">Cottrell, S., 2013, </w:t>
      </w:r>
      <w:r w:rsidRPr="00133CC2">
        <w:rPr>
          <w:rFonts w:ascii="Gill Sans MT" w:hAnsi="Gill Sans MT"/>
          <w:i/>
        </w:rPr>
        <w:t>The Study Skills Handbook (4th edn),</w:t>
      </w:r>
      <w:r w:rsidRPr="00133CC2">
        <w:rPr>
          <w:rFonts w:ascii="Gill Sans MT" w:hAnsi="Gill Sans MT"/>
        </w:rPr>
        <w:t xml:space="preserve"> Basingstoke, Palgrave-Macmillan.</w:t>
      </w:r>
    </w:p>
    <w:p w14:paraId="5DFA0F57" w14:textId="77777777" w:rsidR="008816CD" w:rsidRPr="00133CC2" w:rsidRDefault="008816CD" w:rsidP="008816CD">
      <w:pPr>
        <w:spacing w:after="0"/>
        <w:rPr>
          <w:rFonts w:ascii="Gill Sans MT" w:hAnsi="Gill Sans MT"/>
        </w:rPr>
      </w:pPr>
      <w:r w:rsidRPr="00133CC2">
        <w:rPr>
          <w:rFonts w:ascii="Gill Sans MT" w:hAnsi="Gill Sans MT"/>
        </w:rPr>
        <w:t xml:space="preserve">Couper, M.P., Tourangeau, R., Conrad, F.G., Singer, E., 2006, Evaluating the effectiveness of visual analogue scales: A web survey, </w:t>
      </w:r>
      <w:r w:rsidRPr="00133CC2">
        <w:rPr>
          <w:rFonts w:ascii="Gill Sans MT" w:hAnsi="Gill Sans MT"/>
          <w:i/>
        </w:rPr>
        <w:t>Social Science Computer Review</w:t>
      </w:r>
      <w:r w:rsidRPr="00133CC2">
        <w:rPr>
          <w:rFonts w:ascii="Gill Sans MT" w:hAnsi="Gill Sans MT"/>
        </w:rPr>
        <w:t>, 24(2), 227-245.</w:t>
      </w:r>
    </w:p>
    <w:p w14:paraId="5D2B6175" w14:textId="77777777" w:rsidR="008816CD" w:rsidRPr="0071229F" w:rsidRDefault="008816CD" w:rsidP="008816CD">
      <w:pPr>
        <w:spacing w:after="0"/>
        <w:rPr>
          <w:rFonts w:ascii="Gill Sans MT" w:hAnsi="Gill Sans MT"/>
        </w:rPr>
      </w:pPr>
      <w:r>
        <w:rPr>
          <w:rFonts w:ascii="Gill Sans MT" w:hAnsi="Gill Sans MT"/>
        </w:rPr>
        <w:t>Cowan, N., 2008, What are the differences between long-term, short-term and working memory?</w:t>
      </w:r>
      <w:r>
        <w:rPr>
          <w:rFonts w:ascii="Gill Sans MT" w:hAnsi="Gill Sans MT"/>
          <w:i/>
        </w:rPr>
        <w:t xml:space="preserve"> Progress in Brain Research</w:t>
      </w:r>
      <w:r>
        <w:rPr>
          <w:rFonts w:ascii="Gill Sans MT" w:hAnsi="Gill Sans MT"/>
        </w:rPr>
        <w:t>, 169, 323-338.</w:t>
      </w:r>
    </w:p>
    <w:p w14:paraId="6446B213" w14:textId="77777777" w:rsidR="008816CD" w:rsidRDefault="008816CD" w:rsidP="008816CD">
      <w:pPr>
        <w:spacing w:after="0"/>
        <w:rPr>
          <w:rFonts w:ascii="Gill Sans MT" w:hAnsi="Gill Sans MT"/>
        </w:rPr>
      </w:pPr>
      <w:r w:rsidRPr="00133CC2">
        <w:rPr>
          <w:rFonts w:ascii="Gill Sans MT" w:hAnsi="Gill Sans MT"/>
        </w:rPr>
        <w:t xml:space="preserve">Critchley, M., 1970, </w:t>
      </w:r>
      <w:r w:rsidRPr="00133CC2">
        <w:rPr>
          <w:rFonts w:ascii="Gill Sans MT" w:hAnsi="Gill Sans MT"/>
          <w:i/>
        </w:rPr>
        <w:t>The Dyslexic Child (2nd edn),</w:t>
      </w:r>
      <w:r>
        <w:rPr>
          <w:rFonts w:ascii="Gill Sans MT" w:hAnsi="Gill Sans MT"/>
        </w:rPr>
        <w:t xml:space="preserve"> London, Heinemann. </w:t>
      </w:r>
    </w:p>
    <w:p w14:paraId="072A6450" w14:textId="77777777" w:rsidR="008816CD" w:rsidRDefault="008816CD" w:rsidP="008816CD">
      <w:pPr>
        <w:spacing w:after="0"/>
        <w:rPr>
          <w:rFonts w:ascii="Gill Sans MT" w:hAnsi="Gill Sans MT"/>
        </w:rPr>
      </w:pPr>
      <w:r w:rsidRPr="001F40A1">
        <w:rPr>
          <w:rFonts w:ascii="Gill Sans MT" w:hAnsi="Gill Sans MT"/>
        </w:rPr>
        <w:t xml:space="preserve">Crocker, J., Major, B., 1989, Social </w:t>
      </w:r>
      <w:r>
        <w:rPr>
          <w:rFonts w:ascii="Gill Sans MT" w:hAnsi="Gill Sans MT"/>
        </w:rPr>
        <w:t>stigma and self-esteem: the pro</w:t>
      </w:r>
      <w:r w:rsidRPr="001F40A1">
        <w:rPr>
          <w:rFonts w:ascii="Gill Sans MT" w:hAnsi="Gill Sans MT"/>
        </w:rPr>
        <w:t xml:space="preserve">tective properties of stigma, </w:t>
      </w:r>
      <w:r w:rsidRPr="000C130F">
        <w:rPr>
          <w:rFonts w:ascii="Gill Sans MT" w:hAnsi="Gill Sans MT"/>
          <w:i/>
        </w:rPr>
        <w:t>Psychological Review</w:t>
      </w:r>
      <w:r w:rsidRPr="001F40A1">
        <w:rPr>
          <w:rFonts w:ascii="Gill Sans MT" w:hAnsi="Gill Sans MT"/>
        </w:rPr>
        <w:t>, 96(4), 608-630</w:t>
      </w:r>
      <w:r>
        <w:rPr>
          <w:rFonts w:ascii="Gill Sans MT" w:hAnsi="Gill Sans MT"/>
        </w:rPr>
        <w:t>.</w:t>
      </w:r>
    </w:p>
    <w:p w14:paraId="005709A3" w14:textId="77777777" w:rsidR="008816CD" w:rsidRPr="00133CC2" w:rsidRDefault="008816CD" w:rsidP="008816CD">
      <w:pPr>
        <w:spacing w:after="0"/>
        <w:rPr>
          <w:rFonts w:ascii="Gill Sans MT" w:hAnsi="Gill Sans MT"/>
        </w:rPr>
      </w:pPr>
      <w:r w:rsidRPr="00133CC2">
        <w:rPr>
          <w:rFonts w:ascii="Gill Sans MT" w:hAnsi="Gill Sans MT"/>
        </w:rPr>
        <w:t xml:space="preserve">Cronbach, L.J., Meehl, P.E., 1955, Construct validity in psychological tests, </w:t>
      </w:r>
      <w:r w:rsidRPr="00133CC2">
        <w:rPr>
          <w:rFonts w:ascii="Gill Sans MT" w:hAnsi="Gill Sans MT"/>
          <w:i/>
        </w:rPr>
        <w:t>Psychological Bulletin</w:t>
      </w:r>
      <w:r w:rsidRPr="00133CC2">
        <w:rPr>
          <w:rFonts w:ascii="Gill Sans MT" w:hAnsi="Gill Sans MT"/>
        </w:rPr>
        <w:t>, 52, 281-302.</w:t>
      </w:r>
    </w:p>
    <w:p w14:paraId="26196B03" w14:textId="77777777" w:rsidR="008816CD" w:rsidRPr="00133CC2" w:rsidRDefault="008816CD" w:rsidP="008816CD">
      <w:pPr>
        <w:spacing w:after="0"/>
        <w:rPr>
          <w:rFonts w:ascii="Gill Sans MT" w:hAnsi="Gill Sans MT"/>
        </w:rPr>
      </w:pPr>
      <w:r w:rsidRPr="00133CC2">
        <w:rPr>
          <w:rFonts w:ascii="Gill Sans MT" w:hAnsi="Gill Sans MT"/>
        </w:rPr>
        <w:t xml:space="preserve">Crozier, G., Reay, D., Clayton, J., Colliander, L., Grinstead, J., 2008, Different strokes for different folks: diverse students in diverse institutions-experiences of higher education, </w:t>
      </w:r>
      <w:r w:rsidRPr="00133CC2">
        <w:rPr>
          <w:rFonts w:ascii="Gill Sans MT" w:hAnsi="Gill Sans MT"/>
          <w:i/>
        </w:rPr>
        <w:t>Research Papers in Education</w:t>
      </w:r>
      <w:r w:rsidRPr="00133CC2">
        <w:rPr>
          <w:rFonts w:ascii="Gill Sans MT" w:hAnsi="Gill Sans MT"/>
        </w:rPr>
        <w:t>, 23(2), 167-177.</w:t>
      </w:r>
    </w:p>
    <w:p w14:paraId="382B1FCB" w14:textId="77777777" w:rsidR="008816CD" w:rsidRPr="00133CC2" w:rsidRDefault="008816CD" w:rsidP="008816CD">
      <w:pPr>
        <w:spacing w:after="0"/>
        <w:rPr>
          <w:rFonts w:ascii="Gill Sans MT" w:hAnsi="Gill Sans MT"/>
        </w:rPr>
      </w:pPr>
      <w:r w:rsidRPr="00133CC2">
        <w:rPr>
          <w:rFonts w:ascii="Gill Sans MT" w:hAnsi="Gill Sans MT"/>
        </w:rPr>
        <w:t xml:space="preserve">Csikszentmihalyi, M., 1979, Intrinsic rewards and emergent motivation, IN: Lepper, M.R., Greene, D (Eds), </w:t>
      </w:r>
      <w:r w:rsidRPr="00133CC2">
        <w:rPr>
          <w:rFonts w:ascii="Gill Sans MT" w:hAnsi="Gill Sans MT"/>
          <w:i/>
        </w:rPr>
        <w:t>The hidden costs of reward</w:t>
      </w:r>
      <w:r w:rsidRPr="00133CC2">
        <w:rPr>
          <w:rFonts w:ascii="Gill Sans MT" w:hAnsi="Gill Sans MT"/>
        </w:rPr>
        <w:t>, Morristown New Jersey, Erlbaum.</w:t>
      </w:r>
    </w:p>
    <w:p w14:paraId="696F7E78" w14:textId="77777777" w:rsidR="008816CD" w:rsidRPr="00133CC2" w:rsidRDefault="008816CD" w:rsidP="008816CD">
      <w:pPr>
        <w:spacing w:after="0"/>
        <w:rPr>
          <w:rFonts w:ascii="Gill Sans MT" w:hAnsi="Gill Sans MT"/>
        </w:rPr>
      </w:pPr>
      <w:r w:rsidRPr="00133CC2">
        <w:rPr>
          <w:rFonts w:ascii="Gill Sans MT" w:hAnsi="Gill Sans MT"/>
        </w:rPr>
        <w:t xml:space="preserve">Cullingworth, E., 2014, Caring for adolescent students: a grounded theory study of teachers' perspectives on their relationships with students in secondary schools, </w:t>
      </w:r>
      <w:r w:rsidRPr="00133CC2">
        <w:rPr>
          <w:rFonts w:ascii="Gill Sans MT" w:hAnsi="Gill Sans MT"/>
          <w:i/>
        </w:rPr>
        <w:t>Unpublished post-graduate thesis</w:t>
      </w:r>
      <w:r w:rsidRPr="00133CC2">
        <w:rPr>
          <w:rFonts w:ascii="Gill Sans MT" w:hAnsi="Gill Sans MT"/>
        </w:rPr>
        <w:t>, Simon Fraser University, BC Canada.</w:t>
      </w:r>
    </w:p>
    <w:p w14:paraId="7553A59F" w14:textId="77777777" w:rsidR="008816CD" w:rsidRPr="00133CC2" w:rsidRDefault="008816CD" w:rsidP="008816CD">
      <w:pPr>
        <w:spacing w:after="0"/>
        <w:rPr>
          <w:rFonts w:ascii="Gill Sans MT" w:hAnsi="Gill Sans MT"/>
        </w:rPr>
      </w:pPr>
      <w:r w:rsidRPr="00133CC2">
        <w:rPr>
          <w:rFonts w:ascii="Gill Sans MT" w:hAnsi="Gill Sans MT"/>
        </w:rPr>
        <w:t xml:space="preserve">Cumming, G., 2012, </w:t>
      </w:r>
      <w:r w:rsidRPr="00133CC2">
        <w:rPr>
          <w:rFonts w:ascii="Gill Sans MT" w:hAnsi="Gill Sans MT"/>
          <w:i/>
        </w:rPr>
        <w:t>Understanding the New Statistics: effect sizes, confidence intervals and meta-analysis</w:t>
      </w:r>
      <w:r w:rsidRPr="00133CC2">
        <w:rPr>
          <w:rFonts w:ascii="Gill Sans MT" w:hAnsi="Gill Sans MT"/>
        </w:rPr>
        <w:t xml:space="preserve">, Hove, Routledge. </w:t>
      </w:r>
    </w:p>
    <w:p w14:paraId="2505B169" w14:textId="77777777" w:rsidR="008816CD" w:rsidRPr="00133CC2" w:rsidRDefault="008816CD" w:rsidP="008816CD">
      <w:pPr>
        <w:spacing w:after="0"/>
        <w:rPr>
          <w:rFonts w:ascii="Gill Sans MT" w:hAnsi="Gill Sans MT"/>
        </w:rPr>
      </w:pPr>
      <w:r w:rsidRPr="00133CC2">
        <w:rPr>
          <w:rFonts w:ascii="Gill Sans MT" w:hAnsi="Gill Sans MT"/>
        </w:rPr>
        <w:t xml:space="preserve">Cunningham, G., Mahoney, K., 2004, Self efficacy of part-time employees in university athletics: the influence of organizational commitment, valence of training and training motivation, </w:t>
      </w:r>
      <w:r w:rsidRPr="00133CC2">
        <w:rPr>
          <w:rFonts w:ascii="Gill Sans MT" w:hAnsi="Gill Sans MT"/>
          <w:i/>
        </w:rPr>
        <w:t>Journal of Sport Management</w:t>
      </w:r>
      <w:r w:rsidRPr="00133CC2">
        <w:rPr>
          <w:rFonts w:ascii="Gill Sans MT" w:hAnsi="Gill Sans MT"/>
        </w:rPr>
        <w:t>, 18(1), 59-73.</w:t>
      </w:r>
    </w:p>
    <w:p w14:paraId="6673CB4E" w14:textId="77777777" w:rsidR="008816CD" w:rsidRDefault="008816CD" w:rsidP="008816CD">
      <w:pPr>
        <w:spacing w:after="0"/>
        <w:rPr>
          <w:rFonts w:ascii="Gill Sans MT" w:hAnsi="Gill Sans MT"/>
        </w:rPr>
      </w:pPr>
      <w:r w:rsidRPr="00133CC2">
        <w:rPr>
          <w:rFonts w:ascii="Gill Sans MT" w:hAnsi="Gill Sans MT"/>
        </w:rPr>
        <w:t xml:space="preserve">Dale, M., Taylor, B., 2001, How adult learners make sense of their dyslexia, </w:t>
      </w:r>
      <w:r w:rsidRPr="00133CC2">
        <w:rPr>
          <w:rFonts w:ascii="Gill Sans MT" w:hAnsi="Gill Sans MT"/>
          <w:i/>
        </w:rPr>
        <w:t>Disability and Society</w:t>
      </w:r>
      <w:r w:rsidRPr="00133CC2">
        <w:rPr>
          <w:rFonts w:ascii="Gill Sans MT" w:hAnsi="Gill Sans MT"/>
        </w:rPr>
        <w:t>, 16(7), 997-1008.</w:t>
      </w:r>
    </w:p>
    <w:p w14:paraId="034B5817" w14:textId="77777777" w:rsidR="008816CD" w:rsidRPr="000F1651" w:rsidRDefault="008816CD" w:rsidP="008816CD">
      <w:pPr>
        <w:spacing w:after="0"/>
        <w:rPr>
          <w:rFonts w:ascii="Gill Sans MT" w:hAnsi="Gill Sans MT"/>
        </w:rPr>
      </w:pPr>
      <w:r>
        <w:rPr>
          <w:rFonts w:ascii="Gill Sans MT" w:hAnsi="Gill Sans MT"/>
        </w:rPr>
        <w:lastRenderedPageBreak/>
        <w:t xml:space="preserve">Dascalu, M-I., Bodea, C-N., Lytras, M., Ordoknez de Pablos, P., Burlacu, A., 2014, Improving e-learning communities through optimal composition of multidisciplinary learning groups, </w:t>
      </w:r>
      <w:r>
        <w:rPr>
          <w:rFonts w:ascii="Gill Sans MT" w:hAnsi="Gill Sans MT"/>
          <w:i/>
        </w:rPr>
        <w:t>Computers in Human Behaviour</w:t>
      </w:r>
      <w:r>
        <w:rPr>
          <w:rFonts w:ascii="Gill Sans MT" w:hAnsi="Gill Sans MT"/>
        </w:rPr>
        <w:t>, 30, 362-371.</w:t>
      </w:r>
    </w:p>
    <w:p w14:paraId="7C7F1B48" w14:textId="77777777" w:rsidR="008816CD" w:rsidRPr="00133CC2" w:rsidRDefault="008816CD" w:rsidP="008816CD">
      <w:pPr>
        <w:spacing w:after="0"/>
        <w:rPr>
          <w:rFonts w:ascii="Gill Sans MT" w:hAnsi="Gill Sans MT"/>
        </w:rPr>
      </w:pPr>
      <w:r w:rsidRPr="00133CC2">
        <w:rPr>
          <w:rFonts w:ascii="Gill Sans MT" w:hAnsi="Gill Sans MT"/>
        </w:rPr>
        <w:t xml:space="preserve">de la Fuente, J., Justicia, F.J., 2007, The DEDEPRO model for regulating teaching and learning: Recent advances, </w:t>
      </w:r>
      <w:r w:rsidRPr="00133CC2">
        <w:rPr>
          <w:rFonts w:ascii="Gill Sans MT" w:hAnsi="Gill Sans MT"/>
          <w:i/>
        </w:rPr>
        <w:t>Electronic Journal of Research in Educational Psychology</w:t>
      </w:r>
      <w:r w:rsidRPr="00133CC2">
        <w:rPr>
          <w:rFonts w:ascii="Gill Sans MT" w:hAnsi="Gill Sans MT"/>
        </w:rPr>
        <w:t>, 5(3), 535-564.</w:t>
      </w:r>
    </w:p>
    <w:p w14:paraId="33468A74" w14:textId="77777777" w:rsidR="008816CD" w:rsidRPr="00133CC2" w:rsidRDefault="008816CD" w:rsidP="008816CD">
      <w:pPr>
        <w:spacing w:after="0"/>
        <w:rPr>
          <w:rFonts w:ascii="Gill Sans MT" w:hAnsi="Gill Sans MT"/>
        </w:rPr>
      </w:pPr>
      <w:r w:rsidRPr="00133CC2">
        <w:rPr>
          <w:rFonts w:ascii="Gill Sans MT" w:hAnsi="Gill Sans MT"/>
        </w:rPr>
        <w:t xml:space="preserve">de la Fuente, J., Justicia, F.J., Sander, P., Cardelle-Elawar, M., 2014, Personal self-regulation and regulatory teaching to predict performance and academic confidence: new evidence for the DEDEPRO Model, </w:t>
      </w:r>
      <w:r w:rsidRPr="00133CC2">
        <w:rPr>
          <w:rFonts w:ascii="Gill Sans MT" w:hAnsi="Gill Sans MT"/>
          <w:i/>
        </w:rPr>
        <w:t>Electronic Journal of Research in Educational Psychology</w:t>
      </w:r>
      <w:r w:rsidRPr="00133CC2">
        <w:rPr>
          <w:rFonts w:ascii="Gill Sans MT" w:hAnsi="Gill Sans MT"/>
        </w:rPr>
        <w:t>, 12(34), 597-620.</w:t>
      </w:r>
    </w:p>
    <w:p w14:paraId="343A40E9" w14:textId="77777777" w:rsidR="008816CD" w:rsidRPr="00133CC2" w:rsidRDefault="008816CD" w:rsidP="008816CD">
      <w:pPr>
        <w:spacing w:after="0"/>
        <w:rPr>
          <w:rFonts w:ascii="Gill Sans MT" w:hAnsi="Gill Sans MT"/>
        </w:rPr>
      </w:pPr>
      <w:r w:rsidRPr="00133CC2">
        <w:rPr>
          <w:rFonts w:ascii="Gill Sans MT" w:hAnsi="Gill Sans MT"/>
        </w:rPr>
        <w:t xml:space="preserve">de la Fuente, J., Sander, P., Martinez-Vicente, J.M., Vera, M., Garzon, A., Fadda, S., 2017, Combined effect of levels in personal self-regulation and regulatory teaching on meta-cognitive, on meta-motivational, and on academic achievement variables in undergraduate students, </w:t>
      </w:r>
      <w:r w:rsidRPr="00133CC2">
        <w:rPr>
          <w:rFonts w:ascii="Gill Sans MT" w:hAnsi="Gill Sans MT"/>
          <w:i/>
        </w:rPr>
        <w:t>Frontiers in Psychology</w:t>
      </w:r>
      <w:r w:rsidRPr="00133CC2">
        <w:rPr>
          <w:rFonts w:ascii="Gill Sans MT" w:hAnsi="Gill Sans MT"/>
        </w:rPr>
        <w:t>, 8, 1-19.</w:t>
      </w:r>
    </w:p>
    <w:p w14:paraId="39D8EA09" w14:textId="77777777" w:rsidR="008816CD" w:rsidRPr="00133CC2" w:rsidRDefault="008816CD" w:rsidP="008816CD">
      <w:pPr>
        <w:spacing w:after="0"/>
        <w:rPr>
          <w:rFonts w:ascii="Gill Sans MT" w:hAnsi="Gill Sans MT"/>
        </w:rPr>
      </w:pPr>
      <w:r w:rsidRPr="00133CC2">
        <w:rPr>
          <w:rFonts w:ascii="Gill Sans MT" w:hAnsi="Gill Sans MT"/>
        </w:rPr>
        <w:t xml:space="preserve">de la Fuente, J., Sander, P., Putwain, D., 2013, Relationships between undergraduate student confidence, approach to learning and academic performance: the role of gender, </w:t>
      </w:r>
      <w:r w:rsidRPr="00133CC2">
        <w:rPr>
          <w:rFonts w:ascii="Gill Sans MT" w:hAnsi="Gill Sans MT"/>
          <w:i/>
        </w:rPr>
        <w:t>Revista de Psicodidactica</w:t>
      </w:r>
      <w:r w:rsidRPr="00133CC2">
        <w:rPr>
          <w:rFonts w:ascii="Gill Sans MT" w:hAnsi="Gill Sans MT"/>
        </w:rPr>
        <w:t>, 18(2), 375-393.</w:t>
      </w:r>
    </w:p>
    <w:p w14:paraId="5197285F" w14:textId="77777777" w:rsidR="008816CD" w:rsidRPr="00133CC2" w:rsidRDefault="008816CD" w:rsidP="008816CD">
      <w:pPr>
        <w:spacing w:after="0"/>
        <w:rPr>
          <w:rFonts w:ascii="Gill Sans MT" w:hAnsi="Gill Sans MT"/>
        </w:rPr>
      </w:pPr>
      <w:r w:rsidRPr="00133CC2">
        <w:rPr>
          <w:rFonts w:ascii="Gill Sans MT" w:hAnsi="Gill Sans MT"/>
        </w:rPr>
        <w:t xml:space="preserve">Decandia, G.M., 2014, Relationships between academic identity and academic achievement in low-income urban adolescents, </w:t>
      </w:r>
      <w:r w:rsidRPr="00133CC2">
        <w:rPr>
          <w:rFonts w:ascii="Gill Sans MT" w:hAnsi="Gill Sans MT"/>
          <w:i/>
        </w:rPr>
        <w:t>Unpublished doctoral thesis</w:t>
      </w:r>
      <w:r w:rsidRPr="00133CC2">
        <w:rPr>
          <w:rFonts w:ascii="Gill Sans MT" w:hAnsi="Gill Sans MT"/>
        </w:rPr>
        <w:t>, State University of New Jersey.</w:t>
      </w:r>
    </w:p>
    <w:p w14:paraId="2EF49AD5" w14:textId="77777777" w:rsidR="008816CD" w:rsidRPr="00133CC2" w:rsidRDefault="008816CD" w:rsidP="008816CD">
      <w:pPr>
        <w:spacing w:after="0"/>
        <w:rPr>
          <w:rFonts w:ascii="Gill Sans MT" w:hAnsi="Gill Sans MT"/>
        </w:rPr>
      </w:pPr>
      <w:r w:rsidRPr="00133CC2">
        <w:rPr>
          <w:rFonts w:ascii="Gill Sans MT" w:hAnsi="Gill Sans MT"/>
        </w:rPr>
        <w:t xml:space="preserve">Denton, T.F., Meindl, J.N., 2016, The effect of colored overlays on reading fluency in individuals with dyslexia, </w:t>
      </w:r>
      <w:r w:rsidRPr="00133CC2">
        <w:rPr>
          <w:rFonts w:ascii="Gill Sans MT" w:hAnsi="Gill Sans MT"/>
          <w:i/>
        </w:rPr>
        <w:t>Behavior Analysis in Practice</w:t>
      </w:r>
      <w:r w:rsidRPr="00133CC2">
        <w:rPr>
          <w:rFonts w:ascii="Gill Sans MT" w:hAnsi="Gill Sans MT"/>
        </w:rPr>
        <w:t>, 9(3), 191-198.</w:t>
      </w:r>
    </w:p>
    <w:p w14:paraId="78E49A71" w14:textId="77777777" w:rsidR="008816CD" w:rsidRDefault="008816CD" w:rsidP="008816CD">
      <w:pPr>
        <w:spacing w:after="0"/>
        <w:rPr>
          <w:rFonts w:ascii="Gill Sans MT" w:hAnsi="Gill Sans MT"/>
        </w:rPr>
      </w:pPr>
      <w:r w:rsidRPr="00133CC2">
        <w:rPr>
          <w:rFonts w:ascii="Gill Sans MT" w:hAnsi="Gill Sans MT"/>
        </w:rPr>
        <w:t xml:space="preserve">Di Filippo, G., Zoccolotti, P., 2012, Separating global and specific factors in developmental dyslexia, </w:t>
      </w:r>
      <w:r w:rsidRPr="00133CC2">
        <w:rPr>
          <w:rFonts w:ascii="Gill Sans MT" w:hAnsi="Gill Sans MT"/>
          <w:i/>
        </w:rPr>
        <w:t>Child Neuropsychology</w:t>
      </w:r>
      <w:r>
        <w:rPr>
          <w:rFonts w:ascii="Gill Sans MT" w:hAnsi="Gill Sans MT"/>
        </w:rPr>
        <w:t>, 18, 356-391.</w:t>
      </w:r>
    </w:p>
    <w:p w14:paraId="7505E2AC" w14:textId="77777777" w:rsidR="008816CD" w:rsidRDefault="008816CD" w:rsidP="008816CD">
      <w:pPr>
        <w:spacing w:before="240" w:after="0"/>
        <w:rPr>
          <w:rFonts w:ascii="Gill Sans MT" w:hAnsi="Gill Sans MT"/>
        </w:rPr>
      </w:pPr>
      <w:r w:rsidRPr="007B3589">
        <w:rPr>
          <w:rFonts w:ascii="Gill Sans MT" w:hAnsi="Gill Sans MT"/>
        </w:rPr>
        <w:t>Dobson, S., 2018, A documentary analysis of the support services offered to adult learners with dyslexia in higher education</w:t>
      </w:r>
      <w:r w:rsidRPr="00110B47">
        <w:rPr>
          <w:rFonts w:ascii="Gill Sans MT" w:hAnsi="Gill Sans MT"/>
          <w:i/>
        </w:rPr>
        <w:t>, Journal of Further and Higher Education</w:t>
      </w:r>
      <w:r w:rsidRPr="007B3589">
        <w:rPr>
          <w:rFonts w:ascii="Gill Sans MT" w:hAnsi="Gill Sans MT"/>
        </w:rPr>
        <w:t>, 42, 1-15.</w:t>
      </w:r>
    </w:p>
    <w:p w14:paraId="7DD5E9F9" w14:textId="77777777" w:rsidR="008816CD" w:rsidRPr="00133CC2" w:rsidRDefault="008816CD" w:rsidP="008816CD">
      <w:pPr>
        <w:spacing w:after="0"/>
        <w:rPr>
          <w:rFonts w:ascii="Gill Sans MT" w:hAnsi="Gill Sans MT"/>
        </w:rPr>
      </w:pPr>
      <w:r w:rsidRPr="00133CC2">
        <w:rPr>
          <w:rFonts w:ascii="Gill Sans MT" w:hAnsi="Gill Sans MT"/>
        </w:rPr>
        <w:t xml:space="preserve">Doherty, C.A., 2015, Late identification of dyslexia: a qualitative exploration of student views and experiences, </w:t>
      </w:r>
      <w:r w:rsidRPr="00133CC2">
        <w:rPr>
          <w:rFonts w:ascii="Gill Sans MT" w:hAnsi="Gill Sans MT"/>
          <w:i/>
        </w:rPr>
        <w:t>Unpublished doctoral thesis</w:t>
      </w:r>
      <w:r w:rsidRPr="00133CC2">
        <w:rPr>
          <w:rFonts w:ascii="Gill Sans MT" w:hAnsi="Gill Sans MT"/>
        </w:rPr>
        <w:t>, Queen's University, Belfast.</w:t>
      </w:r>
    </w:p>
    <w:p w14:paraId="127E01A7" w14:textId="77777777" w:rsidR="008816CD" w:rsidRDefault="008816CD" w:rsidP="008816CD">
      <w:pPr>
        <w:spacing w:after="0"/>
        <w:rPr>
          <w:rFonts w:ascii="Gill Sans MT" w:hAnsi="Gill Sans MT"/>
        </w:rPr>
      </w:pPr>
      <w:r w:rsidRPr="00133CC2">
        <w:rPr>
          <w:rFonts w:ascii="Gill Sans MT" w:hAnsi="Gill Sans MT"/>
        </w:rPr>
        <w:t xml:space="preserve">Draffan, E.A., Evans, D.G., Blenkhorn, P., 2007, Use of assistive technology by students with dyslexia in post-secondary education, </w:t>
      </w:r>
      <w:r w:rsidRPr="00133CC2">
        <w:rPr>
          <w:rFonts w:ascii="Gill Sans MT" w:hAnsi="Gill Sans MT"/>
          <w:i/>
        </w:rPr>
        <w:t>Disability and Rehabilitation: Assistive Technology</w:t>
      </w:r>
      <w:r w:rsidRPr="00133CC2">
        <w:rPr>
          <w:rFonts w:ascii="Gill Sans MT" w:hAnsi="Gill Sans MT"/>
        </w:rPr>
        <w:t>, 2(2), 105-116.</w:t>
      </w:r>
    </w:p>
    <w:p w14:paraId="07121174" w14:textId="77777777" w:rsidR="008816CD" w:rsidRPr="00133CC2" w:rsidRDefault="008816CD" w:rsidP="008816CD">
      <w:pPr>
        <w:spacing w:after="0"/>
        <w:rPr>
          <w:rFonts w:ascii="Gill Sans MT" w:hAnsi="Gill Sans MT"/>
        </w:rPr>
      </w:pPr>
      <w:r w:rsidRPr="00133CC2">
        <w:rPr>
          <w:rFonts w:ascii="Gill Sans MT" w:hAnsi="Gill Sans MT"/>
        </w:rPr>
        <w:t xml:space="preserve">Draffan, E.A., James, A., Martin, N., 2017, Inclusive teaching and learning: What next? </w:t>
      </w:r>
      <w:r w:rsidRPr="00133CC2">
        <w:rPr>
          <w:rFonts w:ascii="Gill Sans MT" w:hAnsi="Gill Sans MT"/>
          <w:i/>
        </w:rPr>
        <w:t>Journal of Inclusive Practice in Further and Higher Education</w:t>
      </w:r>
      <w:r w:rsidRPr="00133CC2">
        <w:rPr>
          <w:rFonts w:ascii="Gill Sans MT" w:hAnsi="Gill Sans MT"/>
        </w:rPr>
        <w:t>, 9(1), 1-11.</w:t>
      </w:r>
    </w:p>
    <w:p w14:paraId="5B3441F1" w14:textId="77777777" w:rsidR="008816CD" w:rsidRPr="00CB1197" w:rsidRDefault="008816CD" w:rsidP="008816CD">
      <w:pPr>
        <w:spacing w:after="0"/>
        <w:rPr>
          <w:rFonts w:ascii="Gill Sans MT" w:hAnsi="Gill Sans MT"/>
        </w:rPr>
      </w:pPr>
      <w:r>
        <w:rPr>
          <w:rFonts w:ascii="Gill Sans MT" w:hAnsi="Gill Sans MT"/>
        </w:rPr>
        <w:t xml:space="preserve">Draffan, E.A., James, A., Wilkinson, S., Viney, D., 2014, Assistive technology and associated training: A survey of students who have received the Disabled Students’ Allowance, </w:t>
      </w:r>
      <w:r>
        <w:rPr>
          <w:rFonts w:ascii="Gill Sans MT" w:hAnsi="Gill Sans MT"/>
          <w:i/>
        </w:rPr>
        <w:t>The Journal of Inclusive Practice in Further and Higher Education</w:t>
      </w:r>
      <w:r>
        <w:rPr>
          <w:rFonts w:ascii="Gill Sans MT" w:hAnsi="Gill Sans MT"/>
        </w:rPr>
        <w:t>, 5, 5-10.</w:t>
      </w:r>
    </w:p>
    <w:p w14:paraId="7ED29A3B" w14:textId="77777777" w:rsidR="008816CD" w:rsidRPr="00133CC2" w:rsidRDefault="008816CD" w:rsidP="008816CD">
      <w:pPr>
        <w:spacing w:after="0"/>
        <w:rPr>
          <w:rFonts w:ascii="Gill Sans MT" w:hAnsi="Gill Sans MT"/>
        </w:rPr>
      </w:pPr>
      <w:r w:rsidRPr="00133CC2">
        <w:rPr>
          <w:rFonts w:ascii="Gill Sans MT" w:hAnsi="Gill Sans MT"/>
        </w:rPr>
        <w:t xml:space="preserve">Duncan, N., 2006, Predicting perceived likelihood of course change, return to university following withdrawal and degree completion, </w:t>
      </w:r>
      <w:r w:rsidRPr="00133CC2">
        <w:rPr>
          <w:rFonts w:ascii="Gill Sans MT" w:hAnsi="Gill Sans MT"/>
          <w:i/>
        </w:rPr>
        <w:t>Unpublished undergraduate dissertation</w:t>
      </w:r>
      <w:r w:rsidRPr="00133CC2">
        <w:rPr>
          <w:rFonts w:ascii="Gill Sans MT" w:hAnsi="Gill Sans MT"/>
        </w:rPr>
        <w:t>, Glasgow University.</w:t>
      </w:r>
    </w:p>
    <w:p w14:paraId="7073C7E9" w14:textId="77777777" w:rsidR="008816CD" w:rsidRPr="00133CC2" w:rsidRDefault="008816CD" w:rsidP="008816CD">
      <w:pPr>
        <w:spacing w:after="0"/>
        <w:rPr>
          <w:rFonts w:ascii="Gill Sans MT" w:hAnsi="Gill Sans MT"/>
        </w:rPr>
      </w:pPr>
      <w:r w:rsidRPr="00133CC2">
        <w:rPr>
          <w:rFonts w:ascii="Gill Sans MT" w:hAnsi="Gill Sans MT"/>
        </w:rPr>
        <w:t xml:space="preserve">Dykes, A., 2008, A small-scale study of feelings about dyslexia in relation to the uptake of specific learning support amongst students with an identified dyslexic learning difference in an HE institution, </w:t>
      </w:r>
      <w:r w:rsidRPr="00133CC2">
        <w:rPr>
          <w:rFonts w:ascii="Gill Sans MT" w:hAnsi="Gill Sans MT"/>
          <w:i/>
        </w:rPr>
        <w:t>Unpublished MSc Dissertation</w:t>
      </w:r>
      <w:r w:rsidRPr="00133CC2">
        <w:rPr>
          <w:rFonts w:ascii="Gill Sans MT" w:hAnsi="Gill Sans MT"/>
        </w:rPr>
        <w:t xml:space="preserve">, University of Southampton. </w:t>
      </w:r>
    </w:p>
    <w:p w14:paraId="24C926DD" w14:textId="779FF711" w:rsidR="008816CD" w:rsidRDefault="008816CD" w:rsidP="008816CD">
      <w:pPr>
        <w:spacing w:after="0"/>
        <w:rPr>
          <w:rFonts w:ascii="Gill Sans MT" w:hAnsi="Gill Sans MT"/>
        </w:rPr>
      </w:pPr>
      <w:r w:rsidRPr="00133CC2">
        <w:rPr>
          <w:rFonts w:ascii="Gill Sans MT" w:hAnsi="Gill Sans MT"/>
        </w:rPr>
        <w:t xml:space="preserve">Eddy, M.H., 2011, Dance and somatic inquiry in studios and community dance programs, </w:t>
      </w:r>
      <w:r w:rsidRPr="00133CC2">
        <w:rPr>
          <w:rFonts w:ascii="Gill Sans MT" w:hAnsi="Gill Sans MT"/>
          <w:i/>
        </w:rPr>
        <w:t>Journal of Dance Education</w:t>
      </w:r>
      <w:r w:rsidRPr="00133CC2">
        <w:rPr>
          <w:rFonts w:ascii="Gill Sans MT" w:hAnsi="Gill Sans MT"/>
        </w:rPr>
        <w:t>, 2(4), 119-127.</w:t>
      </w:r>
    </w:p>
    <w:p w14:paraId="4ED6510B" w14:textId="7D5500E9" w:rsidR="00060593" w:rsidRPr="00060593" w:rsidRDefault="00060593" w:rsidP="008816CD">
      <w:pPr>
        <w:spacing w:after="0"/>
        <w:rPr>
          <w:rFonts w:ascii="Gill Sans MT" w:hAnsi="Gill Sans MT"/>
        </w:rPr>
      </w:pPr>
      <w:r>
        <w:rPr>
          <w:rFonts w:ascii="Gill Sans MT" w:hAnsi="Gill Sans MT"/>
        </w:rPr>
        <w:lastRenderedPageBreak/>
        <w:t xml:space="preserve">Edwards, C.S., Burke, K., Booth, J.R., McNorgan, C., 2018, Dyslexia on a continuum: A complex network approach, </w:t>
      </w:r>
      <w:r>
        <w:rPr>
          <w:rFonts w:ascii="Gill Sans MT" w:hAnsi="Gill Sans MT"/>
          <w:i/>
          <w:iCs/>
        </w:rPr>
        <w:t>PloS one</w:t>
      </w:r>
      <w:r>
        <w:rPr>
          <w:rFonts w:ascii="Gill Sans MT" w:hAnsi="Gill Sans MT"/>
        </w:rPr>
        <w:t>, 13(12), 1-25.</w:t>
      </w:r>
    </w:p>
    <w:p w14:paraId="53E4B171" w14:textId="77777777" w:rsidR="008816CD" w:rsidRPr="00133CC2" w:rsidRDefault="008816CD" w:rsidP="008816CD">
      <w:pPr>
        <w:spacing w:after="0"/>
        <w:rPr>
          <w:rFonts w:ascii="Gill Sans MT" w:hAnsi="Gill Sans MT"/>
        </w:rPr>
      </w:pPr>
      <w:r w:rsidRPr="00133CC2">
        <w:rPr>
          <w:rFonts w:ascii="Gill Sans MT" w:hAnsi="Gill Sans MT"/>
        </w:rPr>
        <w:t>Edyburn, D.L., 2010, Would you recognize universal design for learning if you saw it? Ten propositions for new directions for the second decade of UDL,</w:t>
      </w:r>
      <w:r w:rsidRPr="00133CC2">
        <w:rPr>
          <w:rFonts w:ascii="Gill Sans MT" w:hAnsi="Gill Sans MT"/>
          <w:i/>
        </w:rPr>
        <w:t xml:space="preserve"> Learning Disability Quarterly</w:t>
      </w:r>
      <w:r w:rsidRPr="00133CC2">
        <w:rPr>
          <w:rFonts w:ascii="Gill Sans MT" w:hAnsi="Gill Sans MT"/>
        </w:rPr>
        <w:t>, 33(1), 33-41.</w:t>
      </w:r>
    </w:p>
    <w:p w14:paraId="07782EFF" w14:textId="77777777" w:rsidR="008816CD" w:rsidRPr="00133CC2" w:rsidRDefault="008816CD" w:rsidP="008816CD">
      <w:pPr>
        <w:spacing w:after="0"/>
        <w:rPr>
          <w:rFonts w:ascii="Gill Sans MT" w:hAnsi="Gill Sans MT"/>
        </w:rPr>
      </w:pPr>
      <w:r w:rsidRPr="00133CC2">
        <w:rPr>
          <w:rFonts w:ascii="Gill Sans MT" w:hAnsi="Gill Sans MT"/>
        </w:rPr>
        <w:t xml:space="preserve">Egeland, J., 2015, Measuring working memory with Digit Span and Letter-Number Sequencing subtests from the WAIS-IV: too low manipulation load and risk for underestimating modality effects, </w:t>
      </w:r>
      <w:r w:rsidRPr="00133CC2">
        <w:rPr>
          <w:rFonts w:ascii="Gill Sans MT" w:hAnsi="Gill Sans MT"/>
          <w:i/>
        </w:rPr>
        <w:t>Applied Neuropsychology: Adult</w:t>
      </w:r>
      <w:r w:rsidRPr="00133CC2">
        <w:rPr>
          <w:rFonts w:ascii="Gill Sans MT" w:hAnsi="Gill Sans MT"/>
        </w:rPr>
        <w:t xml:space="preserve">, 22(6), 445-451. </w:t>
      </w:r>
    </w:p>
    <w:p w14:paraId="28AF922D" w14:textId="77777777" w:rsidR="008816CD" w:rsidRPr="00133CC2" w:rsidRDefault="008816CD" w:rsidP="008816CD">
      <w:pPr>
        <w:spacing w:after="0"/>
        <w:rPr>
          <w:rFonts w:ascii="Gill Sans MT" w:hAnsi="Gill Sans MT"/>
        </w:rPr>
      </w:pPr>
      <w:r w:rsidRPr="00133CC2">
        <w:rPr>
          <w:rFonts w:ascii="Gill Sans MT" w:hAnsi="Gill Sans MT"/>
        </w:rPr>
        <w:t xml:space="preserve">Egger, M., Smith, G.D., Schneider, M., Minder, C., 1997, Bias in meta-analysis detected by a simple graphical test, </w:t>
      </w:r>
      <w:r w:rsidRPr="00133CC2">
        <w:rPr>
          <w:rFonts w:ascii="Gill Sans MT" w:hAnsi="Gill Sans MT"/>
          <w:i/>
        </w:rPr>
        <w:t>British Medical Journal</w:t>
      </w:r>
      <w:r w:rsidRPr="00133CC2">
        <w:rPr>
          <w:rFonts w:ascii="Gill Sans MT" w:hAnsi="Gill Sans MT"/>
        </w:rPr>
        <w:t xml:space="preserve">, 315(7109), 629-634. </w:t>
      </w:r>
    </w:p>
    <w:p w14:paraId="7287A242" w14:textId="77777777" w:rsidR="008816CD" w:rsidRPr="00133CC2" w:rsidRDefault="008816CD" w:rsidP="008816CD">
      <w:pPr>
        <w:spacing w:after="0"/>
        <w:rPr>
          <w:rFonts w:ascii="Gill Sans MT" w:hAnsi="Gill Sans MT"/>
        </w:rPr>
      </w:pPr>
      <w:r w:rsidRPr="00133CC2">
        <w:rPr>
          <w:rFonts w:ascii="Gill Sans MT" w:hAnsi="Gill Sans MT"/>
        </w:rPr>
        <w:t xml:space="preserve">Elbro, C., Nielson, I., Peterson, D.K., 1994, Dyslexia in adults: evidence for deficits in non-word reading and in the phonological representation of lexical items, </w:t>
      </w:r>
      <w:r w:rsidRPr="00133CC2">
        <w:rPr>
          <w:rFonts w:ascii="Gill Sans MT" w:hAnsi="Gill Sans MT"/>
          <w:i/>
        </w:rPr>
        <w:t>Annals of Dyslexia</w:t>
      </w:r>
      <w:r w:rsidRPr="00133CC2">
        <w:rPr>
          <w:rFonts w:ascii="Gill Sans MT" w:hAnsi="Gill Sans MT"/>
        </w:rPr>
        <w:t xml:space="preserve">, 44(1), 203-226. </w:t>
      </w:r>
    </w:p>
    <w:p w14:paraId="5868BCFB" w14:textId="77777777" w:rsidR="008816CD" w:rsidRPr="00133CC2" w:rsidRDefault="008816CD" w:rsidP="008816CD">
      <w:pPr>
        <w:spacing w:after="0"/>
        <w:rPr>
          <w:rFonts w:ascii="Gill Sans MT" w:hAnsi="Gill Sans MT"/>
        </w:rPr>
      </w:pPr>
      <w:r w:rsidRPr="00133CC2">
        <w:rPr>
          <w:rFonts w:ascii="Gill Sans MT" w:hAnsi="Gill Sans MT"/>
        </w:rPr>
        <w:t xml:space="preserve">Elliott, J.G., Gibbs, S., 2008, Does Dyslexia Exist? </w:t>
      </w:r>
      <w:r w:rsidRPr="00133CC2">
        <w:rPr>
          <w:rFonts w:ascii="Gill Sans MT" w:hAnsi="Gill Sans MT"/>
          <w:i/>
        </w:rPr>
        <w:t>Journal of Philosophy of Education</w:t>
      </w:r>
      <w:r w:rsidRPr="00133CC2">
        <w:rPr>
          <w:rFonts w:ascii="Gill Sans MT" w:hAnsi="Gill Sans MT"/>
        </w:rPr>
        <w:t>, 42(3-4), 475-491.</w:t>
      </w:r>
    </w:p>
    <w:p w14:paraId="4526BE87" w14:textId="77777777" w:rsidR="008816CD" w:rsidRPr="00133CC2" w:rsidRDefault="008816CD" w:rsidP="008816CD">
      <w:pPr>
        <w:spacing w:after="0"/>
        <w:rPr>
          <w:rFonts w:ascii="Gill Sans MT" w:hAnsi="Gill Sans MT"/>
        </w:rPr>
      </w:pPr>
      <w:r w:rsidRPr="00133CC2">
        <w:rPr>
          <w:rFonts w:ascii="Gill Sans MT" w:hAnsi="Gill Sans MT"/>
        </w:rPr>
        <w:t xml:space="preserve">Elliott, J.G., Grigorenko, E.L., 2014, </w:t>
      </w:r>
      <w:r w:rsidRPr="00133CC2">
        <w:rPr>
          <w:rFonts w:ascii="Gill Sans MT" w:hAnsi="Gill Sans MT"/>
          <w:i/>
        </w:rPr>
        <w:t>The Dyslexia Debate</w:t>
      </w:r>
      <w:r w:rsidRPr="00133CC2">
        <w:rPr>
          <w:rFonts w:ascii="Gill Sans MT" w:hAnsi="Gill Sans MT"/>
        </w:rPr>
        <w:t xml:space="preserve">, New York, Cambridge University Press. </w:t>
      </w:r>
    </w:p>
    <w:p w14:paraId="7A68169C" w14:textId="77777777" w:rsidR="008816CD" w:rsidRPr="00133CC2" w:rsidRDefault="008816CD" w:rsidP="008816CD">
      <w:pPr>
        <w:spacing w:after="0"/>
        <w:rPr>
          <w:rFonts w:ascii="Gill Sans MT" w:hAnsi="Gill Sans MT"/>
        </w:rPr>
      </w:pPr>
      <w:r w:rsidRPr="00133CC2">
        <w:rPr>
          <w:rFonts w:ascii="Gill Sans MT" w:hAnsi="Gill Sans MT"/>
        </w:rPr>
        <w:t xml:space="preserve">Ellis, A.W., 1985, The cognitive and neuropsychology of developmental (and acquired) dyslexia: A critical survey, </w:t>
      </w:r>
      <w:r w:rsidRPr="00133CC2">
        <w:rPr>
          <w:rFonts w:ascii="Gill Sans MT" w:hAnsi="Gill Sans MT"/>
          <w:i/>
        </w:rPr>
        <w:t>Cognitive Neuropsychology</w:t>
      </w:r>
      <w:r w:rsidRPr="00133CC2">
        <w:rPr>
          <w:rFonts w:ascii="Gill Sans MT" w:hAnsi="Gill Sans MT"/>
        </w:rPr>
        <w:t xml:space="preserve">, 2(2), 169-205. </w:t>
      </w:r>
    </w:p>
    <w:p w14:paraId="06384926" w14:textId="77777777" w:rsidR="008816CD" w:rsidRPr="00133CC2" w:rsidRDefault="008816CD" w:rsidP="008816CD">
      <w:pPr>
        <w:spacing w:after="0"/>
        <w:rPr>
          <w:rFonts w:ascii="Gill Sans MT" w:hAnsi="Gill Sans MT"/>
        </w:rPr>
      </w:pPr>
      <w:r w:rsidRPr="00133CC2">
        <w:rPr>
          <w:rFonts w:ascii="Gill Sans MT" w:hAnsi="Gill Sans MT"/>
        </w:rPr>
        <w:t xml:space="preserve">Erten, I.K., Burden, R., 2014, The relationship between academic self-concept, attributions, and L2 achievement, </w:t>
      </w:r>
      <w:r w:rsidRPr="00133CC2">
        <w:rPr>
          <w:rFonts w:ascii="Gill Sans MT" w:hAnsi="Gill Sans MT"/>
          <w:i/>
        </w:rPr>
        <w:t>System</w:t>
      </w:r>
      <w:r w:rsidRPr="00133CC2">
        <w:rPr>
          <w:rFonts w:ascii="Gill Sans MT" w:hAnsi="Gill Sans MT"/>
        </w:rPr>
        <w:t>, 42, 391-401.</w:t>
      </w:r>
    </w:p>
    <w:p w14:paraId="385AEEA1" w14:textId="77777777" w:rsidR="008816CD" w:rsidRPr="00133CC2" w:rsidRDefault="008816CD" w:rsidP="008816CD">
      <w:pPr>
        <w:spacing w:after="0"/>
        <w:rPr>
          <w:rFonts w:ascii="Gill Sans MT" w:hAnsi="Gill Sans MT"/>
        </w:rPr>
      </w:pPr>
      <w:r w:rsidRPr="00133CC2">
        <w:rPr>
          <w:rFonts w:ascii="Gill Sans MT" w:hAnsi="Gill Sans MT"/>
        </w:rPr>
        <w:t xml:space="preserve">ESRC, 2015, </w:t>
      </w:r>
      <w:r w:rsidRPr="00133CC2">
        <w:rPr>
          <w:rFonts w:ascii="Gill Sans MT" w:hAnsi="Gill Sans MT"/>
          <w:i/>
        </w:rPr>
        <w:t>Economics and Social Research Council Framework for research ethics</w:t>
      </w:r>
      <w:r w:rsidRPr="00133CC2">
        <w:rPr>
          <w:rFonts w:ascii="Gill Sans MT" w:hAnsi="Gill Sans MT"/>
        </w:rPr>
        <w:t xml:space="preserve"> (updated, January 2015), available at: http://www.esrc.ac.uk/files/funding/guidance-for-applicants/esrc-framework-for-research-ethics-2015/, originally accessed on: 23rd October 2017.</w:t>
      </w:r>
    </w:p>
    <w:p w14:paraId="13815655" w14:textId="77777777" w:rsidR="008816CD" w:rsidRPr="00133CC2" w:rsidRDefault="008816CD" w:rsidP="008816CD">
      <w:pPr>
        <w:spacing w:after="0"/>
        <w:rPr>
          <w:rFonts w:ascii="Gill Sans MT" w:hAnsi="Gill Sans MT"/>
        </w:rPr>
      </w:pPr>
      <w:r w:rsidRPr="00133CC2">
        <w:rPr>
          <w:rFonts w:ascii="Gill Sans MT" w:hAnsi="Gill Sans MT"/>
        </w:rPr>
        <w:t xml:space="preserve">Evans, B.J.W., 2003, </w:t>
      </w:r>
      <w:r w:rsidRPr="00133CC2">
        <w:rPr>
          <w:rFonts w:ascii="Gill Sans MT" w:hAnsi="Gill Sans MT"/>
          <w:i/>
        </w:rPr>
        <w:t>Dyslexia and Vision</w:t>
      </w:r>
      <w:r w:rsidRPr="00133CC2">
        <w:rPr>
          <w:rFonts w:ascii="Gill Sans MT" w:hAnsi="Gill Sans MT"/>
        </w:rPr>
        <w:t>, London, Whurr.</w:t>
      </w:r>
    </w:p>
    <w:p w14:paraId="63D9A510" w14:textId="77777777" w:rsidR="008816CD" w:rsidRPr="00133CC2" w:rsidRDefault="008816CD" w:rsidP="008816CD">
      <w:pPr>
        <w:spacing w:after="0"/>
        <w:rPr>
          <w:rFonts w:ascii="Gill Sans MT" w:hAnsi="Gill Sans MT"/>
        </w:rPr>
      </w:pPr>
      <w:r w:rsidRPr="00133CC2">
        <w:rPr>
          <w:rFonts w:ascii="Gill Sans MT" w:hAnsi="Gill Sans MT"/>
        </w:rPr>
        <w:t xml:space="preserve">Evans, W., 2013, 'I am not a dyslexic person, I am a person with dyslexia': identity constructions of dyslexia among students in nurse education, </w:t>
      </w:r>
      <w:r w:rsidRPr="00133CC2">
        <w:rPr>
          <w:rFonts w:ascii="Gill Sans MT" w:hAnsi="Gill Sans MT"/>
          <w:i/>
        </w:rPr>
        <w:t>Journal of Advanced Nursing</w:t>
      </w:r>
      <w:r w:rsidRPr="00133CC2">
        <w:rPr>
          <w:rFonts w:ascii="Gill Sans MT" w:hAnsi="Gill Sans MT"/>
        </w:rPr>
        <w:t>, 70(2), 360-372.</w:t>
      </w:r>
    </w:p>
    <w:p w14:paraId="2F9E3AC5" w14:textId="77777777" w:rsidR="008816CD" w:rsidRPr="00133CC2" w:rsidRDefault="008816CD" w:rsidP="008816CD">
      <w:pPr>
        <w:spacing w:after="0"/>
        <w:rPr>
          <w:rFonts w:ascii="Gill Sans MT" w:hAnsi="Gill Sans MT"/>
        </w:rPr>
      </w:pPr>
      <w:r w:rsidRPr="00133CC2">
        <w:rPr>
          <w:rFonts w:ascii="Gill Sans MT" w:hAnsi="Gill Sans MT"/>
        </w:rPr>
        <w:t xml:space="preserve">Everatt, J., Steffert, B., Smythe, I., 1999, An eye for the unusual: creative thinking in dyslexics, </w:t>
      </w:r>
      <w:r w:rsidRPr="00133CC2">
        <w:rPr>
          <w:rFonts w:ascii="Gill Sans MT" w:hAnsi="Gill Sans MT"/>
          <w:i/>
        </w:rPr>
        <w:t>Dyslexia</w:t>
      </w:r>
      <w:r w:rsidRPr="00133CC2">
        <w:rPr>
          <w:rFonts w:ascii="Gill Sans MT" w:hAnsi="Gill Sans MT"/>
        </w:rPr>
        <w:t>, 5(1), 28-46.</w:t>
      </w:r>
    </w:p>
    <w:p w14:paraId="644156E1" w14:textId="77777777" w:rsidR="008816CD" w:rsidRPr="00133CC2" w:rsidRDefault="008816CD" w:rsidP="008816CD">
      <w:pPr>
        <w:spacing w:after="0"/>
        <w:rPr>
          <w:rFonts w:ascii="Gill Sans MT" w:hAnsi="Gill Sans MT"/>
        </w:rPr>
      </w:pPr>
      <w:r w:rsidRPr="00133CC2">
        <w:rPr>
          <w:rFonts w:ascii="Gill Sans MT" w:hAnsi="Gill Sans MT"/>
        </w:rPr>
        <w:t xml:space="preserve">Evett, L., Brown, D., 2005, Text formats and web design for visually impaired and dyslexic readers - clear text for all, </w:t>
      </w:r>
      <w:r w:rsidRPr="00133CC2">
        <w:rPr>
          <w:rFonts w:ascii="Gill Sans MT" w:hAnsi="Gill Sans MT"/>
          <w:i/>
        </w:rPr>
        <w:t>Interacting with Computers</w:t>
      </w:r>
      <w:r w:rsidRPr="00133CC2">
        <w:rPr>
          <w:rFonts w:ascii="Gill Sans MT" w:hAnsi="Gill Sans MT"/>
        </w:rPr>
        <w:t>, 17(4), 453-472.</w:t>
      </w:r>
    </w:p>
    <w:p w14:paraId="39AEE23C" w14:textId="77777777" w:rsidR="008816CD" w:rsidRPr="00133CC2" w:rsidRDefault="008816CD" w:rsidP="008816CD">
      <w:pPr>
        <w:spacing w:after="0"/>
        <w:rPr>
          <w:rFonts w:ascii="Gill Sans MT" w:hAnsi="Gill Sans MT"/>
        </w:rPr>
      </w:pPr>
      <w:r w:rsidRPr="00133CC2">
        <w:rPr>
          <w:rFonts w:ascii="Gill Sans MT" w:hAnsi="Gill Sans MT"/>
        </w:rPr>
        <w:t xml:space="preserve">Eysenck, H., 1996, Personality and the experimental study of education, European </w:t>
      </w:r>
      <w:r w:rsidRPr="00133CC2">
        <w:rPr>
          <w:rFonts w:ascii="Gill Sans MT" w:hAnsi="Gill Sans MT"/>
          <w:i/>
        </w:rPr>
        <w:t>Journal of Personality</w:t>
      </w:r>
      <w:r w:rsidRPr="00133CC2">
        <w:rPr>
          <w:rFonts w:ascii="Gill Sans MT" w:hAnsi="Gill Sans MT"/>
        </w:rPr>
        <w:t>, 10(5), 427-439.</w:t>
      </w:r>
    </w:p>
    <w:p w14:paraId="0529F23D" w14:textId="77777777" w:rsidR="008816CD" w:rsidRPr="00133CC2" w:rsidRDefault="008816CD" w:rsidP="008816CD">
      <w:pPr>
        <w:spacing w:after="0"/>
        <w:rPr>
          <w:rFonts w:ascii="Gill Sans MT" w:hAnsi="Gill Sans MT"/>
        </w:rPr>
      </w:pPr>
      <w:r w:rsidRPr="00133CC2">
        <w:rPr>
          <w:rFonts w:ascii="Gill Sans MT" w:hAnsi="Gill Sans MT"/>
        </w:rPr>
        <w:t xml:space="preserve">Fabry, D.L., 2010, Combining research-based effective teacher characteristics with effective instructional strategies to influence pedagogy, </w:t>
      </w:r>
      <w:r w:rsidRPr="00133CC2">
        <w:rPr>
          <w:rFonts w:ascii="Gill Sans MT" w:hAnsi="Gill Sans MT"/>
          <w:i/>
        </w:rPr>
        <w:t>Journal of Research in Innovative Teaching</w:t>
      </w:r>
      <w:r w:rsidRPr="00133CC2">
        <w:rPr>
          <w:rFonts w:ascii="Gill Sans MT" w:hAnsi="Gill Sans MT"/>
        </w:rPr>
        <w:t>, 3(1), 24-32.</w:t>
      </w:r>
    </w:p>
    <w:p w14:paraId="353ECADA" w14:textId="77777777" w:rsidR="008816CD" w:rsidRPr="00133CC2" w:rsidRDefault="008816CD" w:rsidP="008816CD">
      <w:pPr>
        <w:spacing w:after="0"/>
        <w:rPr>
          <w:rFonts w:ascii="Gill Sans MT" w:hAnsi="Gill Sans MT"/>
        </w:rPr>
      </w:pPr>
      <w:r w:rsidRPr="00133CC2">
        <w:rPr>
          <w:rFonts w:ascii="Gill Sans MT" w:hAnsi="Gill Sans MT"/>
        </w:rPr>
        <w:t xml:space="preserve">Fan, W., Yan, Z., 2010, Factors affecting response rates of the web survey: A systematic review, </w:t>
      </w:r>
      <w:r w:rsidRPr="00133CC2">
        <w:rPr>
          <w:rFonts w:ascii="Gill Sans MT" w:hAnsi="Gill Sans MT"/>
          <w:i/>
        </w:rPr>
        <w:t>Computers in Human Behaviour</w:t>
      </w:r>
      <w:r w:rsidRPr="00133CC2">
        <w:rPr>
          <w:rFonts w:ascii="Gill Sans MT" w:hAnsi="Gill Sans MT"/>
        </w:rPr>
        <w:t xml:space="preserve">, 26(2), 132-139. </w:t>
      </w:r>
    </w:p>
    <w:p w14:paraId="44F8EBFB" w14:textId="00CAD618" w:rsidR="008816CD" w:rsidRDefault="008816CD" w:rsidP="008816CD">
      <w:pPr>
        <w:spacing w:after="0"/>
        <w:rPr>
          <w:rFonts w:ascii="Gill Sans MT" w:hAnsi="Gill Sans MT"/>
        </w:rPr>
      </w:pPr>
      <w:r w:rsidRPr="00133CC2">
        <w:rPr>
          <w:rFonts w:ascii="Gill Sans MT" w:hAnsi="Gill Sans MT"/>
        </w:rPr>
        <w:t xml:space="preserve">Fanghanel, J., Pritchard, J., Potter, J., Wisker, G., 2016, </w:t>
      </w:r>
      <w:r w:rsidRPr="00133CC2">
        <w:rPr>
          <w:rFonts w:ascii="Gill Sans MT" w:hAnsi="Gill Sans MT"/>
          <w:i/>
        </w:rPr>
        <w:t>Defining and supporting the Scholarship of Teaching and Learning (SoTL): A sector-wide review</w:t>
      </w:r>
      <w:r w:rsidRPr="00133CC2">
        <w:rPr>
          <w:rFonts w:ascii="Gill Sans MT" w:hAnsi="Gill Sans MT"/>
        </w:rPr>
        <w:t>, York, Higher Education Academy.</w:t>
      </w:r>
    </w:p>
    <w:p w14:paraId="008416B6" w14:textId="35C0DE65" w:rsidR="000A715B" w:rsidRDefault="000A715B" w:rsidP="008816CD">
      <w:pPr>
        <w:spacing w:after="0"/>
        <w:rPr>
          <w:rFonts w:ascii="Gill Sans MT" w:hAnsi="Gill Sans MT"/>
        </w:rPr>
      </w:pPr>
      <w:r>
        <w:rPr>
          <w:rFonts w:ascii="Gill Sans MT" w:hAnsi="Gill Sans MT"/>
        </w:rPr>
        <w:t xml:space="preserve">Farmer, M., Riddick, B., Sterling, C., 2002, </w:t>
      </w:r>
      <w:r w:rsidRPr="000A715B">
        <w:rPr>
          <w:rFonts w:ascii="Gill Sans MT" w:hAnsi="Gill Sans MT"/>
          <w:i/>
          <w:iCs/>
        </w:rPr>
        <w:t>Dyslexia and Inclusion: Assessment and Support in Higher Education</w:t>
      </w:r>
      <w:r>
        <w:rPr>
          <w:rFonts w:ascii="Gill Sans MT" w:hAnsi="Gill Sans MT"/>
        </w:rPr>
        <w:t>, London, Whurr.</w:t>
      </w:r>
    </w:p>
    <w:p w14:paraId="1C81CD69" w14:textId="77777777" w:rsidR="008816CD" w:rsidRDefault="008816CD" w:rsidP="008816CD">
      <w:pPr>
        <w:spacing w:after="0"/>
        <w:rPr>
          <w:rFonts w:ascii="Gill Sans MT" w:hAnsi="Gill Sans MT"/>
        </w:rPr>
      </w:pPr>
      <w:r w:rsidRPr="00F77032">
        <w:rPr>
          <w:rFonts w:ascii="Gill Sans MT" w:hAnsi="Gill Sans MT"/>
        </w:rPr>
        <w:lastRenderedPageBreak/>
        <w:t>Fawcett, A.J., Nicholson, R.I., 1995, Persistent deficits in motor skills of children with dyslexia</w:t>
      </w:r>
      <w:r w:rsidRPr="00C41FB8">
        <w:rPr>
          <w:rFonts w:ascii="Gill Sans MT" w:hAnsi="Gill Sans MT"/>
          <w:i/>
        </w:rPr>
        <w:t>, Journal of Motor Behaviour</w:t>
      </w:r>
      <w:r w:rsidRPr="00F77032">
        <w:rPr>
          <w:rFonts w:ascii="Gill Sans MT" w:hAnsi="Gill Sans MT"/>
        </w:rPr>
        <w:t>, 27(3), 235-240.</w:t>
      </w:r>
    </w:p>
    <w:p w14:paraId="3AB1E4BA" w14:textId="77777777" w:rsidR="008816CD" w:rsidRPr="00454FD4" w:rsidRDefault="008816CD" w:rsidP="008816CD">
      <w:pPr>
        <w:spacing w:after="0"/>
        <w:rPr>
          <w:rFonts w:ascii="Gill Sans MT" w:hAnsi="Gill Sans MT"/>
        </w:rPr>
      </w:pPr>
      <w:r>
        <w:rPr>
          <w:rFonts w:ascii="Gill Sans MT" w:hAnsi="Gill Sans MT"/>
        </w:rPr>
        <w:t xml:space="preserve">Fawcett, A.J., Nicholson, R.I., 1998, </w:t>
      </w:r>
      <w:r>
        <w:rPr>
          <w:rFonts w:ascii="Gill Sans MT" w:hAnsi="Gill Sans MT"/>
          <w:i/>
        </w:rPr>
        <w:t>The Dyslexia Adult Screening Test (DAST)</w:t>
      </w:r>
      <w:r>
        <w:rPr>
          <w:rFonts w:ascii="Gill Sans MT" w:hAnsi="Gill Sans MT"/>
        </w:rPr>
        <w:t>, London, Pearson.</w:t>
      </w:r>
    </w:p>
    <w:p w14:paraId="55A07428" w14:textId="77777777" w:rsidR="008816CD" w:rsidRPr="00133CC2" w:rsidRDefault="008816CD" w:rsidP="008816CD">
      <w:pPr>
        <w:spacing w:after="0"/>
        <w:rPr>
          <w:rFonts w:ascii="Gill Sans MT" w:hAnsi="Gill Sans MT"/>
        </w:rPr>
      </w:pPr>
      <w:r w:rsidRPr="00133CC2">
        <w:rPr>
          <w:rFonts w:ascii="Gill Sans MT" w:hAnsi="Gill Sans MT"/>
        </w:rPr>
        <w:t xml:space="preserve">Felder, R.M., 1988, How students learn: Adapting teaching styles to learning styles, </w:t>
      </w:r>
      <w:r w:rsidRPr="00133CC2">
        <w:rPr>
          <w:rFonts w:ascii="Gill Sans MT" w:hAnsi="Gill Sans MT"/>
          <w:i/>
        </w:rPr>
        <w:t>Frontiers in Education Conference, 1988, Proceedings</w:t>
      </w:r>
      <w:r w:rsidRPr="00133CC2">
        <w:rPr>
          <w:rFonts w:ascii="Gill Sans MT" w:hAnsi="Gill Sans MT"/>
        </w:rPr>
        <w:t>, IEEE.</w:t>
      </w:r>
    </w:p>
    <w:p w14:paraId="07951267" w14:textId="345DD58A" w:rsidR="008816CD" w:rsidRDefault="008816CD" w:rsidP="008816CD">
      <w:pPr>
        <w:spacing w:after="0"/>
        <w:rPr>
          <w:rFonts w:ascii="Gill Sans MT" w:hAnsi="Gill Sans MT"/>
        </w:rPr>
      </w:pPr>
      <w:r w:rsidRPr="00133CC2">
        <w:rPr>
          <w:rFonts w:ascii="Gill Sans MT" w:hAnsi="Gill Sans MT"/>
        </w:rPr>
        <w:t xml:space="preserve">Feldman, D.B., Kubota, M., 2015, Hope, self-efficacy, optimism and academic achievement: distinguishing between constructs and levels of specificity in predicting college grade-point average, </w:t>
      </w:r>
      <w:r w:rsidRPr="00133CC2">
        <w:rPr>
          <w:rFonts w:ascii="Gill Sans MT" w:hAnsi="Gill Sans MT"/>
          <w:i/>
        </w:rPr>
        <w:t>Learning and Individual Differences</w:t>
      </w:r>
      <w:r w:rsidRPr="00133CC2">
        <w:rPr>
          <w:rFonts w:ascii="Gill Sans MT" w:hAnsi="Gill Sans MT"/>
        </w:rPr>
        <w:t>, 37, 210-216.</w:t>
      </w:r>
    </w:p>
    <w:p w14:paraId="0ED5DCFD" w14:textId="474A211B" w:rsidR="00BC06AD" w:rsidRPr="00BC06AD" w:rsidRDefault="00BC06AD" w:rsidP="008816CD">
      <w:pPr>
        <w:spacing w:after="0"/>
        <w:rPr>
          <w:rFonts w:ascii="Gill Sans MT" w:hAnsi="Gill Sans MT"/>
        </w:rPr>
      </w:pPr>
      <w:r>
        <w:rPr>
          <w:rFonts w:ascii="Gill Sans MT" w:hAnsi="Gill Sans MT"/>
        </w:rPr>
        <w:t xml:space="preserve">Ferguson, C.J., 2016, An effect size primer: A guide for clinicians and researchers, IN: Kazdin, A.E. (Ed), </w:t>
      </w:r>
      <w:r>
        <w:rPr>
          <w:rFonts w:ascii="Gill Sans MT" w:hAnsi="Gill Sans MT"/>
          <w:i/>
          <w:iCs/>
        </w:rPr>
        <w:t>Methodological issues and strategies in clinical research</w:t>
      </w:r>
      <w:r>
        <w:rPr>
          <w:rFonts w:ascii="Gill Sans MT" w:hAnsi="Gill Sans MT"/>
        </w:rPr>
        <w:t>, (301-310), APA, https://doi.org/10.1037/14805-020.</w:t>
      </w:r>
    </w:p>
    <w:p w14:paraId="7CEFB429" w14:textId="77777777" w:rsidR="008816CD" w:rsidRPr="00133CC2" w:rsidRDefault="008816CD" w:rsidP="008816CD">
      <w:pPr>
        <w:spacing w:after="0"/>
        <w:rPr>
          <w:rFonts w:ascii="Gill Sans MT" w:hAnsi="Gill Sans MT"/>
        </w:rPr>
      </w:pPr>
      <w:r w:rsidRPr="00133CC2">
        <w:rPr>
          <w:rFonts w:ascii="Gill Sans MT" w:hAnsi="Gill Sans MT"/>
        </w:rPr>
        <w:t xml:space="preserve">Fernham, A., Henderson, M., 1982, The good, the bad, and the mad: response bias in self-report measures, </w:t>
      </w:r>
      <w:r w:rsidRPr="00133CC2">
        <w:rPr>
          <w:rFonts w:ascii="Gill Sans MT" w:hAnsi="Gill Sans MT"/>
          <w:i/>
        </w:rPr>
        <w:t>Personality and Individual Differences</w:t>
      </w:r>
      <w:r w:rsidRPr="00133CC2">
        <w:rPr>
          <w:rFonts w:ascii="Gill Sans MT" w:hAnsi="Gill Sans MT"/>
        </w:rPr>
        <w:t>, 3(2), 311-320.</w:t>
      </w:r>
    </w:p>
    <w:p w14:paraId="12DF7252" w14:textId="77777777" w:rsidR="008816CD" w:rsidRPr="00133CC2" w:rsidRDefault="008816CD" w:rsidP="008816CD">
      <w:pPr>
        <w:spacing w:after="0"/>
        <w:rPr>
          <w:rFonts w:ascii="Gill Sans MT" w:hAnsi="Gill Sans MT"/>
        </w:rPr>
      </w:pPr>
      <w:r w:rsidRPr="00133CC2">
        <w:rPr>
          <w:rFonts w:ascii="Gill Sans MT" w:hAnsi="Gill Sans MT"/>
        </w:rPr>
        <w:t xml:space="preserve">Fhloinn, E.N., Fitmaurice, O., Mac an Bhaird, C., O'Sullivan, C., 2016, Gender differences in the level of engagement with mathematics support in higher education in Ireland, International </w:t>
      </w:r>
      <w:r w:rsidRPr="00133CC2">
        <w:rPr>
          <w:rFonts w:ascii="Gill Sans MT" w:hAnsi="Gill Sans MT"/>
          <w:i/>
        </w:rPr>
        <w:t>Journal of research in Undergraduate Mathematics Education</w:t>
      </w:r>
      <w:r w:rsidRPr="00133CC2">
        <w:rPr>
          <w:rFonts w:ascii="Gill Sans MT" w:hAnsi="Gill Sans MT"/>
        </w:rPr>
        <w:t xml:space="preserve">, 2(3), 287-317. </w:t>
      </w:r>
    </w:p>
    <w:p w14:paraId="21317D25" w14:textId="77777777" w:rsidR="008816CD" w:rsidRPr="00133CC2" w:rsidRDefault="008816CD" w:rsidP="008816CD">
      <w:pPr>
        <w:spacing w:after="0"/>
        <w:rPr>
          <w:rFonts w:ascii="Gill Sans MT" w:hAnsi="Gill Sans MT"/>
        </w:rPr>
      </w:pPr>
      <w:r w:rsidRPr="00133CC2">
        <w:rPr>
          <w:rFonts w:ascii="Gill Sans MT" w:hAnsi="Gill Sans MT"/>
        </w:rPr>
        <w:t xml:space="preserve">Financial Times, 2018, </w:t>
      </w:r>
      <w:r w:rsidRPr="00133CC2">
        <w:rPr>
          <w:rFonts w:ascii="Gill Sans MT" w:hAnsi="Gill Sans MT"/>
          <w:i/>
        </w:rPr>
        <w:t>UK students fight to draw students after good A-level results</w:t>
      </w:r>
      <w:r w:rsidRPr="00133CC2">
        <w:rPr>
          <w:rFonts w:ascii="Gill Sans MT" w:hAnsi="Gill Sans MT"/>
        </w:rPr>
        <w:t>, Available at: https://www.ft.com/content/b0755e6c-a12e-11e8-85da-eeb7a9ce36e4, Accessed on: 22nd August 2018.</w:t>
      </w:r>
    </w:p>
    <w:p w14:paraId="029AC79E" w14:textId="77777777" w:rsidR="008816CD" w:rsidRPr="000E19D5" w:rsidRDefault="008816CD" w:rsidP="008816CD">
      <w:pPr>
        <w:spacing w:after="0"/>
        <w:rPr>
          <w:rFonts w:ascii="Gill Sans MT" w:hAnsi="Gill Sans MT"/>
        </w:rPr>
      </w:pPr>
      <w:r w:rsidRPr="000E19D5">
        <w:rPr>
          <w:rFonts w:ascii="Gill Sans MT" w:hAnsi="Gill Sans MT"/>
        </w:rPr>
        <w:t xml:space="preserve">Fitzgibbon, C., Prior, J., 2003, Student expectations and university interventions - a timeline to aid undergraduate student retention, In: </w:t>
      </w:r>
      <w:r w:rsidRPr="000E19D5">
        <w:rPr>
          <w:rFonts w:ascii="Gill Sans MT" w:hAnsi="Gill Sans MT"/>
          <w:i/>
        </w:rPr>
        <w:t>BEST Conference: Creativity and Innovation in Academic Practice</w:t>
      </w:r>
      <w:r w:rsidRPr="000E19D5">
        <w:rPr>
          <w:rFonts w:ascii="Gill Sans MT" w:hAnsi="Gill Sans MT"/>
        </w:rPr>
        <w:t>, Brighton, April 2003.</w:t>
      </w:r>
    </w:p>
    <w:p w14:paraId="06E89D58" w14:textId="77777777" w:rsidR="008816CD" w:rsidRPr="000E19D5" w:rsidRDefault="008816CD" w:rsidP="008816CD">
      <w:pPr>
        <w:spacing w:after="0"/>
      </w:pPr>
      <w:r w:rsidRPr="000E19D5">
        <w:rPr>
          <w:rFonts w:ascii="Gill Sans MT" w:hAnsi="Gill Sans MT"/>
        </w:rPr>
        <w:t xml:space="preserve">Fletcher, J.M., 2009, Dyslexia: the evolution of a scientific concept, </w:t>
      </w:r>
      <w:r w:rsidRPr="000E19D5">
        <w:rPr>
          <w:rFonts w:ascii="Gill Sans MT" w:hAnsi="Gill Sans MT"/>
          <w:i/>
        </w:rPr>
        <w:t>Journal of the International Neuropsychological</w:t>
      </w:r>
      <w:r w:rsidRPr="00133CC2">
        <w:rPr>
          <w:i/>
        </w:rPr>
        <w:t xml:space="preserve"> </w:t>
      </w:r>
      <w:r w:rsidRPr="000E19D5">
        <w:rPr>
          <w:rFonts w:ascii="Gill Sans MT" w:hAnsi="Gill Sans MT"/>
          <w:i/>
        </w:rPr>
        <w:t>Society</w:t>
      </w:r>
      <w:r w:rsidRPr="000E19D5">
        <w:rPr>
          <w:rFonts w:ascii="Gill Sans MT" w:hAnsi="Gill Sans MT"/>
        </w:rPr>
        <w:t>, 15(4), 501-508.</w:t>
      </w:r>
    </w:p>
    <w:p w14:paraId="24E8DB24" w14:textId="77777777" w:rsidR="008816CD" w:rsidRPr="00133CC2" w:rsidRDefault="008816CD" w:rsidP="008816CD">
      <w:pPr>
        <w:spacing w:after="0"/>
        <w:rPr>
          <w:rFonts w:ascii="Gill Sans MT" w:hAnsi="Gill Sans MT"/>
        </w:rPr>
      </w:pPr>
      <w:r w:rsidRPr="00133CC2">
        <w:rPr>
          <w:rFonts w:ascii="Gill Sans MT" w:hAnsi="Gill Sans MT"/>
        </w:rPr>
        <w:t xml:space="preserve">Fletcher, J.M., Lyon, G.R., </w:t>
      </w:r>
      <w:r>
        <w:rPr>
          <w:rFonts w:ascii="Gill Sans MT" w:hAnsi="Gill Sans MT"/>
        </w:rPr>
        <w:t xml:space="preserve">2008, </w:t>
      </w:r>
      <w:r w:rsidRPr="00133CC2">
        <w:rPr>
          <w:rFonts w:ascii="Gill Sans MT" w:hAnsi="Gill Sans MT"/>
        </w:rPr>
        <w:t xml:space="preserve">Dyslexia: Why precise definitions are important and how we have achieved them, </w:t>
      </w:r>
      <w:r w:rsidRPr="00133CC2">
        <w:rPr>
          <w:rFonts w:ascii="Gill Sans MT" w:hAnsi="Gill Sans MT"/>
          <w:i/>
        </w:rPr>
        <w:t>Perspectives on Language and Literacy</w:t>
      </w:r>
      <w:r w:rsidRPr="00133CC2">
        <w:rPr>
          <w:rFonts w:ascii="Gill Sans MT" w:hAnsi="Gill Sans MT"/>
        </w:rPr>
        <w:t xml:space="preserve">, 34(1), 27-34. </w:t>
      </w:r>
    </w:p>
    <w:p w14:paraId="142BB7F5" w14:textId="77777777" w:rsidR="008816CD" w:rsidRPr="000E19D5" w:rsidRDefault="008816CD" w:rsidP="008816CD">
      <w:pPr>
        <w:spacing w:after="0"/>
        <w:rPr>
          <w:rFonts w:ascii="Gill Sans MT" w:hAnsi="Gill Sans MT"/>
        </w:rPr>
      </w:pPr>
      <w:r w:rsidRPr="000E19D5">
        <w:rPr>
          <w:rFonts w:ascii="Gill Sans MT" w:hAnsi="Gill Sans MT"/>
        </w:rPr>
        <w:t>Fletcher, J.M., Reid Lyon, G., Fuchs, L.S., Barnes, M.A., 2007</w:t>
      </w:r>
      <w:r w:rsidRPr="000E19D5">
        <w:rPr>
          <w:rFonts w:ascii="Gill Sans MT" w:hAnsi="Gill Sans MT"/>
          <w:i/>
        </w:rPr>
        <w:t>, Learning Disabilities: From identification to intervention</w:t>
      </w:r>
      <w:r w:rsidRPr="000E19D5">
        <w:rPr>
          <w:rFonts w:ascii="Gill Sans MT" w:hAnsi="Gill Sans MT"/>
        </w:rPr>
        <w:t>, New York, Guildford Press.</w:t>
      </w:r>
    </w:p>
    <w:p w14:paraId="6C3CEBF5" w14:textId="77777777" w:rsidR="008816CD" w:rsidRPr="00133CC2" w:rsidRDefault="008816CD" w:rsidP="008816CD">
      <w:pPr>
        <w:spacing w:after="0"/>
        <w:rPr>
          <w:rFonts w:ascii="Gill Sans MT" w:hAnsi="Gill Sans MT"/>
        </w:rPr>
      </w:pPr>
      <w:r w:rsidRPr="00133CC2">
        <w:rPr>
          <w:rFonts w:ascii="Gill Sans MT" w:hAnsi="Gill Sans MT"/>
        </w:rPr>
        <w:t xml:space="preserve">Flowerdew, R., Martin, D.M., 2005. Questionnaire design and sampling, IN: </w:t>
      </w:r>
      <w:r w:rsidRPr="00133CC2">
        <w:rPr>
          <w:rFonts w:ascii="Gill Sans MT" w:hAnsi="Gill Sans MT"/>
          <w:i/>
        </w:rPr>
        <w:t>Methods in Human Geography</w:t>
      </w:r>
      <w:r w:rsidRPr="00133CC2">
        <w:rPr>
          <w:rFonts w:ascii="Gill Sans MT" w:hAnsi="Gill Sans MT"/>
        </w:rPr>
        <w:t>, Harlow, Pearson Education.</w:t>
      </w:r>
    </w:p>
    <w:p w14:paraId="7835162A" w14:textId="77777777" w:rsidR="008816CD" w:rsidRPr="00133CC2" w:rsidRDefault="008816CD" w:rsidP="008816CD">
      <w:pPr>
        <w:spacing w:after="0"/>
        <w:rPr>
          <w:rFonts w:ascii="Gill Sans MT" w:hAnsi="Gill Sans MT"/>
        </w:rPr>
      </w:pPr>
      <w:r w:rsidRPr="00133CC2">
        <w:rPr>
          <w:rFonts w:ascii="Gill Sans MT" w:hAnsi="Gill Sans MT"/>
        </w:rPr>
        <w:t xml:space="preserve">Fogli, D., Provenza, L.P., Bernareggi, C., 2014, A universal design resource for rich internet applications based on design patterns, </w:t>
      </w:r>
      <w:r w:rsidRPr="00133CC2">
        <w:rPr>
          <w:rFonts w:ascii="Gill Sans MT" w:hAnsi="Gill Sans MT"/>
          <w:i/>
        </w:rPr>
        <w:t>Universal Access in the Information Society</w:t>
      </w:r>
      <w:r w:rsidRPr="00133CC2">
        <w:rPr>
          <w:rFonts w:ascii="Gill Sans MT" w:hAnsi="Gill Sans MT"/>
        </w:rPr>
        <w:t xml:space="preserve">, 13(2), 205-226. </w:t>
      </w:r>
    </w:p>
    <w:p w14:paraId="27A0511B" w14:textId="77777777" w:rsidR="008816CD" w:rsidRDefault="008816CD" w:rsidP="008816CD">
      <w:pPr>
        <w:spacing w:after="0"/>
        <w:rPr>
          <w:rFonts w:ascii="Gill Sans MT" w:hAnsi="Gill Sans MT"/>
        </w:rPr>
      </w:pPr>
      <w:r w:rsidRPr="00133CC2">
        <w:rPr>
          <w:rFonts w:ascii="Gill Sans MT" w:hAnsi="Gill Sans MT"/>
        </w:rPr>
        <w:t xml:space="preserve">Fraser, V., 2012, The complex nature of dyslexia support in the context of widening participation, In: </w:t>
      </w:r>
      <w:r w:rsidRPr="00133CC2">
        <w:rPr>
          <w:rFonts w:ascii="Gill Sans MT" w:hAnsi="Gill Sans MT"/>
          <w:i/>
        </w:rPr>
        <w:t>Supporting Adults in Higher Education and the Workplace</w:t>
      </w:r>
      <w:r w:rsidRPr="00133CC2">
        <w:rPr>
          <w:rFonts w:ascii="Gill Sans MT" w:hAnsi="Gill Sans MT"/>
        </w:rPr>
        <w:t>, Brunswick, N. (Ed), 43-50, Chichester, Wiley.</w:t>
      </w:r>
    </w:p>
    <w:p w14:paraId="4C54386C" w14:textId="77777777" w:rsidR="008816CD" w:rsidRPr="00133CC2" w:rsidRDefault="008816CD" w:rsidP="008816CD">
      <w:pPr>
        <w:spacing w:before="240" w:after="0"/>
        <w:rPr>
          <w:rFonts w:ascii="Gill Sans MT" w:hAnsi="Gill Sans MT"/>
        </w:rPr>
      </w:pPr>
      <w:r w:rsidRPr="00524945">
        <w:rPr>
          <w:rFonts w:ascii="Gill Sans MT" w:hAnsi="Gill Sans MT"/>
        </w:rPr>
        <w:t xml:space="preserve">French, J., Herrington, M., 2008, Theorizing dyslexic student discussion/action groups in UK higher education: research in practice, </w:t>
      </w:r>
      <w:r w:rsidRPr="00524945">
        <w:rPr>
          <w:rFonts w:ascii="Gill Sans MT" w:hAnsi="Gill Sans MT"/>
          <w:i/>
        </w:rPr>
        <w:t>Educational Action Research</w:t>
      </w:r>
      <w:r w:rsidRPr="00524945">
        <w:rPr>
          <w:rFonts w:ascii="Gill Sans MT" w:hAnsi="Gill Sans MT"/>
        </w:rPr>
        <w:t>, 16(4), 517-530.</w:t>
      </w:r>
    </w:p>
    <w:p w14:paraId="5605693D" w14:textId="77777777" w:rsidR="008816CD" w:rsidRPr="00133CC2" w:rsidRDefault="008816CD" w:rsidP="008816CD">
      <w:pPr>
        <w:spacing w:after="0"/>
        <w:rPr>
          <w:rFonts w:ascii="Gill Sans MT" w:hAnsi="Gill Sans MT"/>
        </w:rPr>
      </w:pPr>
      <w:r w:rsidRPr="00133CC2">
        <w:rPr>
          <w:rFonts w:ascii="Gill Sans MT" w:hAnsi="Gill Sans MT"/>
        </w:rPr>
        <w:t xml:space="preserve">Frith, U., 1999, Paradoxes in the definition of dyslexia, </w:t>
      </w:r>
      <w:r w:rsidRPr="00133CC2">
        <w:rPr>
          <w:rFonts w:ascii="Gill Sans MT" w:hAnsi="Gill Sans MT"/>
          <w:i/>
        </w:rPr>
        <w:t>Dyslexia</w:t>
      </w:r>
      <w:r w:rsidRPr="00133CC2">
        <w:rPr>
          <w:rFonts w:ascii="Gill Sans MT" w:hAnsi="Gill Sans MT"/>
        </w:rPr>
        <w:t>, 5, 192-214.</w:t>
      </w:r>
    </w:p>
    <w:p w14:paraId="03B17945" w14:textId="77777777" w:rsidR="00BC06AD" w:rsidRDefault="008816CD" w:rsidP="00BC06AD">
      <w:pPr>
        <w:spacing w:before="0" w:after="0" w:line="240" w:lineRule="auto"/>
        <w:rPr>
          <w:spacing w:val="12"/>
        </w:rPr>
      </w:pPr>
      <w:r w:rsidRPr="00133CC2">
        <w:rPr>
          <w:rFonts w:ascii="Gill Sans MT" w:hAnsi="Gill Sans MT"/>
        </w:rPr>
        <w:t xml:space="preserve">Frith, U., 2002, Resolving the paradoxes of dyslexia, IN: Reid, G., Wearmouth, J., </w:t>
      </w:r>
      <w:r w:rsidRPr="00133CC2">
        <w:rPr>
          <w:rFonts w:ascii="Gill Sans MT" w:hAnsi="Gill Sans MT"/>
          <w:i/>
        </w:rPr>
        <w:t>Dyslexia and Literacy: Theory and Practice</w:t>
      </w:r>
      <w:r w:rsidRPr="00133CC2">
        <w:rPr>
          <w:rFonts w:ascii="Gill Sans MT" w:hAnsi="Gill Sans MT"/>
        </w:rPr>
        <w:t>, London, Wiley</w:t>
      </w:r>
      <w:r w:rsidR="00BC06AD">
        <w:rPr>
          <w:rFonts w:ascii="Gill Sans MT" w:hAnsi="Gill Sans MT"/>
        </w:rPr>
        <w:t>.</w:t>
      </w:r>
    </w:p>
    <w:p w14:paraId="28A3397B" w14:textId="4A85FB7F" w:rsidR="008816CD" w:rsidRPr="00BC06AD" w:rsidRDefault="00BC06AD" w:rsidP="00BC06AD">
      <w:pPr>
        <w:spacing w:after="120"/>
        <w:rPr>
          <w:rFonts w:ascii="Gill Sans MT" w:eastAsia="Times New Roman" w:hAnsi="Gill Sans MT"/>
          <w:lang w:eastAsia="en-GB"/>
        </w:rPr>
      </w:pPr>
      <w:r w:rsidRPr="00BC06AD">
        <w:rPr>
          <w:rFonts w:ascii="Gill Sans MT" w:eastAsia="Times New Roman" w:hAnsi="Gill Sans MT"/>
          <w:lang w:eastAsia="en-GB"/>
        </w:rPr>
        <w:t>Fritz, C.O., Morris, P.E., Richler, J.J., 2012, Effect size estimates: current use, calculations and interpretations, Journal of Experimental Psychology, General, 14(1), 2-28.</w:t>
      </w:r>
    </w:p>
    <w:p w14:paraId="18E0E1E0" w14:textId="77777777" w:rsidR="008816CD" w:rsidRDefault="008816CD" w:rsidP="008816CD">
      <w:pPr>
        <w:spacing w:after="0"/>
        <w:rPr>
          <w:rFonts w:ascii="Gill Sans MT" w:hAnsi="Gill Sans MT"/>
        </w:rPr>
      </w:pPr>
      <w:r w:rsidRPr="00133CC2">
        <w:rPr>
          <w:rFonts w:ascii="Gill Sans MT" w:hAnsi="Gill Sans MT"/>
        </w:rPr>
        <w:lastRenderedPageBreak/>
        <w:t xml:space="preserve">Funke, F., Reips, U-D., 2012, Why semantic differentials in web-based research should be made from visual analogue scales and not from 5-point scales, </w:t>
      </w:r>
      <w:r w:rsidRPr="00133CC2">
        <w:rPr>
          <w:rFonts w:ascii="Gill Sans MT" w:hAnsi="Gill Sans MT"/>
          <w:i/>
        </w:rPr>
        <w:t>Field Methods</w:t>
      </w:r>
      <w:r w:rsidRPr="00133CC2">
        <w:rPr>
          <w:rFonts w:ascii="Gill Sans MT" w:hAnsi="Gill Sans MT"/>
        </w:rPr>
        <w:t>, 24(3), 310-327.</w:t>
      </w:r>
    </w:p>
    <w:p w14:paraId="06461F14" w14:textId="77777777" w:rsidR="008816CD" w:rsidRPr="00ED51C9" w:rsidRDefault="008816CD" w:rsidP="008816CD">
      <w:pPr>
        <w:spacing w:after="0"/>
        <w:rPr>
          <w:rFonts w:ascii="Gill Sans MT" w:hAnsi="Gill Sans MT"/>
        </w:rPr>
      </w:pPr>
      <w:r>
        <w:rPr>
          <w:rFonts w:ascii="Gill Sans MT" w:hAnsi="Gill Sans MT"/>
        </w:rPr>
        <w:t xml:space="preserve">Galaburda, A., Livingstone, M., 1993, Evidence for a magnocellular deficit in developmental dyslexia, </w:t>
      </w:r>
      <w:r>
        <w:rPr>
          <w:rFonts w:ascii="Gill Sans MT" w:hAnsi="Gill Sans MT"/>
          <w:i/>
        </w:rPr>
        <w:t>Annals of the New York Academy of Science</w:t>
      </w:r>
      <w:r>
        <w:rPr>
          <w:rFonts w:ascii="Gill Sans MT" w:hAnsi="Gill Sans MT"/>
        </w:rPr>
        <w:t>, 682(1), 70-82.</w:t>
      </w:r>
    </w:p>
    <w:p w14:paraId="4B22E76E" w14:textId="77777777" w:rsidR="008816CD" w:rsidRPr="00133CC2" w:rsidRDefault="008816CD" w:rsidP="008816CD">
      <w:pPr>
        <w:spacing w:after="0"/>
        <w:rPr>
          <w:rFonts w:ascii="Gill Sans MT" w:hAnsi="Gill Sans MT"/>
        </w:rPr>
      </w:pPr>
      <w:r w:rsidRPr="00133CC2">
        <w:rPr>
          <w:rFonts w:ascii="Gill Sans MT" w:hAnsi="Gill Sans MT"/>
        </w:rPr>
        <w:t xml:space="preserve">Galaburda, A.M., LoTurco, J., Ramus, F., Fitch, R.H., Rosen, G.D., 2006, From genes to behavior in developmental dyslexia, </w:t>
      </w:r>
      <w:r w:rsidRPr="00133CC2">
        <w:rPr>
          <w:rFonts w:ascii="Gill Sans MT" w:hAnsi="Gill Sans MT"/>
          <w:i/>
        </w:rPr>
        <w:t>Nature Neuroscience</w:t>
      </w:r>
      <w:r w:rsidRPr="00133CC2">
        <w:rPr>
          <w:rFonts w:ascii="Gill Sans MT" w:hAnsi="Gill Sans MT"/>
        </w:rPr>
        <w:t xml:space="preserve">, 9(10), 1213-1217. </w:t>
      </w:r>
    </w:p>
    <w:p w14:paraId="15154466" w14:textId="77777777" w:rsidR="008816CD" w:rsidRPr="00133CC2" w:rsidRDefault="008816CD" w:rsidP="008816CD">
      <w:pPr>
        <w:spacing w:after="0"/>
        <w:rPr>
          <w:rFonts w:ascii="Gill Sans MT" w:hAnsi="Gill Sans MT"/>
        </w:rPr>
      </w:pPr>
      <w:r w:rsidRPr="00133CC2">
        <w:rPr>
          <w:rFonts w:ascii="Gill Sans MT" w:hAnsi="Gill Sans MT"/>
        </w:rPr>
        <w:t xml:space="preserve">Ganassali, S., 2008, The influence of the design of web survey questionnaires on the quality of responses, </w:t>
      </w:r>
      <w:r w:rsidRPr="00133CC2">
        <w:rPr>
          <w:rFonts w:ascii="Gill Sans MT" w:hAnsi="Gill Sans MT"/>
          <w:i/>
        </w:rPr>
        <w:t>Survey Research Methods</w:t>
      </w:r>
      <w:r w:rsidRPr="00133CC2">
        <w:rPr>
          <w:rFonts w:ascii="Gill Sans MT" w:hAnsi="Gill Sans MT"/>
        </w:rPr>
        <w:t xml:space="preserve">, 2(1), 21-32. </w:t>
      </w:r>
    </w:p>
    <w:p w14:paraId="6BEDC3EF" w14:textId="77777777" w:rsidR="008816CD" w:rsidRPr="00133CC2" w:rsidRDefault="008816CD" w:rsidP="008816CD">
      <w:pPr>
        <w:spacing w:after="0"/>
        <w:rPr>
          <w:rFonts w:ascii="Gill Sans MT" w:hAnsi="Gill Sans MT"/>
        </w:rPr>
      </w:pPr>
      <w:r w:rsidRPr="00133CC2">
        <w:rPr>
          <w:rFonts w:ascii="Gill Sans MT" w:hAnsi="Gill Sans MT"/>
        </w:rPr>
        <w:t xml:space="preserve">Garagouni-Areou, F., Solomonidou, C., 2004, Towards the design of educational environments suitable to the needs of pupils with attention deficit hyperactive disorder (ADHD) symptoms, </w:t>
      </w:r>
      <w:r w:rsidRPr="00133CC2">
        <w:rPr>
          <w:rFonts w:ascii="Gill Sans MT" w:hAnsi="Gill Sans MT"/>
          <w:i/>
        </w:rPr>
        <w:t>Proceedings of World Conference on Educational Multimedia, Hypermedia and Telecommunications 2004</w:t>
      </w:r>
      <w:r w:rsidRPr="00133CC2">
        <w:rPr>
          <w:rFonts w:ascii="Gill Sans MT" w:hAnsi="Gill Sans MT"/>
        </w:rPr>
        <w:t>, Lugano, Switzerland, 4446-4451.</w:t>
      </w:r>
    </w:p>
    <w:p w14:paraId="1B82A196" w14:textId="77777777" w:rsidR="008816CD" w:rsidRDefault="008816CD" w:rsidP="008816CD">
      <w:pPr>
        <w:spacing w:after="0"/>
        <w:rPr>
          <w:rFonts w:ascii="Gill Sans MT" w:hAnsi="Gill Sans MT"/>
        </w:rPr>
      </w:pPr>
      <w:r w:rsidRPr="00133CC2">
        <w:rPr>
          <w:rFonts w:ascii="Gill Sans MT" w:hAnsi="Gill Sans MT"/>
        </w:rPr>
        <w:t xml:space="preserve">Geiger, G., Lettvin, J.Y., 1987, Peripheral vision in persons with dyslexia, New England </w:t>
      </w:r>
      <w:r w:rsidRPr="00133CC2">
        <w:rPr>
          <w:rFonts w:ascii="Gill Sans MT" w:hAnsi="Gill Sans MT"/>
          <w:i/>
        </w:rPr>
        <w:t>Journal of Medicine</w:t>
      </w:r>
      <w:r w:rsidRPr="00133CC2">
        <w:rPr>
          <w:rFonts w:ascii="Gill Sans MT" w:hAnsi="Gill Sans MT"/>
        </w:rPr>
        <w:t>, 316(20), 1238-1243.</w:t>
      </w:r>
    </w:p>
    <w:p w14:paraId="7D7DB169" w14:textId="3BECC162" w:rsidR="008816CD" w:rsidRDefault="008816CD" w:rsidP="008816CD">
      <w:pPr>
        <w:spacing w:after="0"/>
        <w:rPr>
          <w:rFonts w:ascii="Gill Sans MT" w:hAnsi="Gill Sans MT"/>
        </w:rPr>
      </w:pPr>
      <w:r>
        <w:rPr>
          <w:rFonts w:ascii="Gill Sans MT" w:hAnsi="Gill Sans MT"/>
        </w:rPr>
        <w:t xml:space="preserve">Gibbs, G., 2009, Developing students as learners – varied phenomena, varied contexts and a developmental trajectory for the whole endeavour, </w:t>
      </w:r>
      <w:r>
        <w:rPr>
          <w:rFonts w:ascii="Gill Sans MT" w:hAnsi="Gill Sans MT"/>
          <w:i/>
        </w:rPr>
        <w:t>Journal of Learning Development in Higher Education</w:t>
      </w:r>
      <w:r>
        <w:rPr>
          <w:rFonts w:ascii="Gill Sans MT" w:hAnsi="Gill Sans MT"/>
        </w:rPr>
        <w:t xml:space="preserve">, </w:t>
      </w:r>
      <w:r w:rsidR="000E690E">
        <w:rPr>
          <w:rFonts w:ascii="Gill Sans MT" w:hAnsi="Gill Sans MT"/>
        </w:rPr>
        <w:t>0(1), Plymouth UK. Available at: https://journal.aldinhe.ac.uk/index.php/jldhe/article/view/30.</w:t>
      </w:r>
    </w:p>
    <w:p w14:paraId="5A0BF2A4" w14:textId="36D0F2FE" w:rsidR="008816CD" w:rsidRDefault="008816CD" w:rsidP="008816CD">
      <w:pPr>
        <w:spacing w:after="0"/>
        <w:rPr>
          <w:rFonts w:ascii="Gill Sans MT" w:hAnsi="Gill Sans MT"/>
        </w:rPr>
      </w:pPr>
      <w:r>
        <w:rPr>
          <w:rFonts w:ascii="Gill Sans MT" w:hAnsi="Gill Sans MT"/>
        </w:rPr>
        <w:t xml:space="preserve">Gibbs, S., Elliott, J., 2015, The differential effects of labelling: how do ‘dyslexia’ and ‘reading difficulties’ affect teachers’ beliefs, </w:t>
      </w:r>
      <w:r>
        <w:rPr>
          <w:rFonts w:ascii="Gill Sans MT" w:hAnsi="Gill Sans MT"/>
          <w:i/>
        </w:rPr>
        <w:t>European Journal of Special Needs</w:t>
      </w:r>
      <w:r>
        <w:rPr>
          <w:rFonts w:ascii="Gill Sans MT" w:hAnsi="Gill Sans MT"/>
        </w:rPr>
        <w:t>, 30(3), 323-337</w:t>
      </w:r>
      <w:r w:rsidR="00C53413">
        <w:rPr>
          <w:rFonts w:ascii="Gill Sans MT" w:hAnsi="Gill Sans MT"/>
        </w:rPr>
        <w:t>.</w:t>
      </w:r>
    </w:p>
    <w:p w14:paraId="0906DD1C" w14:textId="552BF839" w:rsidR="00C53413" w:rsidRPr="00C53413" w:rsidRDefault="00C53413" w:rsidP="008816CD">
      <w:pPr>
        <w:spacing w:after="0"/>
        <w:rPr>
          <w:rFonts w:ascii="Gill Sans MT" w:hAnsi="Gill Sans MT"/>
        </w:rPr>
      </w:pPr>
      <w:r>
        <w:rPr>
          <w:rFonts w:ascii="Gill Sans MT" w:hAnsi="Gill Sans MT"/>
        </w:rPr>
        <w:t xml:space="preserve">Gibby-Leversuch, R., Hartwell, B.K., Wright, S., 2019, Dyslexia, literacy difficulties and the self-perceptions of children and young people: a systematic review, </w:t>
      </w:r>
      <w:r>
        <w:rPr>
          <w:rFonts w:ascii="Gill Sans MT" w:hAnsi="Gill Sans MT"/>
          <w:i/>
          <w:iCs/>
        </w:rPr>
        <w:t>Current Psychology</w:t>
      </w:r>
      <w:r>
        <w:rPr>
          <w:rFonts w:ascii="Gill Sans MT" w:hAnsi="Gill Sans MT"/>
        </w:rPr>
        <w:t>, https://doi.org/10.1007/s12144-019-00444-1.</w:t>
      </w:r>
    </w:p>
    <w:p w14:paraId="17687431" w14:textId="77777777" w:rsidR="008816CD" w:rsidRPr="00E01369" w:rsidRDefault="008816CD" w:rsidP="008816CD">
      <w:pPr>
        <w:spacing w:after="0"/>
        <w:rPr>
          <w:rFonts w:ascii="Gill Sans MT" w:hAnsi="Gill Sans MT"/>
        </w:rPr>
      </w:pPr>
      <w:r>
        <w:rPr>
          <w:rFonts w:ascii="Gill Sans MT" w:hAnsi="Gill Sans MT"/>
        </w:rPr>
        <w:t xml:space="preserve">Gibson, F.M., Myers, J., 2010, The fragmented route to a whole institution approach to integrating learning development. Reporting on a work in progress, </w:t>
      </w:r>
      <w:r>
        <w:rPr>
          <w:rFonts w:ascii="Gill Sans MT" w:hAnsi="Gill Sans MT"/>
          <w:i/>
        </w:rPr>
        <w:t>Journal of Learning Development in Higher Education</w:t>
      </w:r>
      <w:r>
        <w:rPr>
          <w:rFonts w:ascii="Gill Sans MT" w:hAnsi="Gill Sans MT"/>
        </w:rPr>
        <w:t>, 2</w:t>
      </w:r>
    </w:p>
    <w:p w14:paraId="1D3E43E2" w14:textId="77777777" w:rsidR="008816CD" w:rsidRPr="00133CC2" w:rsidRDefault="008816CD" w:rsidP="008816CD">
      <w:pPr>
        <w:spacing w:after="0"/>
        <w:rPr>
          <w:rFonts w:ascii="Gill Sans MT" w:hAnsi="Gill Sans MT"/>
        </w:rPr>
      </w:pPr>
      <w:r w:rsidRPr="00133CC2">
        <w:rPr>
          <w:rFonts w:ascii="Gill Sans MT" w:hAnsi="Gill Sans MT"/>
        </w:rPr>
        <w:t xml:space="preserve">Gilakjani, A.P., 2012, A match or mismatch between learning styles of the learners and teaching styles of the teachers, </w:t>
      </w:r>
      <w:r w:rsidRPr="00133CC2">
        <w:rPr>
          <w:rFonts w:ascii="Gill Sans MT" w:hAnsi="Gill Sans MT"/>
          <w:i/>
        </w:rPr>
        <w:t>International Journal of Education and Computer Science</w:t>
      </w:r>
      <w:r w:rsidRPr="00133CC2">
        <w:rPr>
          <w:rFonts w:ascii="Gill Sans MT" w:hAnsi="Gill Sans MT"/>
        </w:rPr>
        <w:t>, 11, 51-60.</w:t>
      </w:r>
    </w:p>
    <w:p w14:paraId="78BF04E6" w14:textId="77777777" w:rsidR="008816CD" w:rsidRPr="00133CC2" w:rsidRDefault="008816CD" w:rsidP="008816CD">
      <w:pPr>
        <w:spacing w:after="0"/>
        <w:rPr>
          <w:rFonts w:ascii="Gill Sans MT" w:hAnsi="Gill Sans MT"/>
        </w:rPr>
      </w:pPr>
      <w:r w:rsidRPr="00133CC2">
        <w:rPr>
          <w:rFonts w:ascii="Gill Sans MT" w:hAnsi="Gill Sans MT"/>
        </w:rPr>
        <w:t xml:space="preserve">Gilroy, D.E., Miles, T.R., 1996, </w:t>
      </w:r>
      <w:r w:rsidRPr="00133CC2">
        <w:rPr>
          <w:rFonts w:ascii="Gill Sans MT" w:hAnsi="Gill Sans MT"/>
          <w:i/>
        </w:rPr>
        <w:t>Dyslexia at College (2nd edn.)</w:t>
      </w:r>
      <w:r w:rsidRPr="00133CC2">
        <w:rPr>
          <w:rFonts w:ascii="Gill Sans MT" w:hAnsi="Gill Sans MT"/>
        </w:rPr>
        <w:t>, London, Whurr.</w:t>
      </w:r>
    </w:p>
    <w:p w14:paraId="532BD68D" w14:textId="2F588B65" w:rsidR="008816CD" w:rsidRDefault="008816CD" w:rsidP="008816CD">
      <w:pPr>
        <w:spacing w:after="0"/>
        <w:rPr>
          <w:rFonts w:ascii="Gill Sans MT" w:hAnsi="Gill Sans MT"/>
        </w:rPr>
      </w:pPr>
      <w:r w:rsidRPr="00133CC2">
        <w:rPr>
          <w:rFonts w:ascii="Gill Sans MT" w:hAnsi="Gill Sans MT"/>
        </w:rPr>
        <w:t xml:space="preserve">Glazzard, J., 2010, The impact of dyslexia on pupils' self-esteem, </w:t>
      </w:r>
      <w:r w:rsidRPr="00133CC2">
        <w:rPr>
          <w:rFonts w:ascii="Gill Sans MT" w:hAnsi="Gill Sans MT"/>
          <w:i/>
        </w:rPr>
        <w:t>Support for Learning</w:t>
      </w:r>
      <w:r w:rsidRPr="00133CC2">
        <w:rPr>
          <w:rFonts w:ascii="Gill Sans MT" w:hAnsi="Gill Sans MT"/>
        </w:rPr>
        <w:t>, 25(2), 63-69.</w:t>
      </w:r>
    </w:p>
    <w:p w14:paraId="72E86367" w14:textId="232E0833" w:rsidR="00FC0BBF" w:rsidRPr="00FC0BBF" w:rsidRDefault="00FC0BBF" w:rsidP="008816CD">
      <w:pPr>
        <w:spacing w:after="0"/>
        <w:rPr>
          <w:rFonts w:ascii="Gill Sans MT" w:hAnsi="Gill Sans MT"/>
          <w:i/>
          <w:iCs/>
        </w:rPr>
      </w:pPr>
      <w:r>
        <w:rPr>
          <w:rFonts w:ascii="Gill Sans MT" w:hAnsi="Gill Sans MT"/>
        </w:rPr>
        <w:t xml:space="preserve">Glazzard, J., Dale, K., 2013, Trainee teachers with dyslexia: personal narratives of resilience, </w:t>
      </w:r>
      <w:r>
        <w:rPr>
          <w:rFonts w:ascii="Gill Sans MT" w:hAnsi="Gill Sans MT"/>
          <w:i/>
          <w:iCs/>
        </w:rPr>
        <w:t>Journal of Research in Sepcial Educational Needs, 13(1), 26-37.</w:t>
      </w:r>
    </w:p>
    <w:p w14:paraId="53D2C7BF" w14:textId="77777777" w:rsidR="008816CD" w:rsidRDefault="008816CD" w:rsidP="008816CD">
      <w:pPr>
        <w:spacing w:after="0"/>
        <w:rPr>
          <w:rFonts w:ascii="Gill Sans MT" w:hAnsi="Gill Sans MT"/>
        </w:rPr>
      </w:pPr>
      <w:r w:rsidRPr="00133CC2">
        <w:rPr>
          <w:rFonts w:ascii="Gill Sans MT" w:hAnsi="Gill Sans MT"/>
        </w:rPr>
        <w:t xml:space="preserve">Gliner, J.A., Vaske, J.J., Morgan, G.A., 2001, Null hypothesis testing: Effect size matters, </w:t>
      </w:r>
      <w:r w:rsidRPr="00133CC2">
        <w:rPr>
          <w:rFonts w:ascii="Gill Sans MT" w:hAnsi="Gill Sans MT"/>
          <w:i/>
        </w:rPr>
        <w:t>Human Dimensions of Wildlife</w:t>
      </w:r>
      <w:r w:rsidRPr="00133CC2">
        <w:rPr>
          <w:rFonts w:ascii="Gill Sans MT" w:hAnsi="Gill Sans MT"/>
        </w:rPr>
        <w:t>, 6(4), 291-301.</w:t>
      </w:r>
    </w:p>
    <w:p w14:paraId="5845D323" w14:textId="77777777" w:rsidR="008816CD" w:rsidRPr="009D0EE8" w:rsidRDefault="008816CD" w:rsidP="008816CD">
      <w:pPr>
        <w:spacing w:after="0"/>
        <w:rPr>
          <w:rFonts w:ascii="Gill Sans MT" w:hAnsi="Gill Sans MT"/>
        </w:rPr>
      </w:pPr>
      <w:r>
        <w:rPr>
          <w:rFonts w:ascii="Gill Sans MT" w:hAnsi="Gill Sans MT"/>
        </w:rPr>
        <w:t xml:space="preserve">Goddard, R.D., 2001, Collective efficacy: a neglected construct in the study of schools and student achievement, </w:t>
      </w:r>
      <w:r>
        <w:rPr>
          <w:rFonts w:ascii="Gill Sans MT" w:hAnsi="Gill Sans MT"/>
          <w:i/>
        </w:rPr>
        <w:t>Journal of Educational Psychology</w:t>
      </w:r>
      <w:r>
        <w:rPr>
          <w:rFonts w:ascii="Gill Sans MT" w:hAnsi="Gill Sans MT"/>
        </w:rPr>
        <w:t>, 93(3), 467-476.</w:t>
      </w:r>
    </w:p>
    <w:p w14:paraId="09C1BD03" w14:textId="77777777" w:rsidR="008816CD" w:rsidRPr="00133CC2" w:rsidRDefault="008816CD" w:rsidP="008816CD">
      <w:pPr>
        <w:spacing w:after="0"/>
        <w:rPr>
          <w:rFonts w:ascii="Gill Sans MT" w:hAnsi="Gill Sans MT"/>
        </w:rPr>
      </w:pPr>
      <w:r w:rsidRPr="00133CC2">
        <w:rPr>
          <w:rFonts w:ascii="Gill Sans MT" w:hAnsi="Gill Sans MT"/>
        </w:rPr>
        <w:t xml:space="preserve">Goddard, R.D., Hoy, W.K., Hoy, A.W., 2000, Collective teacher efficacy: its meaning, measure and impact on student achievement, </w:t>
      </w:r>
      <w:r w:rsidRPr="00133CC2">
        <w:rPr>
          <w:rFonts w:ascii="Gill Sans MT" w:hAnsi="Gill Sans MT"/>
          <w:i/>
        </w:rPr>
        <w:t>American Educational Research Journal</w:t>
      </w:r>
      <w:r w:rsidRPr="00133CC2">
        <w:rPr>
          <w:rFonts w:ascii="Gill Sans MT" w:hAnsi="Gill Sans MT"/>
        </w:rPr>
        <w:t>, 37(2), 479-507.</w:t>
      </w:r>
    </w:p>
    <w:p w14:paraId="687CC0A7" w14:textId="77777777" w:rsidR="008816CD" w:rsidRPr="00133CC2" w:rsidRDefault="008816CD" w:rsidP="008816CD">
      <w:pPr>
        <w:spacing w:after="0"/>
        <w:rPr>
          <w:rFonts w:ascii="Gill Sans MT" w:hAnsi="Gill Sans MT"/>
        </w:rPr>
      </w:pPr>
      <w:r w:rsidRPr="00133CC2">
        <w:rPr>
          <w:rFonts w:ascii="Gill Sans MT" w:hAnsi="Gill Sans MT"/>
        </w:rPr>
        <w:t xml:space="preserve">Goddard, R.D., Hoy, W.K., Hoy, A.W., 2004a, Collective efficacy beliefs: theoretical developments, empirical evidence and future directions, </w:t>
      </w:r>
      <w:r w:rsidRPr="00133CC2">
        <w:rPr>
          <w:rFonts w:ascii="Gill Sans MT" w:hAnsi="Gill Sans MT"/>
          <w:i/>
        </w:rPr>
        <w:t>Educational Researcher</w:t>
      </w:r>
      <w:r w:rsidRPr="00133CC2">
        <w:rPr>
          <w:rFonts w:ascii="Gill Sans MT" w:hAnsi="Gill Sans MT"/>
        </w:rPr>
        <w:t>, 33(3), 3-13.</w:t>
      </w:r>
    </w:p>
    <w:p w14:paraId="14F7B916" w14:textId="77777777" w:rsidR="008816CD" w:rsidRPr="00133CC2" w:rsidRDefault="008816CD" w:rsidP="008816CD">
      <w:pPr>
        <w:spacing w:after="0"/>
        <w:rPr>
          <w:rFonts w:ascii="Gill Sans MT" w:hAnsi="Gill Sans MT"/>
        </w:rPr>
      </w:pPr>
      <w:r w:rsidRPr="00133CC2">
        <w:rPr>
          <w:rFonts w:ascii="Gill Sans MT" w:hAnsi="Gill Sans MT"/>
        </w:rPr>
        <w:lastRenderedPageBreak/>
        <w:t xml:space="preserve">Goddard, R.D., LoGerfo, L., Hoy, W.K., 2004b, High school accountability: The role of perceived collective efficacy, </w:t>
      </w:r>
      <w:r w:rsidRPr="00133CC2">
        <w:rPr>
          <w:rFonts w:ascii="Gill Sans MT" w:hAnsi="Gill Sans MT"/>
          <w:i/>
        </w:rPr>
        <w:t>Educational Policy</w:t>
      </w:r>
      <w:r w:rsidRPr="00133CC2">
        <w:rPr>
          <w:rFonts w:ascii="Gill Sans MT" w:hAnsi="Gill Sans MT"/>
        </w:rPr>
        <w:t xml:space="preserve">, 18(3), 403-425. </w:t>
      </w:r>
    </w:p>
    <w:p w14:paraId="7E84427A" w14:textId="77777777" w:rsidR="008816CD" w:rsidRPr="00133CC2" w:rsidRDefault="008816CD" w:rsidP="008816CD">
      <w:pPr>
        <w:spacing w:after="0"/>
        <w:rPr>
          <w:rFonts w:ascii="Gill Sans MT" w:hAnsi="Gill Sans MT"/>
        </w:rPr>
      </w:pPr>
      <w:r w:rsidRPr="00133CC2">
        <w:rPr>
          <w:rFonts w:ascii="Gill Sans MT" w:hAnsi="Gill Sans MT"/>
        </w:rPr>
        <w:t xml:space="preserve">Goffman, E., 1963, Stigma: notes on the management of spoiled identity, Simon &amp; Schuster, New York IN: Ainlay, S., Becker, G., Coleman, L.M., (Eds), 2013, </w:t>
      </w:r>
      <w:r w:rsidRPr="00133CC2">
        <w:rPr>
          <w:rFonts w:ascii="Gill Sans MT" w:hAnsi="Gill Sans MT"/>
          <w:i/>
        </w:rPr>
        <w:t>The dilemma of difference: A multidisciplinary view of stigma</w:t>
      </w:r>
      <w:r w:rsidRPr="00133CC2">
        <w:rPr>
          <w:rFonts w:ascii="Gill Sans MT" w:hAnsi="Gill Sans MT"/>
        </w:rPr>
        <w:t xml:space="preserve">, New York, Plenum Press. </w:t>
      </w:r>
    </w:p>
    <w:p w14:paraId="32F73915" w14:textId="77777777" w:rsidR="008816CD" w:rsidRPr="00133CC2" w:rsidRDefault="008816CD" w:rsidP="008816CD">
      <w:pPr>
        <w:spacing w:after="0"/>
        <w:rPr>
          <w:rFonts w:ascii="Gill Sans MT" w:hAnsi="Gill Sans MT"/>
        </w:rPr>
      </w:pPr>
      <w:r w:rsidRPr="00133CC2">
        <w:rPr>
          <w:rFonts w:ascii="Gill Sans MT" w:hAnsi="Gill Sans MT"/>
        </w:rPr>
        <w:t xml:space="preserve">Goldfried, M.R., Robins, C., 1982, On the facilitation of self-efficacy, </w:t>
      </w:r>
      <w:r w:rsidRPr="00133CC2">
        <w:rPr>
          <w:rFonts w:ascii="Gill Sans MT" w:hAnsi="Gill Sans MT"/>
          <w:i/>
        </w:rPr>
        <w:t>Cognitive Therapy and Research</w:t>
      </w:r>
      <w:r w:rsidRPr="00133CC2">
        <w:rPr>
          <w:rFonts w:ascii="Gill Sans MT" w:hAnsi="Gill Sans MT"/>
        </w:rPr>
        <w:t>, 6(4), 361-379.</w:t>
      </w:r>
    </w:p>
    <w:p w14:paraId="5155B0B9" w14:textId="77777777" w:rsidR="008816CD" w:rsidRPr="00133CC2" w:rsidRDefault="008816CD" w:rsidP="008816CD">
      <w:pPr>
        <w:spacing w:after="0"/>
        <w:rPr>
          <w:rFonts w:ascii="Gill Sans MT" w:hAnsi="Gill Sans MT"/>
        </w:rPr>
      </w:pPr>
      <w:r w:rsidRPr="00133CC2">
        <w:rPr>
          <w:rFonts w:ascii="Gill Sans MT" w:hAnsi="Gill Sans MT"/>
        </w:rPr>
        <w:t xml:space="preserve">Goldfus, C., 2012, Intervention through metacognitive development: A case study of a student with dyslexia and comorbid attention deficit disorder, </w:t>
      </w:r>
      <w:r w:rsidRPr="00133CC2">
        <w:rPr>
          <w:rFonts w:ascii="Gill Sans MT" w:hAnsi="Gill Sans MT"/>
          <w:i/>
        </w:rPr>
        <w:t>Journal of Languages and Culture</w:t>
      </w:r>
      <w:r w:rsidRPr="00133CC2">
        <w:rPr>
          <w:rFonts w:ascii="Gill Sans MT" w:hAnsi="Gill Sans MT"/>
        </w:rPr>
        <w:t>, 3(3), 56-66.</w:t>
      </w:r>
    </w:p>
    <w:p w14:paraId="5F6977BB" w14:textId="77777777" w:rsidR="008816CD" w:rsidRPr="00133CC2" w:rsidRDefault="008816CD" w:rsidP="008816CD">
      <w:pPr>
        <w:spacing w:after="0"/>
        <w:rPr>
          <w:rFonts w:ascii="Gill Sans MT" w:hAnsi="Gill Sans MT"/>
        </w:rPr>
      </w:pPr>
      <w:r w:rsidRPr="00133CC2">
        <w:rPr>
          <w:rFonts w:ascii="Gill Sans MT" w:hAnsi="Gill Sans MT"/>
        </w:rPr>
        <w:t xml:space="preserve">Goldie, J.G.S., 2016, Connectivism: A knowledge learning theory for the digital age? </w:t>
      </w:r>
      <w:r w:rsidRPr="00133CC2">
        <w:rPr>
          <w:rFonts w:ascii="Gill Sans MT" w:hAnsi="Gill Sans MT"/>
          <w:i/>
        </w:rPr>
        <w:t>Medical Teacher</w:t>
      </w:r>
      <w:r w:rsidRPr="00133CC2">
        <w:rPr>
          <w:rFonts w:ascii="Gill Sans MT" w:hAnsi="Gill Sans MT"/>
        </w:rPr>
        <w:t>, 38(10), 1064-1069.</w:t>
      </w:r>
    </w:p>
    <w:p w14:paraId="6C23288F" w14:textId="77777777" w:rsidR="008816CD" w:rsidRPr="00133CC2" w:rsidRDefault="008816CD" w:rsidP="008816CD">
      <w:pPr>
        <w:spacing w:after="0"/>
        <w:rPr>
          <w:rFonts w:ascii="Gill Sans MT" w:hAnsi="Gill Sans MT"/>
        </w:rPr>
      </w:pPr>
      <w:r w:rsidRPr="00133CC2">
        <w:rPr>
          <w:rFonts w:ascii="Gill Sans MT" w:hAnsi="Gill Sans MT"/>
        </w:rPr>
        <w:t>Goldrick, M., Stevens, T., Christensen, L.B., 2014, The use of assistive technologies as learning technologies to facilitate flexible learning in higher education</w:t>
      </w:r>
      <w:r w:rsidRPr="00133CC2">
        <w:rPr>
          <w:rFonts w:ascii="Gill Sans MT" w:hAnsi="Gill Sans MT"/>
          <w:i/>
        </w:rPr>
        <w:t>, Proceedings of the International Conference on Computers for Handicapped Persons 2014</w:t>
      </w:r>
      <w:r w:rsidRPr="00133CC2">
        <w:rPr>
          <w:rFonts w:ascii="Gill Sans MT" w:hAnsi="Gill Sans MT"/>
        </w:rPr>
        <w:t>, Université Paris 8-St. Denis 342-349.</w:t>
      </w:r>
    </w:p>
    <w:p w14:paraId="1BD7D7CF" w14:textId="77777777" w:rsidR="008816CD" w:rsidRPr="00133CC2" w:rsidRDefault="008816CD" w:rsidP="008816CD">
      <w:pPr>
        <w:spacing w:after="0"/>
        <w:rPr>
          <w:rFonts w:ascii="Gill Sans MT" w:hAnsi="Gill Sans MT"/>
        </w:rPr>
      </w:pPr>
      <w:r w:rsidRPr="00133CC2">
        <w:rPr>
          <w:rFonts w:ascii="Gill Sans MT" w:hAnsi="Gill Sans MT"/>
        </w:rPr>
        <w:t xml:space="preserve">Goldstein, J.S., Little, S.G., Akin-Little, A., 2003, Absenteeism: A review of the literature and school psychology's role, </w:t>
      </w:r>
      <w:r w:rsidRPr="00133CC2">
        <w:rPr>
          <w:rFonts w:ascii="Gill Sans MT" w:hAnsi="Gill Sans MT"/>
          <w:i/>
        </w:rPr>
        <w:t>The California School Psychologist</w:t>
      </w:r>
      <w:r w:rsidRPr="00133CC2">
        <w:rPr>
          <w:rFonts w:ascii="Gill Sans MT" w:hAnsi="Gill Sans MT"/>
        </w:rPr>
        <w:t>, 8, 127-139.</w:t>
      </w:r>
    </w:p>
    <w:p w14:paraId="427EDC5E" w14:textId="77777777" w:rsidR="008816CD" w:rsidRDefault="008816CD" w:rsidP="008816CD">
      <w:pPr>
        <w:spacing w:after="0"/>
        <w:rPr>
          <w:rFonts w:ascii="Gill Sans MT" w:hAnsi="Gill Sans MT"/>
        </w:rPr>
      </w:pPr>
      <w:r w:rsidRPr="00133CC2">
        <w:rPr>
          <w:rFonts w:ascii="Gill Sans MT" w:hAnsi="Gill Sans MT"/>
        </w:rPr>
        <w:t xml:space="preserve">Gooch, D., Snowling, M., Hulme, C., 2011, Time perception, phonological skills and executive function in children with dyslexia and/or ADHD, </w:t>
      </w:r>
      <w:r w:rsidRPr="00133CC2">
        <w:rPr>
          <w:rFonts w:ascii="Gill Sans MT" w:hAnsi="Gill Sans MT"/>
          <w:i/>
        </w:rPr>
        <w:t>Journal of Child Psychology &amp; Psychiatry</w:t>
      </w:r>
      <w:r w:rsidRPr="00133CC2">
        <w:rPr>
          <w:rFonts w:ascii="Gill Sans MT" w:hAnsi="Gill Sans MT"/>
        </w:rPr>
        <w:t>, 52(2), 195-203.</w:t>
      </w:r>
    </w:p>
    <w:p w14:paraId="17D8D685" w14:textId="77777777" w:rsidR="008816CD" w:rsidRPr="00A2755E" w:rsidRDefault="008816CD" w:rsidP="008816CD">
      <w:pPr>
        <w:spacing w:after="0"/>
        <w:rPr>
          <w:rFonts w:ascii="Gill Sans MT" w:hAnsi="Gill Sans MT"/>
        </w:rPr>
      </w:pPr>
      <w:r>
        <w:rPr>
          <w:rFonts w:ascii="Gill Sans MT" w:hAnsi="Gill Sans MT"/>
        </w:rPr>
        <w:t xml:space="preserve">Google, 2016, </w:t>
      </w:r>
      <w:r>
        <w:rPr>
          <w:rFonts w:ascii="Gill Sans MT" w:hAnsi="Gill Sans MT"/>
          <w:i/>
        </w:rPr>
        <w:t>GoogleForms</w:t>
      </w:r>
      <w:r>
        <w:rPr>
          <w:rFonts w:ascii="Gill Sans MT" w:hAnsi="Gill Sans MT"/>
        </w:rPr>
        <w:t xml:space="preserve">, Available at: </w:t>
      </w:r>
      <w:hyperlink r:id="rId62" w:history="1">
        <w:r w:rsidRPr="00977F08">
          <w:rPr>
            <w:rStyle w:val="Hyperlink"/>
            <w:rFonts w:ascii="Gill Sans MT" w:hAnsi="Gill Sans MT"/>
          </w:rPr>
          <w:t>https://docs.google.com/forms/u/0/</w:t>
        </w:r>
      </w:hyperlink>
      <w:r>
        <w:rPr>
          <w:rFonts w:ascii="Gill Sans MT" w:hAnsi="Gill Sans MT"/>
        </w:rPr>
        <w:t>, Accessed on 4</w:t>
      </w:r>
      <w:r w:rsidRPr="00A2755E">
        <w:rPr>
          <w:rFonts w:ascii="Gill Sans MT" w:hAnsi="Gill Sans MT"/>
          <w:vertAlign w:val="superscript"/>
        </w:rPr>
        <w:t>th</w:t>
      </w:r>
      <w:r>
        <w:rPr>
          <w:rFonts w:ascii="Gill Sans MT" w:hAnsi="Gill Sans MT"/>
        </w:rPr>
        <w:t xml:space="preserve"> February 2016.</w:t>
      </w:r>
    </w:p>
    <w:p w14:paraId="74AA7405" w14:textId="77777777" w:rsidR="008816CD" w:rsidRDefault="008816CD" w:rsidP="008816CD">
      <w:pPr>
        <w:spacing w:after="0"/>
        <w:rPr>
          <w:rFonts w:ascii="Gill Sans MT" w:hAnsi="Gill Sans MT"/>
        </w:rPr>
      </w:pPr>
      <w:r w:rsidRPr="007A6436">
        <w:rPr>
          <w:rFonts w:ascii="Gill Sans MT" w:hAnsi="Gill Sans MT"/>
        </w:rPr>
        <w:t xml:space="preserve">Goswami, U., 2003, Why theories about developmental dyslexia require developmental designs, </w:t>
      </w:r>
      <w:r w:rsidRPr="007A6436">
        <w:rPr>
          <w:rFonts w:ascii="Gill Sans MT" w:hAnsi="Gill Sans MT"/>
          <w:i/>
        </w:rPr>
        <w:t>Trends in Cognitive Sciences</w:t>
      </w:r>
      <w:r w:rsidRPr="007A6436">
        <w:rPr>
          <w:rFonts w:ascii="Gill Sans MT" w:hAnsi="Gill Sans MT"/>
        </w:rPr>
        <w:t>, 7, 534-540.</w:t>
      </w:r>
    </w:p>
    <w:p w14:paraId="4A31DD80" w14:textId="77777777" w:rsidR="008816CD" w:rsidRDefault="008816CD" w:rsidP="008816CD">
      <w:pPr>
        <w:spacing w:after="0"/>
        <w:rPr>
          <w:rFonts w:ascii="Gill Sans MT" w:hAnsi="Gill Sans MT"/>
        </w:rPr>
      </w:pPr>
      <w:r w:rsidRPr="004267E0">
        <w:rPr>
          <w:rFonts w:ascii="Gill Sans MT" w:hAnsi="Gill Sans MT"/>
        </w:rPr>
        <w:t>Goswami, U., 2008, Foresight mental capital and wellbeing project</w:t>
      </w:r>
      <w:r w:rsidRPr="004267E0">
        <w:rPr>
          <w:rFonts w:ascii="Gill Sans MT" w:hAnsi="Gill Sans MT"/>
          <w:i/>
        </w:rPr>
        <w:t>, Learning Difficulties, Future Challenges</w:t>
      </w:r>
      <w:r w:rsidRPr="004267E0">
        <w:rPr>
          <w:rFonts w:ascii="Gill Sans MT" w:hAnsi="Gill Sans MT"/>
        </w:rPr>
        <w:t>, London, Government Office for Science.</w:t>
      </w:r>
    </w:p>
    <w:p w14:paraId="760B50BD" w14:textId="77777777" w:rsidR="008816CD" w:rsidRPr="00BB6581" w:rsidRDefault="008816CD" w:rsidP="008816CD">
      <w:pPr>
        <w:spacing w:after="0"/>
        <w:rPr>
          <w:rFonts w:ascii="Gill Sans MT" w:hAnsi="Gill Sans MT"/>
        </w:rPr>
      </w:pPr>
      <w:r>
        <w:rPr>
          <w:rFonts w:ascii="Gill Sans MT" w:hAnsi="Gill Sans MT"/>
        </w:rPr>
        <w:t xml:space="preserve">Goswami, U., Fosker, T., Huss, M., Mead, N., Szucs, D., 2011, Rise time and formant transition duration in the discrimination of speech sounds: the Ba-Wa distinction in developmental dyslexia, </w:t>
      </w:r>
      <w:r>
        <w:rPr>
          <w:rFonts w:ascii="Gill Sans MT" w:hAnsi="Gill Sans MT"/>
          <w:i/>
        </w:rPr>
        <w:t>Developmental Science,</w:t>
      </w:r>
      <w:r>
        <w:rPr>
          <w:rFonts w:ascii="Gill Sans MT" w:hAnsi="Gill Sans MT"/>
        </w:rPr>
        <w:t xml:space="preserve"> 14(1), 34-43.</w:t>
      </w:r>
    </w:p>
    <w:p w14:paraId="2B254950" w14:textId="77777777" w:rsidR="008816CD" w:rsidRPr="0086012C" w:rsidRDefault="008816CD" w:rsidP="008816CD">
      <w:pPr>
        <w:spacing w:after="0"/>
        <w:rPr>
          <w:rFonts w:ascii="Gill Sans MT" w:hAnsi="Gill Sans MT"/>
        </w:rPr>
      </w:pPr>
      <w:r>
        <w:rPr>
          <w:rFonts w:ascii="Gill Sans MT" w:hAnsi="Gill Sans MT"/>
        </w:rPr>
        <w:t xml:space="preserve">Gough, P.B., Tunmer, W.E., 1986, Decoding, reading, and reading disability, </w:t>
      </w:r>
      <w:r>
        <w:rPr>
          <w:rFonts w:ascii="Gill Sans MT" w:hAnsi="Gill Sans MT"/>
          <w:i/>
        </w:rPr>
        <w:t>Remedial and special education</w:t>
      </w:r>
      <w:r>
        <w:rPr>
          <w:rFonts w:ascii="Gill Sans MT" w:hAnsi="Gill Sans MT"/>
        </w:rPr>
        <w:t>, 7(1), 6-10.</w:t>
      </w:r>
    </w:p>
    <w:p w14:paraId="507A5635" w14:textId="77777777" w:rsidR="008816CD" w:rsidRPr="00133CC2" w:rsidRDefault="008816CD" w:rsidP="008816CD">
      <w:pPr>
        <w:spacing w:after="0"/>
        <w:rPr>
          <w:rFonts w:ascii="Gill Sans MT" w:hAnsi="Gill Sans MT"/>
        </w:rPr>
      </w:pPr>
      <w:r w:rsidRPr="00133CC2">
        <w:rPr>
          <w:rFonts w:ascii="Gill Sans MT" w:hAnsi="Gill Sans MT"/>
        </w:rPr>
        <w:t xml:space="preserve">Grace-Martin, K., 2008, </w:t>
      </w:r>
      <w:r w:rsidRPr="00133CC2">
        <w:rPr>
          <w:rFonts w:ascii="Gill Sans MT" w:hAnsi="Gill Sans MT"/>
          <w:i/>
        </w:rPr>
        <w:t>Can Likert Scale ever be continuous? The Factor Analysis</w:t>
      </w:r>
      <w:r w:rsidRPr="00133CC2">
        <w:rPr>
          <w:rFonts w:ascii="Gill Sans MT" w:hAnsi="Gill Sans MT"/>
        </w:rPr>
        <w:t>, available at: https://www.theanalysisfactor.com/can-likert-scale-data-ever-be-continuous/, accessed on: 20th February 2016.</w:t>
      </w:r>
    </w:p>
    <w:p w14:paraId="004A086C" w14:textId="77777777" w:rsidR="008816CD" w:rsidRPr="00133CC2" w:rsidRDefault="008816CD" w:rsidP="008816CD">
      <w:pPr>
        <w:spacing w:after="0"/>
        <w:rPr>
          <w:rFonts w:ascii="Gill Sans MT" w:hAnsi="Gill Sans MT"/>
        </w:rPr>
      </w:pPr>
      <w:r w:rsidRPr="00133CC2">
        <w:rPr>
          <w:rFonts w:ascii="Gill Sans MT" w:hAnsi="Gill Sans MT"/>
        </w:rPr>
        <w:t xml:space="preserve">Granic, A., Cukusic, M., Walker, R., 2009, m-Learning in a Europe-wide network of schools, </w:t>
      </w:r>
      <w:r w:rsidRPr="00133CC2">
        <w:rPr>
          <w:rFonts w:ascii="Gill Sans MT" w:hAnsi="Gill Sans MT"/>
          <w:i/>
        </w:rPr>
        <w:t>Educational Media International</w:t>
      </w:r>
      <w:r w:rsidRPr="00133CC2">
        <w:rPr>
          <w:rFonts w:ascii="Gill Sans MT" w:hAnsi="Gill Sans MT"/>
        </w:rPr>
        <w:t>, 46(3), 167-184.</w:t>
      </w:r>
    </w:p>
    <w:p w14:paraId="3331D08E" w14:textId="77777777" w:rsidR="008816CD" w:rsidRDefault="008816CD" w:rsidP="008816CD">
      <w:pPr>
        <w:spacing w:after="0"/>
        <w:rPr>
          <w:rFonts w:ascii="Gill Sans MT" w:hAnsi="Gill Sans MT"/>
        </w:rPr>
      </w:pPr>
      <w:r w:rsidRPr="00133CC2">
        <w:rPr>
          <w:rFonts w:ascii="Gill Sans MT" w:hAnsi="Gill Sans MT"/>
        </w:rPr>
        <w:t xml:space="preserve">Grant, D., 2009, The psychological assessment of neurodiversity, IN: Pollak, D (ed), </w:t>
      </w:r>
      <w:r w:rsidRPr="00133CC2">
        <w:rPr>
          <w:rFonts w:ascii="Gill Sans MT" w:hAnsi="Gill Sans MT"/>
          <w:i/>
        </w:rPr>
        <w:t>Neurodiversity in Higher Education: positive responses to specific learning differences</w:t>
      </w:r>
      <w:r w:rsidRPr="00133CC2">
        <w:rPr>
          <w:rFonts w:ascii="Gill Sans MT" w:hAnsi="Gill Sans MT"/>
        </w:rPr>
        <w:t>, Oxford, Wiley-Blackwell.</w:t>
      </w:r>
    </w:p>
    <w:p w14:paraId="191AAFB5" w14:textId="77777777" w:rsidR="008816CD" w:rsidRPr="00350934" w:rsidRDefault="008816CD" w:rsidP="008816CD">
      <w:pPr>
        <w:spacing w:after="0"/>
        <w:rPr>
          <w:rFonts w:ascii="Gill Sans MT" w:hAnsi="Gill Sans MT"/>
        </w:rPr>
      </w:pPr>
      <w:r>
        <w:rPr>
          <w:rFonts w:ascii="Gill Sans MT" w:hAnsi="Gill Sans MT"/>
        </w:rPr>
        <w:t xml:space="preserve">Green, J, Nelson, G., Martin, A.J., Marsh, H., 2006, The causal ordering of self-concept and academic motivation and its effect on academic achievement, </w:t>
      </w:r>
      <w:r>
        <w:rPr>
          <w:rFonts w:ascii="Gill Sans MT" w:hAnsi="Gill Sans MT"/>
          <w:i/>
        </w:rPr>
        <w:t>International Education Journal</w:t>
      </w:r>
      <w:r>
        <w:rPr>
          <w:rFonts w:ascii="Gill Sans MT" w:hAnsi="Gill Sans MT"/>
        </w:rPr>
        <w:t>, 7(4), 534-546.</w:t>
      </w:r>
    </w:p>
    <w:p w14:paraId="2FD365A2" w14:textId="77777777" w:rsidR="008816CD" w:rsidRPr="000C4166" w:rsidRDefault="008816CD" w:rsidP="008816CD">
      <w:pPr>
        <w:spacing w:after="0"/>
        <w:rPr>
          <w:rFonts w:ascii="Gill Sans MT" w:hAnsi="Gill Sans MT"/>
        </w:rPr>
      </w:pPr>
      <w:r>
        <w:rPr>
          <w:rFonts w:ascii="Gill Sans MT" w:hAnsi="Gill Sans MT"/>
        </w:rPr>
        <w:lastRenderedPageBreak/>
        <w:t xml:space="preserve">Greene, J.A., Bollick, C.M., Jackson, W.P., Caprino, A.M., Oswald, C., McVea, M., 2015, Domain-specificity of self-regulated learning in science and history, </w:t>
      </w:r>
      <w:r>
        <w:rPr>
          <w:rFonts w:ascii="Gill Sans MT" w:hAnsi="Gill Sans MT"/>
          <w:i/>
        </w:rPr>
        <w:t>Contemporary Educational Psychology</w:t>
      </w:r>
      <w:r>
        <w:rPr>
          <w:rFonts w:ascii="Gill Sans MT" w:hAnsi="Gill Sans MT"/>
        </w:rPr>
        <w:t>, 42, 111-128.</w:t>
      </w:r>
    </w:p>
    <w:p w14:paraId="5BEEB823" w14:textId="77777777" w:rsidR="008816CD" w:rsidRDefault="008816CD" w:rsidP="008816CD">
      <w:pPr>
        <w:spacing w:after="0"/>
        <w:rPr>
          <w:rFonts w:ascii="Gill Sans MT" w:hAnsi="Gill Sans MT"/>
        </w:rPr>
      </w:pPr>
      <w:r w:rsidRPr="00133CC2">
        <w:rPr>
          <w:rFonts w:ascii="Gill Sans MT" w:hAnsi="Gill Sans MT"/>
        </w:rPr>
        <w:t xml:space="preserve">Greep, D., 2017, E-mail dialogue with HESA concerning proportion of students with dyslexia at university, </w:t>
      </w:r>
      <w:r w:rsidRPr="00133CC2">
        <w:rPr>
          <w:rFonts w:ascii="Gill Sans MT" w:hAnsi="Gill Sans MT"/>
          <w:i/>
        </w:rPr>
        <w:t>Higher Education Statistics Agency</w:t>
      </w:r>
      <w:r w:rsidRPr="00133CC2">
        <w:rPr>
          <w:rFonts w:ascii="Gill Sans MT" w:hAnsi="Gill Sans MT"/>
        </w:rPr>
        <w:t xml:space="preserve"> contacted/reply-received 24th-29th April 2015.</w:t>
      </w:r>
    </w:p>
    <w:p w14:paraId="701B1112" w14:textId="77777777" w:rsidR="008816CD" w:rsidRPr="00133CC2" w:rsidRDefault="008816CD" w:rsidP="008816CD">
      <w:pPr>
        <w:spacing w:after="0"/>
        <w:rPr>
          <w:rFonts w:ascii="Gill Sans MT" w:hAnsi="Gill Sans MT"/>
        </w:rPr>
      </w:pPr>
      <w:r w:rsidRPr="00133CC2">
        <w:rPr>
          <w:rFonts w:ascii="Gill Sans MT" w:hAnsi="Gill Sans MT"/>
        </w:rPr>
        <w:t xml:space="preserve">Gregor, P., Dickinson, A., 2007, Cognitive difficulties and access to information systems: An interactive design perspective, </w:t>
      </w:r>
      <w:r w:rsidRPr="00133CC2">
        <w:rPr>
          <w:rFonts w:ascii="Gill Sans MT" w:hAnsi="Gill Sans MT"/>
          <w:i/>
        </w:rPr>
        <w:t>Universal Access in the Information Society</w:t>
      </w:r>
      <w:r w:rsidRPr="00133CC2">
        <w:rPr>
          <w:rFonts w:ascii="Gill Sans MT" w:hAnsi="Gill Sans MT"/>
        </w:rPr>
        <w:t>, 5(4), 393-400.</w:t>
      </w:r>
    </w:p>
    <w:p w14:paraId="596AD121" w14:textId="77777777" w:rsidR="008816CD" w:rsidRPr="00B03183" w:rsidRDefault="008816CD" w:rsidP="008816CD">
      <w:pPr>
        <w:spacing w:after="0"/>
        <w:rPr>
          <w:rFonts w:ascii="Gill Sans MT" w:hAnsi="Gill Sans MT"/>
        </w:rPr>
      </w:pPr>
      <w:r>
        <w:rPr>
          <w:rFonts w:ascii="Gill Sans MT" w:hAnsi="Gill Sans MT"/>
        </w:rPr>
        <w:t xml:space="preserve">Griffin, B., Hu, W.C.Y., 2015, Reducing the impact of coaching on selection into medicine, </w:t>
      </w:r>
      <w:r>
        <w:rPr>
          <w:rFonts w:ascii="Gill Sans MT" w:hAnsi="Gill Sans MT"/>
          <w:i/>
        </w:rPr>
        <w:t>Medical Journal of Australia</w:t>
      </w:r>
      <w:r>
        <w:rPr>
          <w:rFonts w:ascii="Gill Sans MT" w:hAnsi="Gill Sans MT"/>
        </w:rPr>
        <w:t>, 203(9), 363.</w:t>
      </w:r>
    </w:p>
    <w:p w14:paraId="71E5C6E9" w14:textId="77777777" w:rsidR="008816CD" w:rsidRDefault="008816CD" w:rsidP="008816CD">
      <w:pPr>
        <w:spacing w:after="0"/>
        <w:rPr>
          <w:rFonts w:ascii="Gill Sans MT" w:hAnsi="Gill Sans MT"/>
        </w:rPr>
      </w:pPr>
      <w:r w:rsidRPr="00133CC2">
        <w:rPr>
          <w:rFonts w:ascii="Gill Sans MT" w:hAnsi="Gill Sans MT"/>
        </w:rPr>
        <w:t xml:space="preserve">Griffin, E., Pollak, D., 2009, Student experiences of neurodiversity in Higher Education: Insights from the BRAINHE Project, </w:t>
      </w:r>
      <w:r w:rsidRPr="00133CC2">
        <w:rPr>
          <w:rFonts w:ascii="Gill Sans MT" w:hAnsi="Gill Sans MT"/>
          <w:i/>
        </w:rPr>
        <w:t>Dyslexia</w:t>
      </w:r>
      <w:r w:rsidRPr="00133CC2">
        <w:rPr>
          <w:rFonts w:ascii="Gill Sans MT" w:hAnsi="Gill Sans MT"/>
        </w:rPr>
        <w:t>, 15(1), 23-41.</w:t>
      </w:r>
    </w:p>
    <w:p w14:paraId="170CD661" w14:textId="77777777" w:rsidR="008816CD" w:rsidRPr="00133CC2" w:rsidRDefault="008816CD" w:rsidP="008816CD">
      <w:pPr>
        <w:spacing w:after="0"/>
        <w:rPr>
          <w:rFonts w:ascii="Gill Sans MT" w:hAnsi="Gill Sans MT"/>
        </w:rPr>
      </w:pPr>
      <w:r w:rsidRPr="00C952D2">
        <w:rPr>
          <w:rFonts w:ascii="Gill Sans MT" w:hAnsi="Gill Sans MT"/>
        </w:rPr>
        <w:t xml:space="preserve">Griffiths, P.G., Taylor, R.H., Henderson, L.M., Barrett, B.T., 2016, The effect of coloured overlays and lenses on reading: a systematic review of the literature, </w:t>
      </w:r>
      <w:r w:rsidRPr="00C952D2">
        <w:rPr>
          <w:rFonts w:ascii="Gill Sans MT" w:hAnsi="Gill Sans MT"/>
          <w:i/>
        </w:rPr>
        <w:t>Ophthalmic and Physiological Optics</w:t>
      </w:r>
      <w:r w:rsidRPr="00C952D2">
        <w:rPr>
          <w:rFonts w:ascii="Gill Sans MT" w:hAnsi="Gill Sans MT"/>
        </w:rPr>
        <w:t>, 35(5), 519-544.</w:t>
      </w:r>
    </w:p>
    <w:p w14:paraId="6288F2EB" w14:textId="77777777" w:rsidR="008816CD" w:rsidRPr="00133CC2" w:rsidRDefault="008816CD" w:rsidP="008816CD">
      <w:pPr>
        <w:spacing w:after="0"/>
        <w:rPr>
          <w:rFonts w:ascii="Gill Sans MT" w:hAnsi="Gill Sans MT"/>
        </w:rPr>
      </w:pPr>
      <w:r w:rsidRPr="00133CC2">
        <w:rPr>
          <w:rFonts w:ascii="Gill Sans MT" w:hAnsi="Gill Sans MT"/>
        </w:rPr>
        <w:t xml:space="preserve">Griful-Freixenet, J., Struyven, K., Verstichele, M., Andries, C., 2017, Higher education students with disabilities speaking out: perceived barriers and opportunities of the Universal Design for Learning framework, </w:t>
      </w:r>
      <w:r w:rsidRPr="00133CC2">
        <w:rPr>
          <w:rFonts w:ascii="Gill Sans MT" w:hAnsi="Gill Sans MT"/>
          <w:i/>
        </w:rPr>
        <w:t>Disability &amp; Society</w:t>
      </w:r>
      <w:r w:rsidRPr="00133CC2">
        <w:rPr>
          <w:rFonts w:ascii="Gill Sans MT" w:hAnsi="Gill Sans MT"/>
        </w:rPr>
        <w:t>, 32(10), 1627-1649.</w:t>
      </w:r>
    </w:p>
    <w:p w14:paraId="3ADC1D9A" w14:textId="77777777" w:rsidR="008816CD" w:rsidRPr="00147DAA" w:rsidRDefault="008816CD" w:rsidP="008816CD">
      <w:pPr>
        <w:spacing w:after="0"/>
        <w:rPr>
          <w:rFonts w:ascii="Gill Sans MT" w:hAnsi="Gill Sans MT"/>
        </w:rPr>
      </w:pPr>
      <w:r>
        <w:rPr>
          <w:rFonts w:ascii="Gill Sans MT" w:hAnsi="Gill Sans MT"/>
        </w:rPr>
        <w:t xml:space="preserve">Grosser, G.S., Trzeciak, G.M., 1981, Durations of recognition for single letters, with and without visual masking, by dyslexics and normal readers, </w:t>
      </w:r>
      <w:r>
        <w:rPr>
          <w:rFonts w:ascii="Gill Sans MT" w:hAnsi="Gill Sans MT"/>
          <w:i/>
        </w:rPr>
        <w:t>Perceptual and Motor Skills</w:t>
      </w:r>
      <w:r>
        <w:rPr>
          <w:rFonts w:ascii="Gill Sans MT" w:hAnsi="Gill Sans MT"/>
        </w:rPr>
        <w:t>, 53, 991-995.</w:t>
      </w:r>
    </w:p>
    <w:p w14:paraId="29687CEE" w14:textId="77777777" w:rsidR="008816CD" w:rsidRPr="00133CC2" w:rsidRDefault="008816CD" w:rsidP="008816CD">
      <w:pPr>
        <w:spacing w:after="0"/>
        <w:rPr>
          <w:rFonts w:ascii="Gill Sans MT" w:hAnsi="Gill Sans MT"/>
        </w:rPr>
      </w:pPr>
      <w:r w:rsidRPr="00133CC2">
        <w:rPr>
          <w:rFonts w:ascii="Gill Sans MT" w:hAnsi="Gill Sans MT"/>
        </w:rPr>
        <w:t xml:space="preserve">Guadagnoli, E., Velicer, W.F., 1988, Relation of sample size to the stability of component patterns, </w:t>
      </w:r>
      <w:r w:rsidRPr="00133CC2">
        <w:rPr>
          <w:rFonts w:ascii="Gill Sans MT" w:hAnsi="Gill Sans MT"/>
          <w:i/>
        </w:rPr>
        <w:t>Psychological Bulletin</w:t>
      </w:r>
      <w:r w:rsidRPr="00133CC2">
        <w:rPr>
          <w:rFonts w:ascii="Gill Sans MT" w:hAnsi="Gill Sans MT"/>
        </w:rPr>
        <w:t>, 103(2), 265-275.</w:t>
      </w:r>
    </w:p>
    <w:p w14:paraId="288D8417" w14:textId="77777777" w:rsidR="008816CD" w:rsidRDefault="008816CD" w:rsidP="008816CD">
      <w:pPr>
        <w:spacing w:after="0"/>
        <w:rPr>
          <w:rFonts w:ascii="Gill Sans MT" w:hAnsi="Gill Sans MT"/>
        </w:rPr>
      </w:pPr>
      <w:r w:rsidRPr="00133CC2">
        <w:rPr>
          <w:rFonts w:ascii="Gill Sans MT" w:hAnsi="Gill Sans MT"/>
        </w:rPr>
        <w:t xml:space="preserve">Guilford, J.P., 1988, Some changes in the Structure-of-Intellect Model, </w:t>
      </w:r>
      <w:r w:rsidRPr="00133CC2">
        <w:rPr>
          <w:rFonts w:ascii="Gill Sans MT" w:hAnsi="Gill Sans MT"/>
          <w:i/>
        </w:rPr>
        <w:t>Educational and Psychological Measurement</w:t>
      </w:r>
      <w:r w:rsidRPr="00133CC2">
        <w:rPr>
          <w:rFonts w:ascii="Gill Sans MT" w:hAnsi="Gill Sans MT"/>
        </w:rPr>
        <w:t xml:space="preserve">, 48(1), 1-4. </w:t>
      </w:r>
    </w:p>
    <w:p w14:paraId="581120B9" w14:textId="77777777" w:rsidR="008816CD" w:rsidRPr="000A3773" w:rsidRDefault="008816CD" w:rsidP="008816CD">
      <w:pPr>
        <w:spacing w:after="0"/>
        <w:rPr>
          <w:rFonts w:ascii="Gill Sans MT" w:hAnsi="Gill Sans MT"/>
        </w:rPr>
      </w:pPr>
      <w:r>
        <w:rPr>
          <w:rFonts w:ascii="Gill Sans MT" w:hAnsi="Gill Sans MT"/>
        </w:rPr>
        <w:t xml:space="preserve">Gupta, N., Irwin, J.D., 2016, In-class distractions: the role of Facebook and the primary learning task, </w:t>
      </w:r>
      <w:r>
        <w:rPr>
          <w:rFonts w:ascii="Gill Sans MT" w:hAnsi="Gill Sans MT"/>
          <w:i/>
        </w:rPr>
        <w:t>Computers in Human Behaviour,</w:t>
      </w:r>
      <w:r>
        <w:rPr>
          <w:rFonts w:ascii="Gill Sans MT" w:hAnsi="Gill Sans MT"/>
        </w:rPr>
        <w:t xml:space="preserve"> 55(B), 1165-1178.</w:t>
      </w:r>
    </w:p>
    <w:p w14:paraId="24214628" w14:textId="119028CC" w:rsidR="008816CD" w:rsidRDefault="008816CD" w:rsidP="008816CD">
      <w:pPr>
        <w:spacing w:after="0"/>
        <w:rPr>
          <w:rFonts w:ascii="Gill Sans MT" w:hAnsi="Gill Sans MT"/>
        </w:rPr>
      </w:pPr>
      <w:r>
        <w:rPr>
          <w:rFonts w:ascii="Gill Sans MT" w:hAnsi="Gill Sans MT"/>
        </w:rPr>
        <w:t xml:space="preserve">Gus, S., Samuelsson, S., 1999, Intelligence and dyslexia: Implications for diagnosis and intervention, </w:t>
      </w:r>
      <w:r>
        <w:rPr>
          <w:rFonts w:ascii="Gill Sans MT" w:hAnsi="Gill Sans MT"/>
          <w:i/>
        </w:rPr>
        <w:t>Scandinavian Journal of Psychology</w:t>
      </w:r>
      <w:r>
        <w:rPr>
          <w:rFonts w:ascii="Gill Sans MT" w:hAnsi="Gill Sans MT"/>
        </w:rPr>
        <w:t>, 40(2), 127-134.</w:t>
      </w:r>
    </w:p>
    <w:p w14:paraId="6279CDBC" w14:textId="22F63B64" w:rsidR="00540676" w:rsidRPr="00540676" w:rsidRDefault="00540676" w:rsidP="008816CD">
      <w:pPr>
        <w:spacing w:after="0"/>
        <w:rPr>
          <w:rFonts w:ascii="Gill Sans MT" w:hAnsi="Gill Sans MT"/>
        </w:rPr>
      </w:pPr>
      <w:r>
        <w:rPr>
          <w:rFonts w:ascii="Gill Sans MT" w:hAnsi="Gill Sans MT"/>
        </w:rPr>
        <w:t xml:space="preserve">Gwernan-Jones, R., 2010, Making sense of dyslexia: A life history study with dyslexic adults mapping meaning-making and its relationship to the development of positive self-perceptions and coping skills, </w:t>
      </w:r>
      <w:r>
        <w:rPr>
          <w:rFonts w:ascii="Gill Sans MT" w:hAnsi="Gill Sans MT"/>
          <w:i/>
          <w:iCs/>
        </w:rPr>
        <w:t>Unpublished doctoral thesis</w:t>
      </w:r>
      <w:r>
        <w:rPr>
          <w:rFonts w:ascii="Gill Sans MT" w:hAnsi="Gill Sans MT"/>
        </w:rPr>
        <w:t>, University of Exeter.</w:t>
      </w:r>
    </w:p>
    <w:p w14:paraId="2B8D240E" w14:textId="77777777" w:rsidR="008816CD" w:rsidRPr="00A7230B" w:rsidRDefault="008816CD" w:rsidP="008816CD">
      <w:pPr>
        <w:spacing w:after="0"/>
        <w:rPr>
          <w:rFonts w:ascii="Gill Sans MT" w:hAnsi="Gill Sans MT"/>
        </w:rPr>
      </w:pPr>
      <w:r>
        <w:rPr>
          <w:rFonts w:ascii="Gill Sans MT" w:hAnsi="Gill Sans MT"/>
        </w:rPr>
        <w:t xml:space="preserve">Hackett, G., Betz, N.E., 1982, Mathematics self-efficacy expectations, math performance, and the consideration of math-related Majors, </w:t>
      </w:r>
      <w:r>
        <w:rPr>
          <w:rFonts w:ascii="Gill Sans MT" w:hAnsi="Gill Sans MT"/>
          <w:i/>
        </w:rPr>
        <w:t>Paper presented at the Annual Meeting of the American Educational Research Association</w:t>
      </w:r>
      <w:r>
        <w:rPr>
          <w:rFonts w:ascii="Gill Sans MT" w:hAnsi="Gill Sans MT"/>
        </w:rPr>
        <w:t>, New York, March 18-22 1982.</w:t>
      </w:r>
    </w:p>
    <w:p w14:paraId="60ACF76A" w14:textId="77777777" w:rsidR="008816CD" w:rsidRDefault="008816CD" w:rsidP="008816CD">
      <w:pPr>
        <w:spacing w:after="0"/>
        <w:rPr>
          <w:rFonts w:ascii="Gill Sans MT" w:hAnsi="Gill Sans MT"/>
        </w:rPr>
      </w:pPr>
      <w:r w:rsidRPr="00133CC2">
        <w:rPr>
          <w:rFonts w:ascii="Gill Sans MT" w:hAnsi="Gill Sans MT"/>
        </w:rPr>
        <w:t xml:space="preserve">Hallinan, M.T., 2008, Teacher influences on students' attachment to school, </w:t>
      </w:r>
      <w:r w:rsidRPr="00133CC2">
        <w:rPr>
          <w:rFonts w:ascii="Gill Sans MT" w:hAnsi="Gill Sans MT"/>
          <w:i/>
        </w:rPr>
        <w:t>Sociology of Education</w:t>
      </w:r>
      <w:r w:rsidRPr="00133CC2">
        <w:rPr>
          <w:rFonts w:ascii="Gill Sans MT" w:hAnsi="Gill Sans MT"/>
        </w:rPr>
        <w:t>, 81(3), 271-283.</w:t>
      </w:r>
    </w:p>
    <w:p w14:paraId="669C7E8A" w14:textId="77777777" w:rsidR="008816CD" w:rsidRPr="00B74AF2" w:rsidRDefault="008816CD" w:rsidP="008816CD">
      <w:pPr>
        <w:spacing w:after="0"/>
        <w:rPr>
          <w:rFonts w:ascii="Gill Sans MT" w:hAnsi="Gill Sans MT"/>
        </w:rPr>
      </w:pPr>
      <w:r>
        <w:rPr>
          <w:rFonts w:ascii="Gill Sans MT" w:hAnsi="Gill Sans MT"/>
        </w:rPr>
        <w:t xml:space="preserve">Hammond, J.A., Bithell, C.P., Jones, L., Bidgood, P., 2010, A first year experience of student-directed peer-assisted learning, </w:t>
      </w:r>
      <w:r>
        <w:rPr>
          <w:rFonts w:ascii="Gill Sans MT" w:hAnsi="Gill Sans MT"/>
          <w:i/>
        </w:rPr>
        <w:t>Active Learning in Higher Education</w:t>
      </w:r>
      <w:r>
        <w:rPr>
          <w:rFonts w:ascii="Gill Sans MT" w:hAnsi="Gill Sans MT"/>
        </w:rPr>
        <w:t>, 11(3), 210-212.</w:t>
      </w:r>
    </w:p>
    <w:p w14:paraId="1CAF5697" w14:textId="77777777" w:rsidR="008816CD" w:rsidRDefault="008816CD" w:rsidP="008816CD">
      <w:pPr>
        <w:spacing w:after="0"/>
        <w:rPr>
          <w:rFonts w:ascii="Gill Sans MT" w:hAnsi="Gill Sans MT"/>
        </w:rPr>
      </w:pPr>
      <w:r w:rsidRPr="00133CC2">
        <w:rPr>
          <w:rFonts w:ascii="Gill Sans MT" w:hAnsi="Gill Sans MT"/>
        </w:rPr>
        <w:t xml:space="preserve">Hanley, J.R., 1997, Reading and spelling impairments in undergraduate students with developmental dyslexia, </w:t>
      </w:r>
      <w:r w:rsidRPr="00133CC2">
        <w:rPr>
          <w:rFonts w:ascii="Gill Sans MT" w:hAnsi="Gill Sans MT"/>
          <w:i/>
        </w:rPr>
        <w:t>Journal of Research in Reading</w:t>
      </w:r>
      <w:r w:rsidRPr="00133CC2">
        <w:rPr>
          <w:rFonts w:ascii="Gill Sans MT" w:hAnsi="Gill Sans MT"/>
        </w:rPr>
        <w:t>, 20(1), 22-30.</w:t>
      </w:r>
    </w:p>
    <w:p w14:paraId="0D99AC43" w14:textId="77777777" w:rsidR="008816CD" w:rsidRDefault="008816CD" w:rsidP="008816CD">
      <w:pPr>
        <w:spacing w:after="0"/>
        <w:rPr>
          <w:rFonts w:ascii="Gill Sans MT" w:hAnsi="Gill Sans MT"/>
        </w:rPr>
      </w:pPr>
      <w:r w:rsidRPr="00D33E4F">
        <w:rPr>
          <w:rFonts w:ascii="Gill Sans MT" w:hAnsi="Gill Sans MT"/>
        </w:rPr>
        <w:t>Hanmstra-Bletz, L., Blote, A.W., 1993, A longitudinal study on dysgraphic handwriting in primary school, Journal of Learning Disabilities, 26(10), 689-699.</w:t>
      </w:r>
    </w:p>
    <w:p w14:paraId="5B722BCD" w14:textId="77777777" w:rsidR="008816CD" w:rsidRPr="0021051F" w:rsidRDefault="008816CD" w:rsidP="008816CD">
      <w:pPr>
        <w:spacing w:after="0"/>
        <w:rPr>
          <w:rFonts w:ascii="Gill Sans MT" w:hAnsi="Gill Sans MT"/>
        </w:rPr>
      </w:pPr>
      <w:r>
        <w:rPr>
          <w:rFonts w:ascii="Gill Sans MT" w:hAnsi="Gill Sans MT"/>
        </w:rPr>
        <w:lastRenderedPageBreak/>
        <w:t xml:space="preserve">Harackiewicz, J.M., Linnenbrook, E.A., 2005, Multiple achievement goals and multiple pathways for learning: the agenda and impact of Paul R. Pintrich, </w:t>
      </w:r>
      <w:r>
        <w:rPr>
          <w:rFonts w:ascii="Gill Sans MT" w:hAnsi="Gill Sans MT"/>
          <w:i/>
        </w:rPr>
        <w:t>Educational Psychologist</w:t>
      </w:r>
      <w:r>
        <w:rPr>
          <w:rFonts w:ascii="Gill Sans MT" w:hAnsi="Gill Sans MT"/>
        </w:rPr>
        <w:t>, 40(2), 75-84.</w:t>
      </w:r>
    </w:p>
    <w:p w14:paraId="460750C8" w14:textId="77777777" w:rsidR="008816CD" w:rsidRPr="00133CC2" w:rsidRDefault="008816CD" w:rsidP="008816CD">
      <w:pPr>
        <w:spacing w:after="0"/>
        <w:rPr>
          <w:rFonts w:ascii="Gill Sans MT" w:hAnsi="Gill Sans MT"/>
        </w:rPr>
      </w:pPr>
      <w:r w:rsidRPr="00133CC2">
        <w:rPr>
          <w:rFonts w:ascii="Gill Sans MT" w:hAnsi="Gill Sans MT"/>
        </w:rPr>
        <w:t xml:space="preserve">Harkin, E., Doyle, A., McGuckin, C., 2015, Screening and assessment of specific learning disabilities in higher education institutes in the Republic of Ireland, </w:t>
      </w:r>
      <w:r w:rsidRPr="00133CC2">
        <w:rPr>
          <w:rFonts w:ascii="Gill Sans MT" w:hAnsi="Gill Sans MT"/>
          <w:i/>
        </w:rPr>
        <w:t>Journal of Psychologists and Counsellors in Schools</w:t>
      </w:r>
      <w:r w:rsidRPr="00133CC2">
        <w:rPr>
          <w:rFonts w:ascii="Gill Sans MT" w:hAnsi="Gill Sans MT"/>
        </w:rPr>
        <w:t>, 25(1), 13-23.</w:t>
      </w:r>
    </w:p>
    <w:p w14:paraId="21B2E56B" w14:textId="77777777" w:rsidR="008816CD" w:rsidRPr="00133CC2" w:rsidRDefault="008816CD" w:rsidP="008816CD">
      <w:pPr>
        <w:spacing w:after="0"/>
        <w:rPr>
          <w:rFonts w:ascii="Gill Sans MT" w:hAnsi="Gill Sans MT"/>
        </w:rPr>
      </w:pPr>
      <w:r w:rsidRPr="00133CC2">
        <w:rPr>
          <w:rFonts w:ascii="Gill Sans MT" w:hAnsi="Gill Sans MT"/>
        </w:rPr>
        <w:t xml:space="preserve">Harrison, A.G., 2005, A validation of the Dyslexia Adult Screening Test (DAST) in a post-secondary population, </w:t>
      </w:r>
      <w:r w:rsidRPr="00133CC2">
        <w:rPr>
          <w:rFonts w:ascii="Gill Sans MT" w:hAnsi="Gill Sans MT"/>
          <w:i/>
        </w:rPr>
        <w:t>Journal of Research in Reading</w:t>
      </w:r>
      <w:r w:rsidRPr="00133CC2">
        <w:rPr>
          <w:rFonts w:ascii="Gill Sans MT" w:hAnsi="Gill Sans MT"/>
        </w:rPr>
        <w:t>, 28(4), 423-434.</w:t>
      </w:r>
    </w:p>
    <w:p w14:paraId="67180EC3" w14:textId="77777777" w:rsidR="008816CD" w:rsidRPr="00133CC2" w:rsidRDefault="008816CD" w:rsidP="008816CD">
      <w:pPr>
        <w:spacing w:after="0"/>
        <w:rPr>
          <w:rFonts w:ascii="Gill Sans MT" w:hAnsi="Gill Sans MT"/>
        </w:rPr>
      </w:pPr>
      <w:r w:rsidRPr="00133CC2">
        <w:rPr>
          <w:rFonts w:ascii="Gill Sans MT" w:hAnsi="Gill Sans MT"/>
        </w:rPr>
        <w:t xml:space="preserve">Harrison, A.G., Edwards, M.J., Parker, K.C.H., 2008, Identifying students feigning dyslexia: preliminary findings and strategies for detection, </w:t>
      </w:r>
      <w:r w:rsidRPr="00133CC2">
        <w:rPr>
          <w:rFonts w:ascii="Gill Sans MT" w:hAnsi="Gill Sans MT"/>
          <w:i/>
        </w:rPr>
        <w:t>Dyslexia</w:t>
      </w:r>
      <w:r w:rsidRPr="00133CC2">
        <w:rPr>
          <w:rFonts w:ascii="Gill Sans MT" w:hAnsi="Gill Sans MT"/>
        </w:rPr>
        <w:t>, 14, 228-246.</w:t>
      </w:r>
    </w:p>
    <w:p w14:paraId="20FB4754" w14:textId="77777777" w:rsidR="008816CD" w:rsidRDefault="008816CD" w:rsidP="008816CD">
      <w:pPr>
        <w:spacing w:after="0"/>
        <w:rPr>
          <w:rFonts w:ascii="Gill Sans MT" w:hAnsi="Gill Sans MT"/>
        </w:rPr>
      </w:pPr>
      <w:r w:rsidRPr="00133CC2">
        <w:rPr>
          <w:rFonts w:ascii="Gill Sans MT" w:hAnsi="Gill Sans MT"/>
        </w:rPr>
        <w:t xml:space="preserve">Haslum, M.N., Kiziewicz, M., 2001, Computerized assessment of students for dyslexia: a preliminary report of an evaluation of the StudyScan screening and assessment suite, </w:t>
      </w:r>
      <w:r w:rsidRPr="00133CC2">
        <w:rPr>
          <w:rFonts w:ascii="Gill Sans MT" w:hAnsi="Gill Sans MT"/>
          <w:i/>
        </w:rPr>
        <w:t>CASCADE</w:t>
      </w:r>
      <w:r w:rsidRPr="00133CC2">
        <w:rPr>
          <w:rFonts w:ascii="Gill Sans MT" w:hAnsi="Gill Sans MT"/>
        </w:rPr>
        <w:t xml:space="preserve"> </w:t>
      </w:r>
      <w:r w:rsidRPr="00133CC2">
        <w:rPr>
          <w:rFonts w:ascii="Gill Sans MT" w:hAnsi="Gill Sans MT"/>
          <w:i/>
        </w:rPr>
        <w:t>(University of Bath),</w:t>
      </w:r>
      <w:r w:rsidRPr="00133CC2">
        <w:rPr>
          <w:rFonts w:ascii="Gill Sans MT" w:hAnsi="Gill Sans MT"/>
        </w:rPr>
        <w:t xml:space="preserve"> 8.</w:t>
      </w:r>
    </w:p>
    <w:p w14:paraId="62EC17FD" w14:textId="77777777" w:rsidR="008816CD" w:rsidRPr="00133CC2" w:rsidRDefault="008816CD" w:rsidP="008816CD">
      <w:pPr>
        <w:spacing w:after="0"/>
        <w:rPr>
          <w:rFonts w:ascii="Gill Sans MT" w:hAnsi="Gill Sans MT"/>
        </w:rPr>
      </w:pPr>
      <w:r w:rsidRPr="00B879FD">
        <w:rPr>
          <w:rFonts w:ascii="Gill Sans MT" w:hAnsi="Gill Sans MT"/>
        </w:rPr>
        <w:t xml:space="preserve">Hawkela, S., Wimmer, H., 2008, Visual target detection is not impaired in dyslexic readers, </w:t>
      </w:r>
      <w:r w:rsidRPr="00B879FD">
        <w:rPr>
          <w:rFonts w:ascii="Gill Sans MT" w:hAnsi="Gill Sans MT"/>
          <w:i/>
        </w:rPr>
        <w:t>Vision Research</w:t>
      </w:r>
      <w:r w:rsidRPr="00B879FD">
        <w:rPr>
          <w:rFonts w:ascii="Gill Sans MT" w:hAnsi="Gill Sans MT"/>
        </w:rPr>
        <w:t>, 48(6), 850-852.</w:t>
      </w:r>
      <w:r w:rsidRPr="00133CC2">
        <w:rPr>
          <w:rFonts w:ascii="Gill Sans MT" w:hAnsi="Gill Sans MT"/>
        </w:rPr>
        <w:t xml:space="preserve"> </w:t>
      </w:r>
    </w:p>
    <w:p w14:paraId="166120C6" w14:textId="77777777" w:rsidR="008816CD" w:rsidRDefault="008816CD" w:rsidP="008816CD">
      <w:pPr>
        <w:spacing w:after="0"/>
        <w:rPr>
          <w:rFonts w:ascii="Gill Sans MT" w:hAnsi="Gill Sans MT"/>
        </w:rPr>
      </w:pPr>
      <w:r w:rsidRPr="00133CC2">
        <w:rPr>
          <w:rFonts w:ascii="Gill Sans MT" w:hAnsi="Gill Sans MT"/>
        </w:rPr>
        <w:t xml:space="preserve">Hay, D.B., 2007, Using concept mapping to measure deep, surface and non-learning outcomes, </w:t>
      </w:r>
      <w:r w:rsidRPr="00133CC2">
        <w:rPr>
          <w:rFonts w:ascii="Gill Sans MT" w:hAnsi="Gill Sans MT"/>
          <w:i/>
        </w:rPr>
        <w:t>Studies in Higher Education</w:t>
      </w:r>
      <w:r w:rsidRPr="00133CC2">
        <w:rPr>
          <w:rFonts w:ascii="Gill Sans MT" w:hAnsi="Gill Sans MT"/>
        </w:rPr>
        <w:t>, 32(1), 39-57.</w:t>
      </w:r>
    </w:p>
    <w:p w14:paraId="273319EF" w14:textId="3E05ADC9" w:rsidR="008816CD" w:rsidRDefault="008816CD" w:rsidP="008816CD">
      <w:pPr>
        <w:spacing w:after="0"/>
        <w:rPr>
          <w:rFonts w:ascii="Gill Sans MT" w:hAnsi="Gill Sans MT"/>
        </w:rPr>
      </w:pPr>
      <w:r w:rsidRPr="00F804C1">
        <w:rPr>
          <w:rFonts w:ascii="Gill Sans MT" w:hAnsi="Gill Sans MT"/>
        </w:rPr>
        <w:t xml:space="preserve">Hazan, A., Adlard, V., 1998, Speech perception in children with specific reading difficulties (dyslexia), </w:t>
      </w:r>
      <w:r w:rsidRPr="00F804C1">
        <w:rPr>
          <w:rFonts w:ascii="Gill Sans MT" w:hAnsi="Gill Sans MT"/>
          <w:i/>
        </w:rPr>
        <w:t>The Quarterly Journal of Experimental Psychology, Section A</w:t>
      </w:r>
      <w:r w:rsidRPr="00F804C1">
        <w:rPr>
          <w:rFonts w:ascii="Gill Sans MT" w:hAnsi="Gill Sans MT"/>
        </w:rPr>
        <w:t>, 51(1), 153-177.</w:t>
      </w:r>
    </w:p>
    <w:p w14:paraId="7AE8C9D7" w14:textId="21EAD7B1" w:rsidR="007D2DC3" w:rsidRPr="00DD27E8" w:rsidRDefault="007D2DC3" w:rsidP="008816CD">
      <w:pPr>
        <w:spacing w:after="0"/>
        <w:rPr>
          <w:rFonts w:ascii="Gill Sans MT" w:hAnsi="Gill Sans MT"/>
        </w:rPr>
      </w:pPr>
      <w:r>
        <w:rPr>
          <w:rFonts w:ascii="Gill Sans MT" w:hAnsi="Gill Sans MT"/>
        </w:rPr>
        <w:t xml:space="preserve">Hedges, L.V., 1981, </w:t>
      </w:r>
      <w:r w:rsidR="00DD27E8">
        <w:rPr>
          <w:rFonts w:ascii="Gill Sans MT" w:hAnsi="Gill Sans MT"/>
        </w:rPr>
        <w:t xml:space="preserve">Distribution theory for Glass' estimator of effect size and related estimators, </w:t>
      </w:r>
      <w:r w:rsidR="00DD27E8">
        <w:rPr>
          <w:rFonts w:ascii="Gill Sans MT" w:hAnsi="Gill Sans MT"/>
          <w:i/>
          <w:iCs/>
        </w:rPr>
        <w:t>Journal of Educational Statistics</w:t>
      </w:r>
      <w:r w:rsidR="00DD27E8">
        <w:rPr>
          <w:rFonts w:ascii="Gill Sans MT" w:hAnsi="Gill Sans MT"/>
        </w:rPr>
        <w:t>, 6(2), 107-128.</w:t>
      </w:r>
    </w:p>
    <w:p w14:paraId="6E769CAB" w14:textId="77777777" w:rsidR="008816CD" w:rsidRPr="00133CC2" w:rsidRDefault="008816CD" w:rsidP="008816CD">
      <w:pPr>
        <w:spacing w:after="0"/>
        <w:rPr>
          <w:rFonts w:ascii="Gill Sans MT" w:hAnsi="Gill Sans MT"/>
        </w:rPr>
      </w:pPr>
      <w:r w:rsidRPr="00133CC2">
        <w:rPr>
          <w:rFonts w:ascii="Gill Sans MT" w:hAnsi="Gill Sans MT"/>
        </w:rPr>
        <w:t xml:space="preserve">Heelan, A., Halligan, P., Quirke, M., 2015, Universal design for learning and its application to clinical placements in health science courses, Journal of Postsecondary </w:t>
      </w:r>
      <w:r w:rsidRPr="00133CC2">
        <w:rPr>
          <w:rFonts w:ascii="Gill Sans MT" w:hAnsi="Gill Sans MT"/>
          <w:i/>
        </w:rPr>
        <w:t>Education and Disability</w:t>
      </w:r>
      <w:r w:rsidRPr="00133CC2">
        <w:rPr>
          <w:rFonts w:ascii="Gill Sans MT" w:hAnsi="Gill Sans MT"/>
        </w:rPr>
        <w:t>, 28(4), 469-479.</w:t>
      </w:r>
    </w:p>
    <w:p w14:paraId="57654AD3" w14:textId="77777777" w:rsidR="008816CD" w:rsidRPr="00660691" w:rsidRDefault="008816CD" w:rsidP="008816CD">
      <w:pPr>
        <w:spacing w:after="0"/>
        <w:rPr>
          <w:rFonts w:ascii="Gill Sans MT" w:hAnsi="Gill Sans MT"/>
        </w:rPr>
      </w:pPr>
      <w:r>
        <w:rPr>
          <w:rFonts w:ascii="Gill Sans MT" w:hAnsi="Gill Sans MT"/>
        </w:rPr>
        <w:t xml:space="preserve">Hefferon, K., Gil-Rodriguez, E., 2011, Interpretative phenomenological analysis, </w:t>
      </w:r>
      <w:r>
        <w:rPr>
          <w:rFonts w:ascii="Gill Sans MT" w:hAnsi="Gill Sans MT"/>
          <w:i/>
        </w:rPr>
        <w:t>The Psychologist</w:t>
      </w:r>
      <w:r>
        <w:rPr>
          <w:rFonts w:ascii="Gill Sans MT" w:hAnsi="Gill Sans MT"/>
        </w:rPr>
        <w:t>, 24(10), 756-759.</w:t>
      </w:r>
    </w:p>
    <w:p w14:paraId="63F4607C" w14:textId="5A7C2231" w:rsidR="008816CD" w:rsidRDefault="008816CD" w:rsidP="008816CD">
      <w:pPr>
        <w:spacing w:after="0"/>
        <w:rPr>
          <w:rFonts w:ascii="Gill Sans MT" w:hAnsi="Gill Sans MT"/>
        </w:rPr>
      </w:pPr>
      <w:r w:rsidRPr="00133CC2">
        <w:rPr>
          <w:rFonts w:ascii="Gill Sans MT" w:hAnsi="Gill Sans MT"/>
        </w:rPr>
        <w:t xml:space="preserve">Hei Wan, W.N., Davies, G., Bates, I., Avellone, M., 2003, Academic dishonesty among pharmacy students, </w:t>
      </w:r>
      <w:r w:rsidRPr="00133CC2">
        <w:rPr>
          <w:rFonts w:ascii="Gill Sans MT" w:hAnsi="Gill Sans MT"/>
          <w:i/>
        </w:rPr>
        <w:t>Pharmacy Education</w:t>
      </w:r>
      <w:r w:rsidRPr="00133CC2">
        <w:rPr>
          <w:rFonts w:ascii="Gill Sans MT" w:hAnsi="Gill Sans MT"/>
        </w:rPr>
        <w:t>, 3(4), 261-269.</w:t>
      </w:r>
    </w:p>
    <w:p w14:paraId="67388E7C" w14:textId="5CCCB434" w:rsidR="00D9742A" w:rsidRPr="00D9742A" w:rsidRDefault="00D9742A" w:rsidP="008816CD">
      <w:pPr>
        <w:spacing w:after="0"/>
        <w:rPr>
          <w:rFonts w:ascii="Gill Sans MT" w:hAnsi="Gill Sans MT"/>
          <w:i/>
          <w:iCs/>
        </w:rPr>
      </w:pPr>
      <w:r>
        <w:rPr>
          <w:rFonts w:ascii="Gill Sans MT" w:hAnsi="Gill Sans MT"/>
        </w:rPr>
        <w:t xml:space="preserve">Heiman, T., Precel, K., 2003, Students with learning disabilities in higher education: academic strategies profile, </w:t>
      </w:r>
      <w:r w:rsidRPr="00D9742A">
        <w:rPr>
          <w:rFonts w:ascii="Gill Sans MT" w:hAnsi="Gill Sans MT"/>
          <w:i/>
          <w:iCs/>
        </w:rPr>
        <w:t>Journal of Learning Disabilities</w:t>
      </w:r>
      <w:r>
        <w:rPr>
          <w:rFonts w:ascii="Gill Sans MT" w:hAnsi="Gill Sans MT"/>
        </w:rPr>
        <w:t>, 36(3), 248-258.</w:t>
      </w:r>
    </w:p>
    <w:p w14:paraId="31265B1A" w14:textId="77777777" w:rsidR="008816CD" w:rsidRPr="00133CC2" w:rsidRDefault="008816CD" w:rsidP="008816CD">
      <w:pPr>
        <w:spacing w:after="0"/>
        <w:rPr>
          <w:rFonts w:ascii="Gill Sans MT" w:hAnsi="Gill Sans MT"/>
        </w:rPr>
      </w:pPr>
      <w:r w:rsidRPr="00133CC2">
        <w:rPr>
          <w:rFonts w:ascii="Gill Sans MT" w:hAnsi="Gill Sans MT"/>
        </w:rPr>
        <w:t xml:space="preserve">Heinemann, K.A., Bolanos, H., Griffin, J.S., 2017, Specific Learning Disabilities: Response to Intervention, IN: </w:t>
      </w:r>
      <w:r w:rsidRPr="00133CC2">
        <w:rPr>
          <w:rFonts w:ascii="Gill Sans MT" w:hAnsi="Gill Sans MT"/>
          <w:i/>
        </w:rPr>
        <w:t>Learning Disabilities - An International Perspective</w:t>
      </w:r>
      <w:r w:rsidRPr="00133CC2">
        <w:rPr>
          <w:rFonts w:ascii="Gill Sans MT" w:hAnsi="Gill Sans MT"/>
        </w:rPr>
        <w:t xml:space="preserve">, 99-114, published online, InTech, </w:t>
      </w:r>
    </w:p>
    <w:p w14:paraId="2781B70F" w14:textId="77777777" w:rsidR="008816CD" w:rsidRPr="00133CC2" w:rsidRDefault="008816CD" w:rsidP="008816CD">
      <w:pPr>
        <w:spacing w:after="0"/>
        <w:rPr>
          <w:rFonts w:ascii="Gill Sans MT" w:hAnsi="Gill Sans MT"/>
        </w:rPr>
      </w:pPr>
      <w:r w:rsidRPr="003976D6">
        <w:rPr>
          <w:rFonts w:ascii="Gill Sans MT" w:hAnsi="Gill Sans MT"/>
        </w:rPr>
        <w:t xml:space="preserve">Henderson, L.M., Taylor, R.H., Barrett, B., Griffiths, P.G., 2014, Treating reading difficulties with colour, </w:t>
      </w:r>
      <w:r w:rsidRPr="003976D6">
        <w:rPr>
          <w:rFonts w:ascii="Gill Sans MT" w:hAnsi="Gill Sans MT"/>
          <w:i/>
        </w:rPr>
        <w:t>BMJ</w:t>
      </w:r>
      <w:r w:rsidRPr="003976D6">
        <w:rPr>
          <w:rFonts w:ascii="Gill Sans MT" w:hAnsi="Gill Sans MT"/>
        </w:rPr>
        <w:t>, 349, 1-2.</w:t>
      </w:r>
    </w:p>
    <w:p w14:paraId="36588049" w14:textId="77777777" w:rsidR="008816CD" w:rsidRDefault="008816CD" w:rsidP="008816CD">
      <w:pPr>
        <w:spacing w:after="0"/>
        <w:rPr>
          <w:rFonts w:ascii="Gill Sans MT" w:hAnsi="Gill Sans MT"/>
        </w:rPr>
      </w:pPr>
      <w:r w:rsidRPr="00133CC2">
        <w:rPr>
          <w:rFonts w:ascii="Gill Sans MT" w:hAnsi="Gill Sans MT"/>
        </w:rPr>
        <w:t xml:space="preserve">Henderson, L.M., Tsogka, N., Snowling, M.J., 2013, Questioning the benefits that coloured overlays can have for reading in students with and without dyslexia, Journal of </w:t>
      </w:r>
      <w:r w:rsidRPr="00133CC2">
        <w:rPr>
          <w:rFonts w:ascii="Gill Sans MT" w:hAnsi="Gill Sans MT"/>
          <w:i/>
        </w:rPr>
        <w:t>Research in Special Educational Needs</w:t>
      </w:r>
      <w:r w:rsidRPr="00133CC2">
        <w:rPr>
          <w:rFonts w:ascii="Gill Sans MT" w:hAnsi="Gill Sans MT"/>
        </w:rPr>
        <w:t>, 13(1), 57-65.</w:t>
      </w:r>
    </w:p>
    <w:p w14:paraId="7C3E2F15" w14:textId="77777777" w:rsidR="008816CD" w:rsidRDefault="008816CD" w:rsidP="008816CD">
      <w:pPr>
        <w:spacing w:after="0"/>
        <w:rPr>
          <w:rFonts w:ascii="Gill Sans MT" w:hAnsi="Gill Sans MT"/>
        </w:rPr>
      </w:pPr>
      <w:r w:rsidRPr="00133CC2">
        <w:rPr>
          <w:rFonts w:ascii="Gill Sans MT" w:hAnsi="Gill Sans MT"/>
        </w:rPr>
        <w:t xml:space="preserve">Henderson, P., 2015, Are there delays in reporting dyslexia in university learners? Experiences of university learning support staff, </w:t>
      </w:r>
      <w:r w:rsidRPr="00133CC2">
        <w:rPr>
          <w:rFonts w:ascii="Gill Sans MT" w:hAnsi="Gill Sans MT"/>
          <w:i/>
        </w:rPr>
        <w:t>Journal of Further and Higher Education</w:t>
      </w:r>
      <w:r w:rsidRPr="00133CC2">
        <w:rPr>
          <w:rFonts w:ascii="Gill Sans MT" w:hAnsi="Gill Sans MT"/>
        </w:rPr>
        <w:t>, 39, 1-15.</w:t>
      </w:r>
    </w:p>
    <w:p w14:paraId="78A12C2A" w14:textId="77777777" w:rsidR="008816CD" w:rsidRPr="002122EE" w:rsidRDefault="008816CD" w:rsidP="008816CD">
      <w:pPr>
        <w:spacing w:after="0"/>
        <w:rPr>
          <w:rFonts w:ascii="Gill Sans MT" w:hAnsi="Gill Sans MT"/>
        </w:rPr>
      </w:pPr>
      <w:r>
        <w:rPr>
          <w:rFonts w:ascii="Gill Sans MT" w:hAnsi="Gill Sans MT"/>
        </w:rPr>
        <w:t xml:space="preserve">Henry, S.L., Abou-Zahra, S., Brewer, J., 2014, The role of accessibility in a universal web, </w:t>
      </w:r>
      <w:r>
        <w:rPr>
          <w:rFonts w:ascii="Gill Sans MT" w:hAnsi="Gill Sans MT"/>
          <w:i/>
        </w:rPr>
        <w:t>Proceedings of the 11</w:t>
      </w:r>
      <w:r w:rsidRPr="002122EE">
        <w:rPr>
          <w:rFonts w:ascii="Gill Sans MT" w:hAnsi="Gill Sans MT"/>
          <w:i/>
          <w:vertAlign w:val="superscript"/>
        </w:rPr>
        <w:t>th</w:t>
      </w:r>
      <w:r>
        <w:rPr>
          <w:rFonts w:ascii="Gill Sans MT" w:hAnsi="Gill Sans MT"/>
          <w:i/>
        </w:rPr>
        <w:t xml:space="preserve"> Web for all Conference</w:t>
      </w:r>
      <w:r>
        <w:rPr>
          <w:rFonts w:ascii="Gill Sans MT" w:hAnsi="Gill Sans MT"/>
        </w:rPr>
        <w:t>, Seoul, Korea.</w:t>
      </w:r>
    </w:p>
    <w:p w14:paraId="5A284B0E" w14:textId="77777777" w:rsidR="008816CD" w:rsidRPr="00133CC2" w:rsidRDefault="008816CD" w:rsidP="008816CD">
      <w:pPr>
        <w:spacing w:after="0"/>
        <w:rPr>
          <w:rFonts w:ascii="Gill Sans MT" w:hAnsi="Gill Sans MT"/>
        </w:rPr>
      </w:pPr>
      <w:r w:rsidRPr="00133CC2">
        <w:rPr>
          <w:rFonts w:ascii="Gill Sans MT" w:hAnsi="Gill Sans MT"/>
        </w:rPr>
        <w:lastRenderedPageBreak/>
        <w:t xml:space="preserve">Henson, R.K., 2001, Understanding internal reliability estimates: a conceptual primer on coefficient alpha, </w:t>
      </w:r>
      <w:r w:rsidRPr="00133CC2">
        <w:rPr>
          <w:rFonts w:ascii="Gill Sans MT" w:hAnsi="Gill Sans MT"/>
          <w:i/>
        </w:rPr>
        <w:t>Measurement and Evaluation in Counselling and Development</w:t>
      </w:r>
      <w:r w:rsidRPr="00133CC2">
        <w:rPr>
          <w:rFonts w:ascii="Gill Sans MT" w:hAnsi="Gill Sans MT"/>
        </w:rPr>
        <w:t>, 34, 177-189.</w:t>
      </w:r>
    </w:p>
    <w:p w14:paraId="56D44568" w14:textId="77777777" w:rsidR="008816CD" w:rsidRPr="00133CC2" w:rsidRDefault="008816CD" w:rsidP="008816CD">
      <w:pPr>
        <w:spacing w:after="0"/>
        <w:rPr>
          <w:rFonts w:ascii="Gill Sans MT" w:hAnsi="Gill Sans MT"/>
        </w:rPr>
      </w:pPr>
      <w:r w:rsidRPr="00133CC2">
        <w:rPr>
          <w:rFonts w:ascii="Gill Sans MT" w:hAnsi="Gill Sans MT"/>
        </w:rPr>
        <w:t xml:space="preserve">Higher Education Statistics Agency (HESA), 2018, </w:t>
      </w:r>
      <w:r w:rsidRPr="00133CC2">
        <w:rPr>
          <w:rFonts w:ascii="Gill Sans MT" w:hAnsi="Gill Sans MT"/>
          <w:i/>
        </w:rPr>
        <w:t>Who's studying in HE: student numbers</w:t>
      </w:r>
      <w:r w:rsidRPr="00133CC2">
        <w:rPr>
          <w:rFonts w:ascii="Gill Sans MT" w:hAnsi="Gill Sans MT"/>
        </w:rPr>
        <w:t>, Available at: https://www.hesa.ac.uk/data-and-analysis/students/whos-in-he, accessed on: 26 June 2018.</w:t>
      </w:r>
    </w:p>
    <w:p w14:paraId="28778126" w14:textId="77777777" w:rsidR="008816CD" w:rsidRDefault="008816CD" w:rsidP="008816CD">
      <w:pPr>
        <w:spacing w:after="0"/>
        <w:rPr>
          <w:rFonts w:ascii="Gill Sans MT" w:hAnsi="Gill Sans MT"/>
        </w:rPr>
      </w:pPr>
      <w:r w:rsidRPr="00133CC2">
        <w:rPr>
          <w:rFonts w:ascii="Gill Sans MT" w:hAnsi="Gill Sans MT"/>
        </w:rPr>
        <w:t xml:space="preserve">Hill, F.M., 1995, Managing service quality in higher education: the role of the student as a primary consumer, </w:t>
      </w:r>
      <w:r w:rsidRPr="00133CC2">
        <w:rPr>
          <w:rFonts w:ascii="Gill Sans MT" w:hAnsi="Gill Sans MT"/>
          <w:i/>
        </w:rPr>
        <w:t>Quality Assurance in Education</w:t>
      </w:r>
      <w:r w:rsidRPr="00133CC2">
        <w:rPr>
          <w:rFonts w:ascii="Gill Sans MT" w:hAnsi="Gill Sans MT"/>
        </w:rPr>
        <w:t>, 3(3), 10-21.</w:t>
      </w:r>
    </w:p>
    <w:p w14:paraId="0BA24488" w14:textId="77777777" w:rsidR="008816CD" w:rsidRPr="004C0994" w:rsidRDefault="008816CD" w:rsidP="008816CD">
      <w:pPr>
        <w:spacing w:after="0"/>
        <w:rPr>
          <w:rFonts w:ascii="Gill Sans MT" w:hAnsi="Gill Sans MT"/>
        </w:rPr>
      </w:pPr>
      <w:r>
        <w:rPr>
          <w:rFonts w:ascii="Gill Sans MT" w:hAnsi="Gill Sans MT"/>
        </w:rPr>
        <w:t>Hill, K., 2017, Foor for thought: An exploration of the relationship of academic confidence to academic sustenance in Australian undergraduate students,</w:t>
      </w:r>
      <w:r>
        <w:rPr>
          <w:rFonts w:ascii="Gill Sans MT" w:hAnsi="Gill Sans MT"/>
          <w:i/>
        </w:rPr>
        <w:t xml:space="preserve"> Unpublished doctoral thesis</w:t>
      </w:r>
      <w:r>
        <w:rPr>
          <w:rFonts w:ascii="Gill Sans MT" w:hAnsi="Gill Sans MT"/>
        </w:rPr>
        <w:t>, University of Durham.</w:t>
      </w:r>
    </w:p>
    <w:p w14:paraId="6B2BD1F2" w14:textId="77777777" w:rsidR="008816CD" w:rsidRDefault="008816CD" w:rsidP="008816CD">
      <w:pPr>
        <w:spacing w:after="0"/>
        <w:rPr>
          <w:rFonts w:ascii="Gill Sans MT" w:hAnsi="Gill Sans MT"/>
        </w:rPr>
      </w:pPr>
      <w:r>
        <w:rPr>
          <w:rFonts w:ascii="Gill Sans MT" w:hAnsi="Gill Sans MT"/>
        </w:rPr>
        <w:t>Hill, P., Tinker, A., 2013, Integrating learning development into the student experience,</w:t>
      </w:r>
      <w:r>
        <w:rPr>
          <w:rFonts w:ascii="Gill Sans MT" w:hAnsi="Gill Sans MT"/>
          <w:i/>
        </w:rPr>
        <w:t xml:space="preserve"> Journal of Learning Development in Higher Education</w:t>
      </w:r>
      <w:r>
        <w:rPr>
          <w:rFonts w:ascii="Gill Sans MT" w:hAnsi="Gill Sans MT"/>
        </w:rPr>
        <w:t>, 5.</w:t>
      </w:r>
    </w:p>
    <w:p w14:paraId="0B222821" w14:textId="77777777" w:rsidR="008816CD" w:rsidRPr="00942D91" w:rsidRDefault="008816CD" w:rsidP="008816CD">
      <w:pPr>
        <w:spacing w:after="0"/>
        <w:rPr>
          <w:rFonts w:ascii="Gill Sans MT" w:hAnsi="Gill Sans MT"/>
        </w:rPr>
      </w:pPr>
      <w:r>
        <w:rPr>
          <w:rFonts w:ascii="Gill Sans MT" w:hAnsi="Gill Sans MT"/>
        </w:rPr>
        <w:t xml:space="preserve">Hinshelwood, J., 1896, A case of dyslexia: a peculiar form of word-blindness, </w:t>
      </w:r>
      <w:r>
        <w:rPr>
          <w:rFonts w:ascii="Gill Sans MT" w:hAnsi="Gill Sans MT"/>
          <w:i/>
        </w:rPr>
        <w:t>The Lancet</w:t>
      </w:r>
      <w:r>
        <w:rPr>
          <w:rFonts w:ascii="Gill Sans MT" w:hAnsi="Gill Sans MT"/>
        </w:rPr>
        <w:t>, 148(3821), 1451-1454.</w:t>
      </w:r>
    </w:p>
    <w:p w14:paraId="386A2D2A" w14:textId="77777777" w:rsidR="008816CD" w:rsidRPr="00133CC2" w:rsidRDefault="008816CD" w:rsidP="008816CD">
      <w:pPr>
        <w:spacing w:after="0"/>
        <w:rPr>
          <w:rFonts w:ascii="Gill Sans MT" w:hAnsi="Gill Sans MT"/>
        </w:rPr>
      </w:pPr>
      <w:r w:rsidRPr="00133CC2">
        <w:rPr>
          <w:rFonts w:ascii="Gill Sans MT" w:hAnsi="Gill Sans MT"/>
        </w:rPr>
        <w:t xml:space="preserve">Hinton, P.R., Brownlow, C., McMurray, I., Cozens, B., 2004, </w:t>
      </w:r>
      <w:r w:rsidRPr="00133CC2">
        <w:rPr>
          <w:rFonts w:ascii="Gill Sans MT" w:hAnsi="Gill Sans MT"/>
          <w:i/>
        </w:rPr>
        <w:t>SPSS Explained</w:t>
      </w:r>
      <w:r w:rsidRPr="00133CC2">
        <w:rPr>
          <w:rFonts w:ascii="Gill Sans MT" w:hAnsi="Gill Sans MT"/>
        </w:rPr>
        <w:t>, Hove East Sussex, Routledge.</w:t>
      </w:r>
    </w:p>
    <w:p w14:paraId="5C53806B" w14:textId="77777777" w:rsidR="008816CD" w:rsidRDefault="008816CD" w:rsidP="008816CD">
      <w:pPr>
        <w:spacing w:after="0"/>
        <w:rPr>
          <w:rFonts w:ascii="Gill Sans MT" w:hAnsi="Gill Sans MT"/>
        </w:rPr>
      </w:pPr>
      <w:r w:rsidRPr="00133CC2">
        <w:rPr>
          <w:rFonts w:ascii="Gill Sans MT" w:hAnsi="Gill Sans MT"/>
        </w:rPr>
        <w:t xml:space="preserve">Hlalele, D., Alexander, G., 2011, Academic Behavioural Confidence of first-entering humanities University Access Program students, </w:t>
      </w:r>
      <w:r w:rsidRPr="00133CC2">
        <w:rPr>
          <w:rFonts w:ascii="Gill Sans MT" w:hAnsi="Gill Sans MT"/>
          <w:i/>
        </w:rPr>
        <w:t>Journal of Social Science</w:t>
      </w:r>
      <w:r w:rsidRPr="00133CC2">
        <w:rPr>
          <w:rFonts w:ascii="Gill Sans MT" w:hAnsi="Gill Sans MT"/>
        </w:rPr>
        <w:t>, 26(3), 203-209.</w:t>
      </w:r>
    </w:p>
    <w:p w14:paraId="0A7272C0" w14:textId="77777777" w:rsidR="008816CD" w:rsidRPr="00133CC2" w:rsidRDefault="008816CD" w:rsidP="008816CD">
      <w:pPr>
        <w:spacing w:after="0"/>
        <w:rPr>
          <w:rFonts w:ascii="Gill Sans MT" w:hAnsi="Gill Sans MT"/>
        </w:rPr>
      </w:pPr>
      <w:r w:rsidRPr="00133CC2">
        <w:rPr>
          <w:rFonts w:ascii="Gill Sans MT" w:hAnsi="Gill Sans MT"/>
        </w:rPr>
        <w:t xml:space="preserve">Hlalele. D., 2012, Academic Behavioural Confidence of first-entering maths and science university access program students, </w:t>
      </w:r>
      <w:r w:rsidRPr="00133CC2">
        <w:rPr>
          <w:rFonts w:ascii="Gill Sans MT" w:hAnsi="Gill Sans MT"/>
          <w:i/>
        </w:rPr>
        <w:t>The Anthropologist</w:t>
      </w:r>
      <w:r w:rsidRPr="00133CC2">
        <w:rPr>
          <w:rFonts w:ascii="Gill Sans MT" w:hAnsi="Gill Sans MT"/>
        </w:rPr>
        <w:t>, 14(6), 587-592.</w:t>
      </w:r>
    </w:p>
    <w:p w14:paraId="63A8D61D" w14:textId="77777777" w:rsidR="008816CD" w:rsidRPr="005C5390" w:rsidRDefault="008816CD" w:rsidP="008816CD">
      <w:pPr>
        <w:spacing w:after="0"/>
        <w:rPr>
          <w:rFonts w:ascii="Gill Sans MT" w:hAnsi="Gill Sans MT"/>
        </w:rPr>
      </w:pPr>
      <w:r>
        <w:rPr>
          <w:rFonts w:ascii="Gill Sans MT" w:hAnsi="Gill Sans MT"/>
        </w:rPr>
        <w:t xml:space="preserve">Hmelo-Silver, C&gt;E&gt;, Duncan, R.G., Chinn, C.A., 2007, Scaffolding and achievement in problem-based and inquiry learning: a response to Kirschner, Sweller and Clark, </w:t>
      </w:r>
      <w:r>
        <w:rPr>
          <w:rFonts w:ascii="Gill Sans MT" w:hAnsi="Gill Sans MT"/>
          <w:i/>
        </w:rPr>
        <w:t>Educational Psychologist</w:t>
      </w:r>
      <w:r>
        <w:rPr>
          <w:rFonts w:ascii="Gill Sans MT" w:hAnsi="Gill Sans MT"/>
        </w:rPr>
        <w:t>, 42(2), 99-107.</w:t>
      </w:r>
    </w:p>
    <w:p w14:paraId="5F2AF05F" w14:textId="77777777" w:rsidR="008816CD" w:rsidRDefault="008816CD" w:rsidP="008816CD">
      <w:pPr>
        <w:spacing w:after="0"/>
        <w:rPr>
          <w:rFonts w:ascii="Gill Sans MT" w:hAnsi="Gill Sans MT"/>
        </w:rPr>
      </w:pPr>
      <w:r w:rsidRPr="00133CC2">
        <w:rPr>
          <w:rFonts w:ascii="Gill Sans MT" w:hAnsi="Gill Sans MT"/>
        </w:rPr>
        <w:t xml:space="preserve">Ho, A., 2004, To be labelled, or not to be labelled: that is the question, British Journal of </w:t>
      </w:r>
      <w:r w:rsidRPr="00133CC2">
        <w:rPr>
          <w:rFonts w:ascii="Gill Sans MT" w:hAnsi="Gill Sans MT"/>
          <w:i/>
        </w:rPr>
        <w:t>Learning Disabilities</w:t>
      </w:r>
      <w:r w:rsidRPr="00133CC2">
        <w:rPr>
          <w:rFonts w:ascii="Gill Sans MT" w:hAnsi="Gill Sans MT"/>
        </w:rPr>
        <w:t>, 32(2), 86-92.</w:t>
      </w:r>
    </w:p>
    <w:p w14:paraId="0D54648D" w14:textId="77777777" w:rsidR="008816CD" w:rsidRPr="00185900" w:rsidRDefault="008816CD" w:rsidP="008816CD">
      <w:pPr>
        <w:spacing w:after="0"/>
        <w:rPr>
          <w:rFonts w:ascii="Gill Sans MT" w:hAnsi="Gill Sans MT"/>
        </w:rPr>
      </w:pPr>
      <w:r>
        <w:rPr>
          <w:rFonts w:ascii="Gill Sans MT" w:hAnsi="Gill Sans MT"/>
        </w:rPr>
        <w:t xml:space="preserve">Hogan, T.P., Catts, H.W., Little, T.D., 2005, The relationship between phonological awareness and reading, </w:t>
      </w:r>
      <w:r>
        <w:rPr>
          <w:rFonts w:ascii="Gill Sans MT" w:hAnsi="Gill Sans MT"/>
          <w:i/>
        </w:rPr>
        <w:t>Language, Speech and Hearing Services in Schools</w:t>
      </w:r>
      <w:r>
        <w:rPr>
          <w:rFonts w:ascii="Gill Sans MT" w:hAnsi="Gill Sans MT"/>
        </w:rPr>
        <w:t>, 36(4), 285-293.</w:t>
      </w:r>
    </w:p>
    <w:p w14:paraId="79A2283F" w14:textId="77777777" w:rsidR="008816CD" w:rsidRPr="00133CC2" w:rsidRDefault="008816CD" w:rsidP="008816CD">
      <w:pPr>
        <w:spacing w:after="0"/>
        <w:rPr>
          <w:rFonts w:ascii="Gill Sans MT" w:hAnsi="Gill Sans MT"/>
        </w:rPr>
      </w:pPr>
      <w:r w:rsidRPr="00133CC2">
        <w:rPr>
          <w:rFonts w:ascii="Gill Sans MT" w:hAnsi="Gill Sans MT"/>
        </w:rPr>
        <w:t xml:space="preserve">Honicke, T., Broadbent, J., 2016, The relation of academic self-efficacy to university student performance, </w:t>
      </w:r>
      <w:r w:rsidRPr="00133CC2">
        <w:rPr>
          <w:rFonts w:ascii="Gill Sans MT" w:hAnsi="Gill Sans MT"/>
          <w:i/>
        </w:rPr>
        <w:t>Educational Research Review</w:t>
      </w:r>
      <w:r w:rsidRPr="00133CC2">
        <w:rPr>
          <w:rFonts w:ascii="Gill Sans MT" w:hAnsi="Gill Sans MT"/>
        </w:rPr>
        <w:t>, 17, 63-84.</w:t>
      </w:r>
    </w:p>
    <w:p w14:paraId="5CEEED79" w14:textId="1F19DB70" w:rsidR="008816CD" w:rsidRDefault="008816CD" w:rsidP="008816CD">
      <w:pPr>
        <w:spacing w:after="0"/>
        <w:rPr>
          <w:rFonts w:ascii="Gill Sans MT" w:hAnsi="Gill Sans MT"/>
        </w:rPr>
      </w:pPr>
      <w:r w:rsidRPr="00133CC2">
        <w:rPr>
          <w:rFonts w:ascii="Gill Sans MT" w:hAnsi="Gill Sans MT"/>
        </w:rPr>
        <w:t xml:space="preserve">Hooper, D., Couglan, J., Mullen, M.R., 2008, Structural equation modelling: guidelines for determining model fit, </w:t>
      </w:r>
      <w:r w:rsidRPr="00133CC2">
        <w:rPr>
          <w:rFonts w:ascii="Gill Sans MT" w:hAnsi="Gill Sans MT"/>
          <w:i/>
        </w:rPr>
        <w:t>Library Articles Series</w:t>
      </w:r>
      <w:r w:rsidRPr="00133CC2">
        <w:rPr>
          <w:rFonts w:ascii="Gill Sans MT" w:hAnsi="Gill Sans MT"/>
        </w:rPr>
        <w:t xml:space="preserve">, Dublin Institute of Technology. </w:t>
      </w:r>
    </w:p>
    <w:p w14:paraId="3E04125B" w14:textId="4D94155E" w:rsidR="00F5076F" w:rsidRPr="00F5076F" w:rsidRDefault="00F5076F" w:rsidP="008816CD">
      <w:pPr>
        <w:spacing w:after="0"/>
        <w:rPr>
          <w:rFonts w:ascii="Gill Sans MT" w:hAnsi="Gill Sans MT"/>
        </w:rPr>
      </w:pPr>
      <w:r>
        <w:rPr>
          <w:rFonts w:ascii="Gill Sans MT" w:hAnsi="Gill Sans MT"/>
        </w:rPr>
        <w:t xml:space="preserve">Horn, J.L., Engstrom, R., 1979, Cattell's scree test in relation to Bartlett's chi-square test and other observations on the number of factors problem, </w:t>
      </w:r>
      <w:r>
        <w:rPr>
          <w:rFonts w:ascii="Gill Sans MT" w:hAnsi="Gill Sans MT"/>
          <w:i/>
          <w:iCs/>
        </w:rPr>
        <w:t>Multivariate Behavioral Research</w:t>
      </w:r>
      <w:r>
        <w:rPr>
          <w:rFonts w:ascii="Gill Sans MT" w:hAnsi="Gill Sans MT"/>
        </w:rPr>
        <w:t>, 14(3), 283-300.</w:t>
      </w:r>
    </w:p>
    <w:p w14:paraId="55192D12" w14:textId="77777777" w:rsidR="008816CD" w:rsidRPr="00133CC2" w:rsidRDefault="008816CD" w:rsidP="008816CD">
      <w:pPr>
        <w:spacing w:after="0"/>
        <w:rPr>
          <w:rFonts w:ascii="Gill Sans MT" w:hAnsi="Gill Sans MT"/>
        </w:rPr>
      </w:pPr>
      <w:r w:rsidRPr="00133CC2">
        <w:rPr>
          <w:rFonts w:ascii="Gill Sans MT" w:hAnsi="Gill Sans MT"/>
        </w:rPr>
        <w:t xml:space="preserve">Hornstra, L., Denessen, E., Bakker, J., van den Bergh, L., Voeton, M., 2010, Teacher attitudes toward dyslexia: Effects on teacher expectations and the academic achievement of students with dyslexia, </w:t>
      </w:r>
      <w:r w:rsidRPr="00133CC2">
        <w:rPr>
          <w:rFonts w:ascii="Gill Sans MT" w:hAnsi="Gill Sans MT"/>
          <w:i/>
        </w:rPr>
        <w:t>Journal of Learning Disabilities</w:t>
      </w:r>
      <w:r w:rsidRPr="00133CC2">
        <w:rPr>
          <w:rFonts w:ascii="Gill Sans MT" w:hAnsi="Gill Sans MT"/>
        </w:rPr>
        <w:t>, 43(6), 515-529.</w:t>
      </w:r>
    </w:p>
    <w:p w14:paraId="41E2FDE1" w14:textId="77777777" w:rsidR="008816CD" w:rsidRPr="00133CC2" w:rsidRDefault="008816CD" w:rsidP="008816CD">
      <w:pPr>
        <w:spacing w:after="0"/>
        <w:rPr>
          <w:rFonts w:ascii="Gill Sans MT" w:hAnsi="Gill Sans MT"/>
        </w:rPr>
      </w:pPr>
      <w:r w:rsidRPr="00133CC2">
        <w:rPr>
          <w:rFonts w:ascii="Gill Sans MT" w:hAnsi="Gill Sans MT"/>
        </w:rPr>
        <w:t xml:space="preserve">Hoy, W.K., Tarter, C.J., Hoy, A.W., 2006, Academic optimism of schools: A force for student achievement, </w:t>
      </w:r>
      <w:r w:rsidRPr="00133CC2">
        <w:rPr>
          <w:rFonts w:ascii="Gill Sans MT" w:hAnsi="Gill Sans MT"/>
          <w:i/>
        </w:rPr>
        <w:t>American Journal of Educational Research</w:t>
      </w:r>
      <w:r w:rsidRPr="00133CC2">
        <w:rPr>
          <w:rFonts w:ascii="Gill Sans MT" w:hAnsi="Gill Sans MT"/>
        </w:rPr>
        <w:t>, 43(3), 425-446.</w:t>
      </w:r>
    </w:p>
    <w:p w14:paraId="3C32819F" w14:textId="6688E077" w:rsidR="008816CD" w:rsidRDefault="008816CD" w:rsidP="008816CD">
      <w:pPr>
        <w:spacing w:after="0"/>
        <w:rPr>
          <w:rFonts w:ascii="Gill Sans MT" w:hAnsi="Gill Sans MT"/>
        </w:rPr>
      </w:pPr>
      <w:r w:rsidRPr="00133CC2">
        <w:rPr>
          <w:rFonts w:ascii="Gill Sans MT" w:hAnsi="Gill Sans MT"/>
        </w:rPr>
        <w:t xml:space="preserve">Hughes, J., 2010, </w:t>
      </w:r>
      <w:r w:rsidRPr="00133CC2">
        <w:rPr>
          <w:rFonts w:ascii="Gill Sans MT" w:hAnsi="Gill Sans MT"/>
          <w:i/>
        </w:rPr>
        <w:t>Defining disability in an age of enhancement</w:t>
      </w:r>
      <w:r w:rsidRPr="00133CC2">
        <w:rPr>
          <w:rFonts w:ascii="Gill Sans MT" w:hAnsi="Gill Sans MT"/>
        </w:rPr>
        <w:t>, Available at: http://www.ieet.org/index.php/IEET/more/3981, accessed on: 05 October 2017.</w:t>
      </w:r>
    </w:p>
    <w:p w14:paraId="2C182699" w14:textId="0D58ECE6" w:rsidR="004C05DC" w:rsidRPr="004C05DC" w:rsidRDefault="004C05DC" w:rsidP="008816CD">
      <w:pPr>
        <w:spacing w:after="0"/>
        <w:rPr>
          <w:rFonts w:ascii="Gill Sans MT" w:hAnsi="Gill Sans MT"/>
        </w:rPr>
      </w:pPr>
      <w:r>
        <w:rPr>
          <w:rFonts w:ascii="Gill Sans MT" w:hAnsi="Gill Sans MT"/>
        </w:rPr>
        <w:t>Hummel, S., 2000, Developing communication skills of secondary students with specifi</w:t>
      </w:r>
      <w:r w:rsidR="00B969C7">
        <w:rPr>
          <w:rFonts w:ascii="Gill Sans MT" w:hAnsi="Gill Sans MT"/>
        </w:rPr>
        <w:t>c</w:t>
      </w:r>
      <w:r>
        <w:rPr>
          <w:rFonts w:ascii="Gill Sans MT" w:hAnsi="Gill Sans MT"/>
        </w:rPr>
        <w:t xml:space="preserve"> learning difficulties, </w:t>
      </w:r>
      <w:r>
        <w:rPr>
          <w:rFonts w:ascii="Gill Sans MT" w:hAnsi="Gill Sans MT"/>
          <w:i/>
          <w:iCs/>
        </w:rPr>
        <w:t>Australian Journal of Learning Disabilities</w:t>
      </w:r>
      <w:r>
        <w:rPr>
          <w:rFonts w:ascii="Gill Sans MT" w:hAnsi="Gill Sans MT"/>
        </w:rPr>
        <w:t>, 5(4), 22-27.</w:t>
      </w:r>
    </w:p>
    <w:p w14:paraId="78A38547" w14:textId="77777777" w:rsidR="008816CD" w:rsidRPr="00133CC2" w:rsidRDefault="008816CD" w:rsidP="008816CD">
      <w:pPr>
        <w:spacing w:after="0"/>
        <w:rPr>
          <w:rFonts w:ascii="Gill Sans MT" w:hAnsi="Gill Sans MT"/>
        </w:rPr>
      </w:pPr>
      <w:r w:rsidRPr="00133CC2">
        <w:rPr>
          <w:rFonts w:ascii="Gill Sans MT" w:hAnsi="Gill Sans MT"/>
        </w:rPr>
        <w:lastRenderedPageBreak/>
        <w:t xml:space="preserve">Humphrey, N., 2002, Teacher and pupil ratings of self-esteem in developmental dyslexia, </w:t>
      </w:r>
      <w:r w:rsidRPr="00133CC2">
        <w:rPr>
          <w:rFonts w:ascii="Gill Sans MT" w:hAnsi="Gill Sans MT"/>
          <w:i/>
        </w:rPr>
        <w:t>British Journal of Special Education</w:t>
      </w:r>
      <w:r w:rsidRPr="00133CC2">
        <w:rPr>
          <w:rFonts w:ascii="Gill Sans MT" w:hAnsi="Gill Sans MT"/>
        </w:rPr>
        <w:t>, 29(1), 29-36.</w:t>
      </w:r>
    </w:p>
    <w:p w14:paraId="343CF0CD" w14:textId="2784E469" w:rsidR="008816CD" w:rsidRPr="00133CC2" w:rsidRDefault="008816CD" w:rsidP="008816CD">
      <w:pPr>
        <w:spacing w:after="0"/>
        <w:rPr>
          <w:rFonts w:ascii="Gill Sans MT" w:hAnsi="Gill Sans MT"/>
        </w:rPr>
      </w:pPr>
      <w:r w:rsidRPr="00133CC2">
        <w:rPr>
          <w:rFonts w:ascii="Gill Sans MT" w:hAnsi="Gill Sans MT"/>
        </w:rPr>
        <w:t>Humphrey, N., Mullins, P.M., 2002, Personal constructs and attribution fo</w:t>
      </w:r>
      <w:r w:rsidR="00B969C7">
        <w:rPr>
          <w:rFonts w:ascii="Gill Sans MT" w:hAnsi="Gill Sans MT"/>
        </w:rPr>
        <w:t>r</w:t>
      </w:r>
      <w:r w:rsidRPr="00133CC2">
        <w:rPr>
          <w:rFonts w:ascii="Gill Sans MT" w:hAnsi="Gill Sans MT"/>
        </w:rPr>
        <w:t xml:space="preserve"> academic success and failure in dyslexia, </w:t>
      </w:r>
      <w:r w:rsidRPr="00133CC2">
        <w:rPr>
          <w:rFonts w:ascii="Gill Sans MT" w:hAnsi="Gill Sans MT"/>
          <w:i/>
        </w:rPr>
        <w:t>British Journal of Special Education</w:t>
      </w:r>
      <w:r w:rsidRPr="00133CC2">
        <w:rPr>
          <w:rFonts w:ascii="Gill Sans MT" w:hAnsi="Gill Sans MT"/>
        </w:rPr>
        <w:t>, 29(4), 196-203.</w:t>
      </w:r>
    </w:p>
    <w:p w14:paraId="20EEB3A1" w14:textId="77777777" w:rsidR="008816CD" w:rsidRPr="00133CC2" w:rsidRDefault="008816CD" w:rsidP="008816CD">
      <w:pPr>
        <w:spacing w:after="0"/>
        <w:rPr>
          <w:rFonts w:ascii="Gill Sans MT" w:hAnsi="Gill Sans MT"/>
        </w:rPr>
      </w:pPr>
      <w:r w:rsidRPr="00133CC2">
        <w:rPr>
          <w:rFonts w:ascii="Gill Sans MT" w:hAnsi="Gill Sans MT"/>
        </w:rPr>
        <w:t xml:space="preserve">Hurwitz, J.T., Elliott, S.N., Braden, J.P., 2007, The influence of test familiarity and student disability status upon teachers' judgements of students' test performance, School </w:t>
      </w:r>
      <w:r w:rsidRPr="00133CC2">
        <w:rPr>
          <w:rFonts w:ascii="Gill Sans MT" w:hAnsi="Gill Sans MT"/>
          <w:i/>
        </w:rPr>
        <w:t>Psychology Quarterly</w:t>
      </w:r>
      <w:r w:rsidRPr="00133CC2">
        <w:rPr>
          <w:rFonts w:ascii="Gill Sans MT" w:hAnsi="Gill Sans MT"/>
        </w:rPr>
        <w:t>, 22(2), 115-144.</w:t>
      </w:r>
    </w:p>
    <w:p w14:paraId="006DE216" w14:textId="3465FF2B" w:rsidR="008816CD" w:rsidRDefault="008816CD" w:rsidP="008816CD">
      <w:pPr>
        <w:spacing w:after="0"/>
        <w:rPr>
          <w:rFonts w:ascii="Gill Sans MT" w:hAnsi="Gill Sans MT"/>
        </w:rPr>
      </w:pPr>
      <w:r w:rsidRPr="00133CC2">
        <w:rPr>
          <w:rFonts w:ascii="Gill Sans MT" w:hAnsi="Gill Sans MT"/>
        </w:rPr>
        <w:t xml:space="preserve">Hutchison, M.A., Follman, D.K., Sumpter, M., Bodner, G.M., 2006, Factors influencing the self-efficacy beliefs of first-year engineering students, </w:t>
      </w:r>
      <w:r w:rsidRPr="00133CC2">
        <w:rPr>
          <w:rFonts w:ascii="Gill Sans MT" w:hAnsi="Gill Sans MT"/>
          <w:i/>
        </w:rPr>
        <w:t>Journal of Engineering Education</w:t>
      </w:r>
      <w:r w:rsidRPr="00133CC2">
        <w:rPr>
          <w:rFonts w:ascii="Gill Sans MT" w:hAnsi="Gill Sans MT"/>
        </w:rPr>
        <w:t>, 18(1), 39-47.</w:t>
      </w:r>
    </w:p>
    <w:p w14:paraId="47FAE432" w14:textId="02AEF77B" w:rsidR="00B969C7" w:rsidRPr="00B969C7" w:rsidRDefault="00B969C7" w:rsidP="008816CD">
      <w:pPr>
        <w:spacing w:after="0"/>
        <w:rPr>
          <w:rFonts w:ascii="Gill Sans MT" w:hAnsi="Gill Sans MT"/>
        </w:rPr>
      </w:pPr>
      <w:r>
        <w:rPr>
          <w:rFonts w:ascii="Gill Sans MT" w:hAnsi="Gill Sans MT"/>
        </w:rPr>
        <w:t xml:space="preserve">Hutchinson, S.R., Bandalos, D.L., 1997, A guide to Monte Carlo simulation research for applied researchers, </w:t>
      </w:r>
      <w:r>
        <w:rPr>
          <w:rFonts w:ascii="Gill Sans MT" w:hAnsi="Gill Sans MT"/>
          <w:i/>
          <w:iCs/>
        </w:rPr>
        <w:t>Journal of Vocational Education research</w:t>
      </w:r>
      <w:r>
        <w:rPr>
          <w:rFonts w:ascii="Gill Sans MT" w:hAnsi="Gill Sans MT"/>
        </w:rPr>
        <w:t>, 22(4), 233-245.</w:t>
      </w:r>
    </w:p>
    <w:p w14:paraId="12871B1F" w14:textId="77777777" w:rsidR="008816CD" w:rsidRDefault="008816CD" w:rsidP="008816CD">
      <w:pPr>
        <w:spacing w:after="0"/>
        <w:rPr>
          <w:rFonts w:ascii="Gill Sans MT" w:hAnsi="Gill Sans MT"/>
        </w:rPr>
      </w:pPr>
      <w:r w:rsidRPr="00133CC2">
        <w:rPr>
          <w:rFonts w:ascii="Gill Sans MT" w:hAnsi="Gill Sans MT"/>
        </w:rPr>
        <w:t xml:space="preserve">Iannotti, R.J., Schneider, S., Nansel, T.R., Haynie, D.L., Plotnick, L.P., Clark, L.M., Sobel, D.O., Simons-Morton, B., 2006, Self-efficacy, outcome expectations and diabetes self-management in adolescents with Type I diabetes, </w:t>
      </w:r>
      <w:r w:rsidRPr="00133CC2">
        <w:rPr>
          <w:rFonts w:ascii="Gill Sans MT" w:hAnsi="Gill Sans MT"/>
          <w:i/>
        </w:rPr>
        <w:t>Journal of Developmental &amp; Behavioral Paediatrics</w:t>
      </w:r>
      <w:r w:rsidRPr="00133CC2">
        <w:rPr>
          <w:rFonts w:ascii="Gill Sans MT" w:hAnsi="Gill Sans MT"/>
        </w:rPr>
        <w:t>, 27(2), 98-105.</w:t>
      </w:r>
    </w:p>
    <w:p w14:paraId="64281F6B" w14:textId="77777777" w:rsidR="008816CD" w:rsidRDefault="008816CD" w:rsidP="008816CD">
      <w:pPr>
        <w:spacing w:after="0"/>
        <w:rPr>
          <w:rFonts w:ascii="Gill Sans MT" w:hAnsi="Gill Sans MT"/>
        </w:rPr>
      </w:pPr>
      <w:r>
        <w:rPr>
          <w:rFonts w:ascii="Gill Sans MT" w:hAnsi="Gill Sans MT"/>
        </w:rPr>
        <w:t xml:space="preserve">IBM Corp, Released 2016, </w:t>
      </w:r>
      <w:r w:rsidRPr="00C26847">
        <w:rPr>
          <w:rFonts w:ascii="Gill Sans MT" w:hAnsi="Gill Sans MT"/>
          <w:i/>
        </w:rPr>
        <w:t>IBM SPSS Statistics for Windows, Version 24</w:t>
      </w:r>
      <w:r>
        <w:rPr>
          <w:rFonts w:ascii="Gill Sans MT" w:hAnsi="Gill Sans MT"/>
        </w:rPr>
        <w:t>, Armonk, NY, IBM Corp.</w:t>
      </w:r>
    </w:p>
    <w:p w14:paraId="724A4930" w14:textId="77777777" w:rsidR="008816CD" w:rsidRPr="004B5A3E" w:rsidRDefault="008816CD" w:rsidP="008816CD">
      <w:pPr>
        <w:spacing w:after="0"/>
        <w:rPr>
          <w:rFonts w:ascii="Gill Sans MT" w:hAnsi="Gill Sans MT"/>
        </w:rPr>
      </w:pPr>
      <w:r w:rsidRPr="004B5A3E">
        <w:rPr>
          <w:rFonts w:ascii="Gill Sans MT" w:hAnsi="Gill Sans MT"/>
        </w:rPr>
        <w:t>Illingworth, K., 2005, The effects of dyslexia on the work of nurses and healthcare assistants</w:t>
      </w:r>
      <w:r w:rsidRPr="004B5A3E">
        <w:rPr>
          <w:rFonts w:ascii="Gill Sans MT" w:hAnsi="Gill Sans MT"/>
          <w:i/>
          <w:iCs/>
        </w:rPr>
        <w:t>, Nursing Standard</w:t>
      </w:r>
      <w:r w:rsidRPr="004B5A3E">
        <w:rPr>
          <w:rFonts w:ascii="Gill Sans MT" w:hAnsi="Gill Sans MT"/>
        </w:rPr>
        <w:t>, 19(38), 41-48.</w:t>
      </w:r>
    </w:p>
    <w:p w14:paraId="26E69B98" w14:textId="77777777" w:rsidR="008816CD" w:rsidRPr="00AF610F" w:rsidRDefault="008816CD" w:rsidP="008816CD">
      <w:pPr>
        <w:spacing w:after="0"/>
        <w:rPr>
          <w:rFonts w:ascii="Gill Sans MT" w:hAnsi="Gill Sans MT"/>
        </w:rPr>
      </w:pPr>
      <w:r>
        <w:rPr>
          <w:rFonts w:ascii="Gill Sans MT" w:hAnsi="Gill Sans MT"/>
        </w:rPr>
        <w:t xml:space="preserve">Inspiration Software Inc., 2018, </w:t>
      </w:r>
      <w:r>
        <w:rPr>
          <w:rFonts w:ascii="Gill Sans MT" w:hAnsi="Gill Sans MT"/>
          <w:i/>
        </w:rPr>
        <w:t>Inspiration 9</w:t>
      </w:r>
      <w:r>
        <w:rPr>
          <w:rFonts w:ascii="Gill Sans MT" w:hAnsi="Gill Sans MT"/>
        </w:rPr>
        <w:t xml:space="preserve">, Available at: </w:t>
      </w:r>
      <w:hyperlink r:id="rId63" w:history="1">
        <w:r w:rsidRPr="00FC3F7A">
          <w:rPr>
            <w:rStyle w:val="Hyperlink"/>
            <w:rFonts w:ascii="Gill Sans MT" w:hAnsi="Gill Sans MT"/>
          </w:rPr>
          <w:t>http://www.inspiration.com/Inspiration</w:t>
        </w:r>
      </w:hyperlink>
      <w:r>
        <w:rPr>
          <w:rFonts w:ascii="Gill Sans MT" w:hAnsi="Gill Sans MT"/>
        </w:rPr>
        <w:t>, Accessed on: 19</w:t>
      </w:r>
      <w:r w:rsidRPr="00AF610F">
        <w:rPr>
          <w:rFonts w:ascii="Gill Sans MT" w:hAnsi="Gill Sans MT"/>
          <w:vertAlign w:val="superscript"/>
        </w:rPr>
        <w:t>t</w:t>
      </w:r>
      <w:r>
        <w:rPr>
          <w:rFonts w:ascii="Gill Sans MT" w:hAnsi="Gill Sans MT"/>
          <w:vertAlign w:val="superscript"/>
        </w:rPr>
        <w:t xml:space="preserve">h </w:t>
      </w:r>
      <w:r>
        <w:rPr>
          <w:rFonts w:ascii="Gill Sans MT" w:hAnsi="Gill Sans MT"/>
        </w:rPr>
        <w:t>July 2018.</w:t>
      </w:r>
    </w:p>
    <w:p w14:paraId="77EBD215" w14:textId="77777777" w:rsidR="008816CD" w:rsidRPr="00133CC2" w:rsidRDefault="008816CD" w:rsidP="008816CD">
      <w:pPr>
        <w:spacing w:after="0"/>
        <w:rPr>
          <w:rFonts w:ascii="Gill Sans MT" w:hAnsi="Gill Sans MT"/>
        </w:rPr>
      </w:pPr>
      <w:r w:rsidRPr="00C24BCA">
        <w:rPr>
          <w:rFonts w:ascii="Gill Sans MT" w:hAnsi="Gill Sans MT"/>
        </w:rPr>
        <w:t xml:space="preserve">Irlen, H., Lass, M.J., 1989, Improving reading problems due to symptoms of scotopic sensitivity syndrome using Irlen lenses and overlays, </w:t>
      </w:r>
      <w:r w:rsidRPr="00340E25">
        <w:rPr>
          <w:rFonts w:ascii="Gill Sans MT" w:hAnsi="Gill Sans MT"/>
          <w:i/>
        </w:rPr>
        <w:t>Education</w:t>
      </w:r>
      <w:r w:rsidRPr="00C24BCA">
        <w:rPr>
          <w:rFonts w:ascii="Gill Sans MT" w:hAnsi="Gill Sans MT"/>
        </w:rPr>
        <w:t>, 109(4), 413-417.</w:t>
      </w:r>
    </w:p>
    <w:p w14:paraId="2CE774DA" w14:textId="77777777" w:rsidR="008816CD" w:rsidRPr="00133CC2" w:rsidRDefault="008816CD" w:rsidP="008816CD">
      <w:pPr>
        <w:spacing w:after="0"/>
        <w:rPr>
          <w:rFonts w:ascii="Gill Sans MT" w:hAnsi="Gill Sans MT"/>
        </w:rPr>
      </w:pPr>
      <w:r w:rsidRPr="00133CC2">
        <w:rPr>
          <w:rFonts w:ascii="Gill Sans MT" w:hAnsi="Gill Sans MT"/>
        </w:rPr>
        <w:t xml:space="preserve">Irvine, N., Carmichael, 2009, Threshold concepts: A point of focus for practitioners, </w:t>
      </w:r>
      <w:r w:rsidRPr="00133CC2">
        <w:rPr>
          <w:rFonts w:ascii="Gill Sans MT" w:hAnsi="Gill Sans MT"/>
          <w:i/>
        </w:rPr>
        <w:t>Active Learning in Higher Education</w:t>
      </w:r>
      <w:r w:rsidRPr="00133CC2">
        <w:rPr>
          <w:rFonts w:ascii="Gill Sans MT" w:hAnsi="Gill Sans MT"/>
        </w:rPr>
        <w:t>, 10(2), 103-119.</w:t>
      </w:r>
    </w:p>
    <w:p w14:paraId="467AA789" w14:textId="77777777" w:rsidR="008816CD" w:rsidRPr="00133CC2" w:rsidRDefault="008816CD" w:rsidP="008816CD">
      <w:pPr>
        <w:spacing w:after="0"/>
        <w:rPr>
          <w:rFonts w:ascii="Gill Sans MT" w:hAnsi="Gill Sans MT"/>
        </w:rPr>
      </w:pPr>
      <w:r w:rsidRPr="00133CC2">
        <w:rPr>
          <w:rFonts w:ascii="Gill Sans MT" w:hAnsi="Gill Sans MT"/>
        </w:rPr>
        <w:t xml:space="preserve">Jacklin, A., Robinson, C., O'Meara, L., Harris, A., 2007, </w:t>
      </w:r>
      <w:r w:rsidRPr="00133CC2">
        <w:rPr>
          <w:rFonts w:ascii="Gill Sans MT" w:hAnsi="Gill Sans MT"/>
          <w:i/>
        </w:rPr>
        <w:t>Improving the experiences of disabled students in higher education</w:t>
      </w:r>
      <w:r w:rsidRPr="00133CC2">
        <w:rPr>
          <w:rFonts w:ascii="Gill Sans MT" w:hAnsi="Gill Sans MT"/>
        </w:rPr>
        <w:t>, University of Sussex, Higher Education Academy.</w:t>
      </w:r>
    </w:p>
    <w:p w14:paraId="24D523EE" w14:textId="77777777" w:rsidR="000C0B22" w:rsidRDefault="008816CD" w:rsidP="008816CD">
      <w:pPr>
        <w:spacing w:after="0"/>
        <w:rPr>
          <w:rFonts w:ascii="Gill Sans MT" w:hAnsi="Gill Sans MT"/>
        </w:rPr>
      </w:pPr>
      <w:r w:rsidRPr="00133CC2">
        <w:rPr>
          <w:rFonts w:ascii="Gill Sans MT" w:hAnsi="Gill Sans MT"/>
        </w:rPr>
        <w:t xml:space="preserve">Jamieson, S., 2004, Likert scales: how to (ab)use them, </w:t>
      </w:r>
      <w:r w:rsidRPr="00133CC2">
        <w:rPr>
          <w:rFonts w:ascii="Gill Sans MT" w:hAnsi="Gill Sans MT"/>
          <w:i/>
        </w:rPr>
        <w:t>Medical Education</w:t>
      </w:r>
      <w:r w:rsidRPr="00133CC2">
        <w:rPr>
          <w:rFonts w:ascii="Gill Sans MT" w:hAnsi="Gill Sans MT"/>
        </w:rPr>
        <w:t>, 38(12), 1212-1218.</w:t>
      </w:r>
    </w:p>
    <w:p w14:paraId="6A7A1287" w14:textId="33C17341" w:rsidR="008816CD" w:rsidRDefault="000C0B22" w:rsidP="008816CD">
      <w:pPr>
        <w:spacing w:after="0"/>
        <w:rPr>
          <w:rFonts w:ascii="Gill Sans MT" w:hAnsi="Gill Sans MT"/>
        </w:rPr>
      </w:pPr>
      <w:r>
        <w:rPr>
          <w:rFonts w:ascii="Gill Sans MT" w:hAnsi="Gill Sans MT"/>
        </w:rPr>
        <w:t xml:space="preserve">Jamieson, C., Morgan, E., 2008, </w:t>
      </w:r>
      <w:r>
        <w:rPr>
          <w:rFonts w:ascii="Gill Sans MT" w:hAnsi="Gill Sans MT"/>
          <w:i/>
          <w:iCs/>
        </w:rPr>
        <w:t>Managing dyslexia at university</w:t>
      </w:r>
      <w:r>
        <w:rPr>
          <w:rFonts w:ascii="Gill Sans MT" w:hAnsi="Gill Sans MT"/>
        </w:rPr>
        <w:t>, London, Routledge.</w:t>
      </w:r>
      <w:r w:rsidR="008816CD" w:rsidRPr="00133CC2">
        <w:rPr>
          <w:rFonts w:ascii="Gill Sans MT" w:hAnsi="Gill Sans MT"/>
        </w:rPr>
        <w:t xml:space="preserve"> </w:t>
      </w:r>
    </w:p>
    <w:p w14:paraId="6825A420" w14:textId="77777777" w:rsidR="008816CD" w:rsidRPr="00133CC2" w:rsidRDefault="008816CD" w:rsidP="008816CD">
      <w:pPr>
        <w:spacing w:after="0"/>
        <w:rPr>
          <w:rFonts w:ascii="Gill Sans MT" w:hAnsi="Gill Sans MT"/>
        </w:rPr>
      </w:pPr>
      <w:r w:rsidRPr="009015A1">
        <w:rPr>
          <w:rFonts w:ascii="Gill Sans MT" w:hAnsi="Gill Sans MT"/>
        </w:rPr>
        <w:t xml:space="preserve">Jeffries, S., Everatt, J., 2004, Working memory: its role in dyslexia and other specific learning difficulties, </w:t>
      </w:r>
      <w:r w:rsidRPr="009015A1">
        <w:rPr>
          <w:rFonts w:ascii="Gill Sans MT" w:hAnsi="Gill Sans MT"/>
          <w:i/>
        </w:rPr>
        <w:t>Dyslexia</w:t>
      </w:r>
      <w:r w:rsidRPr="009015A1">
        <w:rPr>
          <w:rFonts w:ascii="Gill Sans MT" w:hAnsi="Gill Sans MT"/>
        </w:rPr>
        <w:t>, 10(3), 196-214.</w:t>
      </w:r>
    </w:p>
    <w:p w14:paraId="07164CB9" w14:textId="77777777" w:rsidR="008816CD" w:rsidRPr="00133CC2" w:rsidRDefault="008816CD" w:rsidP="008816CD">
      <w:pPr>
        <w:spacing w:after="0"/>
        <w:rPr>
          <w:rFonts w:ascii="Gill Sans MT" w:hAnsi="Gill Sans MT"/>
        </w:rPr>
      </w:pPr>
      <w:r w:rsidRPr="00133CC2">
        <w:rPr>
          <w:rFonts w:ascii="Gill Sans MT" w:hAnsi="Gill Sans MT"/>
        </w:rPr>
        <w:t xml:space="preserve">Jennex, M.E., Smolnik, S., Croasdell, D.T., 2009, Towards a consensus knowledge management success definition, </w:t>
      </w:r>
      <w:r w:rsidRPr="00133CC2">
        <w:rPr>
          <w:rFonts w:ascii="Gill Sans MT" w:hAnsi="Gill Sans MT"/>
          <w:i/>
        </w:rPr>
        <w:t>Vine</w:t>
      </w:r>
      <w:r w:rsidRPr="00133CC2">
        <w:rPr>
          <w:rFonts w:ascii="Gill Sans MT" w:hAnsi="Gill Sans MT"/>
        </w:rPr>
        <w:t>, 39(2), 174-188.</w:t>
      </w:r>
    </w:p>
    <w:p w14:paraId="7D8A1AAA" w14:textId="77777777" w:rsidR="008816CD" w:rsidRDefault="008816CD" w:rsidP="008816CD">
      <w:pPr>
        <w:spacing w:after="0"/>
        <w:rPr>
          <w:rFonts w:ascii="Gill Sans MT" w:hAnsi="Gill Sans MT"/>
        </w:rPr>
      </w:pPr>
      <w:r w:rsidRPr="00133CC2">
        <w:rPr>
          <w:rFonts w:ascii="Gill Sans MT" w:hAnsi="Gill Sans MT"/>
        </w:rPr>
        <w:t xml:space="preserve">Jodrell, D., 2010, Social-identity and self-efficacy concern for disability labels, </w:t>
      </w:r>
      <w:r w:rsidRPr="00133CC2">
        <w:rPr>
          <w:rFonts w:ascii="Gill Sans MT" w:hAnsi="Gill Sans MT"/>
          <w:i/>
        </w:rPr>
        <w:t>Psychology Teaching Review</w:t>
      </w:r>
      <w:r w:rsidRPr="00133CC2">
        <w:rPr>
          <w:rFonts w:ascii="Gill Sans MT" w:hAnsi="Gill Sans MT"/>
        </w:rPr>
        <w:t xml:space="preserve">, 16(2), 111-121. </w:t>
      </w:r>
    </w:p>
    <w:p w14:paraId="362DD435" w14:textId="3F7CDADC" w:rsidR="008816CD" w:rsidRDefault="008816CD" w:rsidP="008816CD">
      <w:pPr>
        <w:spacing w:after="0"/>
        <w:rPr>
          <w:rFonts w:ascii="Gill Sans MT" w:hAnsi="Gill Sans MT"/>
        </w:rPr>
      </w:pPr>
      <w:r>
        <w:rPr>
          <w:rFonts w:ascii="Gill Sans MT" w:hAnsi="Gill Sans MT"/>
        </w:rPr>
        <w:t xml:space="preserve">Johnes, J., 2016, Performance indicators and rankings in higher education, IN: </w:t>
      </w:r>
      <w:r>
        <w:rPr>
          <w:rFonts w:ascii="Gill Sans MT" w:hAnsi="Gill Sans MT"/>
          <w:i/>
        </w:rPr>
        <w:t xml:space="preserve">Valuing Higher Education: An appreciation of the work of Gareth Williams and the Centre for Higher Education Studies, </w:t>
      </w:r>
      <w:r>
        <w:rPr>
          <w:rFonts w:ascii="Gill Sans MT" w:hAnsi="Gill Sans MT"/>
        </w:rPr>
        <w:t>Institute of Education, University College London.</w:t>
      </w:r>
    </w:p>
    <w:p w14:paraId="33E4F899" w14:textId="0D658C03" w:rsidR="005D15E9" w:rsidRDefault="005D15E9" w:rsidP="008816CD">
      <w:pPr>
        <w:spacing w:after="0"/>
        <w:rPr>
          <w:rFonts w:ascii="Gill Sans MT" w:hAnsi="Gill Sans MT"/>
        </w:rPr>
      </w:pPr>
      <w:r>
        <w:rPr>
          <w:rFonts w:ascii="Gill Sans MT" w:hAnsi="Gill Sans MT"/>
        </w:rPr>
        <w:t xml:space="preserve">Johnson, R.B., Onwuegbuzie, A.J., 2004, Mixed Methods Research: A research paradigm whose time has come, </w:t>
      </w:r>
      <w:r>
        <w:rPr>
          <w:rFonts w:ascii="Gill Sans MT" w:hAnsi="Gill Sans MT"/>
          <w:i/>
          <w:iCs/>
        </w:rPr>
        <w:t>Educational Researcher</w:t>
      </w:r>
      <w:r>
        <w:rPr>
          <w:rFonts w:ascii="Gill Sans MT" w:hAnsi="Gill Sans MT"/>
        </w:rPr>
        <w:t>, 33(7), 14-26.</w:t>
      </w:r>
    </w:p>
    <w:p w14:paraId="0BB8FCBA" w14:textId="2BC99077" w:rsidR="005B70E3" w:rsidRPr="005B70E3" w:rsidRDefault="005B70E3" w:rsidP="008816CD">
      <w:pPr>
        <w:spacing w:after="0"/>
        <w:rPr>
          <w:rFonts w:ascii="Gill Sans MT" w:hAnsi="Gill Sans MT"/>
        </w:rPr>
      </w:pPr>
      <w:r>
        <w:rPr>
          <w:rFonts w:ascii="Gill Sans MT" w:hAnsi="Gill Sans MT"/>
        </w:rPr>
        <w:lastRenderedPageBreak/>
        <w:t xml:space="preserve">Johnson, R.B., Onwuegbuzie, A.J., Turner, L.A., 2007, Towards a definition of mixed methods research, </w:t>
      </w:r>
      <w:r>
        <w:rPr>
          <w:rFonts w:ascii="Gill Sans MT" w:hAnsi="Gill Sans MT"/>
          <w:i/>
          <w:iCs/>
        </w:rPr>
        <w:t>Journal of Mixed Methods Research</w:t>
      </w:r>
      <w:r>
        <w:rPr>
          <w:rFonts w:ascii="Gill Sans MT" w:hAnsi="Gill Sans MT"/>
        </w:rPr>
        <w:t>, 1(2), 112-133.</w:t>
      </w:r>
    </w:p>
    <w:p w14:paraId="1732D730" w14:textId="77777777" w:rsidR="008816CD" w:rsidRPr="00A60D71" w:rsidRDefault="008816CD" w:rsidP="008816CD">
      <w:pPr>
        <w:spacing w:after="0"/>
        <w:rPr>
          <w:rFonts w:ascii="Gill Sans MT" w:hAnsi="Gill Sans MT"/>
        </w:rPr>
      </w:pPr>
      <w:r>
        <w:rPr>
          <w:rFonts w:ascii="Gill Sans MT" w:hAnsi="Gill Sans MT"/>
        </w:rPr>
        <w:t xml:space="preserve">Jonker, L., Elferink-Gemser, M.T., Visscher, C., 2011, The role of self-regulatory skills in sport and academic performances of elite youth athletes, </w:t>
      </w:r>
      <w:r>
        <w:rPr>
          <w:rFonts w:ascii="Gill Sans MT" w:hAnsi="Gill Sans MT"/>
          <w:i/>
        </w:rPr>
        <w:t>Talent Development and Excellence</w:t>
      </w:r>
      <w:r>
        <w:rPr>
          <w:rFonts w:ascii="Gill Sans MT" w:hAnsi="Gill Sans MT"/>
        </w:rPr>
        <w:t>, 3(2), 263-275.</w:t>
      </w:r>
    </w:p>
    <w:p w14:paraId="14760F6D" w14:textId="77777777" w:rsidR="008816CD" w:rsidRPr="00133CC2" w:rsidRDefault="008816CD" w:rsidP="008816CD">
      <w:pPr>
        <w:spacing w:after="0"/>
        <w:rPr>
          <w:rFonts w:ascii="Gill Sans MT" w:hAnsi="Gill Sans MT"/>
        </w:rPr>
      </w:pPr>
      <w:r w:rsidRPr="00133CC2">
        <w:rPr>
          <w:rFonts w:ascii="Gill Sans MT" w:hAnsi="Gill Sans MT"/>
        </w:rPr>
        <w:t xml:space="preserve">Jorgenson, L., Singleton, K., Bennett, J., 2013, University design for learning in higher education, </w:t>
      </w:r>
      <w:r w:rsidRPr="00133CC2">
        <w:rPr>
          <w:rFonts w:ascii="Gill Sans MT" w:hAnsi="Gill Sans MT"/>
          <w:i/>
        </w:rPr>
        <w:t>Proceedings of the Innovations in Teaching &amp; Learning Conference September 2013</w:t>
      </w:r>
      <w:r w:rsidRPr="00133CC2">
        <w:rPr>
          <w:rFonts w:ascii="Gill Sans MT" w:hAnsi="Gill Sans MT"/>
        </w:rPr>
        <w:t>, Virginia USA, George Mason University.</w:t>
      </w:r>
    </w:p>
    <w:p w14:paraId="103A8AEA" w14:textId="77777777" w:rsidR="008816CD" w:rsidRDefault="008816CD" w:rsidP="008816CD">
      <w:pPr>
        <w:spacing w:after="0"/>
        <w:rPr>
          <w:rFonts w:ascii="Gill Sans MT" w:hAnsi="Gill Sans MT"/>
        </w:rPr>
      </w:pPr>
      <w:r w:rsidRPr="00133CC2">
        <w:rPr>
          <w:rFonts w:ascii="Gill Sans MT" w:hAnsi="Gill Sans MT"/>
        </w:rPr>
        <w:t xml:space="preserve">Joseph, L.M., Wargelin, L., Ayoub, S., 2016, Preparing school psychologists to effectively provide services to students with dyslexia, </w:t>
      </w:r>
      <w:r w:rsidRPr="00133CC2">
        <w:rPr>
          <w:rFonts w:ascii="Gill Sans MT" w:hAnsi="Gill Sans MT"/>
          <w:i/>
        </w:rPr>
        <w:t>Perspectives on Language and Literacy</w:t>
      </w:r>
      <w:r w:rsidRPr="00133CC2">
        <w:rPr>
          <w:rFonts w:ascii="Gill Sans MT" w:hAnsi="Gill Sans MT"/>
        </w:rPr>
        <w:t xml:space="preserve">, 42(4), 15-24. </w:t>
      </w:r>
    </w:p>
    <w:p w14:paraId="30EFDCF8" w14:textId="77777777" w:rsidR="008816CD" w:rsidRPr="00133CC2" w:rsidRDefault="008816CD" w:rsidP="008816CD">
      <w:pPr>
        <w:spacing w:after="0"/>
        <w:rPr>
          <w:rFonts w:ascii="Gill Sans MT" w:hAnsi="Gill Sans MT"/>
        </w:rPr>
      </w:pPr>
      <w:r w:rsidRPr="00133CC2">
        <w:rPr>
          <w:rFonts w:ascii="Gill Sans MT" w:hAnsi="Gill Sans MT"/>
        </w:rPr>
        <w:t xml:space="preserve">Joseph, N., 2009, Metacognition needed: teaching middle and high school students to develop strategic learning skills, Preventing School Failure: </w:t>
      </w:r>
      <w:r w:rsidRPr="00133CC2">
        <w:rPr>
          <w:rFonts w:ascii="Gill Sans MT" w:hAnsi="Gill Sans MT"/>
          <w:i/>
        </w:rPr>
        <w:t>Alternative Education for Children and Youth</w:t>
      </w:r>
      <w:r w:rsidRPr="00133CC2">
        <w:rPr>
          <w:rFonts w:ascii="Gill Sans MT" w:hAnsi="Gill Sans MT"/>
        </w:rPr>
        <w:t>, 54(2), 99-103.</w:t>
      </w:r>
    </w:p>
    <w:p w14:paraId="7CFCE524" w14:textId="77777777" w:rsidR="008816CD" w:rsidRPr="000A264B" w:rsidRDefault="008816CD" w:rsidP="008816CD">
      <w:pPr>
        <w:spacing w:after="0"/>
        <w:rPr>
          <w:rFonts w:ascii="Gill Sans MT" w:hAnsi="Gill Sans MT"/>
        </w:rPr>
      </w:pPr>
      <w:r>
        <w:rPr>
          <w:rFonts w:ascii="Gill Sans MT" w:hAnsi="Gill Sans MT"/>
        </w:rPr>
        <w:t xml:space="preserve">Juang, L.P., Silbereisen, R.K., 2002, The relationship between adolescent academic capability beliefs, parenting and school grades, </w:t>
      </w:r>
      <w:r>
        <w:rPr>
          <w:rFonts w:ascii="Gill Sans MT" w:hAnsi="Gill Sans MT"/>
          <w:i/>
        </w:rPr>
        <w:t>Journal of Adolescence</w:t>
      </w:r>
      <w:r>
        <w:rPr>
          <w:rFonts w:ascii="Gill Sans MT" w:hAnsi="Gill Sans MT"/>
        </w:rPr>
        <w:t>, 25(1), 3-18.</w:t>
      </w:r>
    </w:p>
    <w:p w14:paraId="0CEF881F" w14:textId="5F780EA3" w:rsidR="008816CD" w:rsidRDefault="008816CD" w:rsidP="008816CD">
      <w:pPr>
        <w:spacing w:after="0"/>
        <w:rPr>
          <w:rFonts w:ascii="Gill Sans MT" w:hAnsi="Gill Sans MT"/>
        </w:rPr>
      </w:pPr>
      <w:r w:rsidRPr="00133CC2">
        <w:rPr>
          <w:rFonts w:ascii="Gill Sans MT" w:hAnsi="Gill Sans MT"/>
        </w:rPr>
        <w:t>Jungert, T., H</w:t>
      </w:r>
      <w:r>
        <w:rPr>
          <w:rFonts w:ascii="Gill Sans MT" w:hAnsi="Gill Sans MT"/>
        </w:rPr>
        <w:t>e</w:t>
      </w:r>
      <w:r w:rsidRPr="00133CC2">
        <w:rPr>
          <w:rFonts w:ascii="Gill Sans MT" w:hAnsi="Gill Sans MT"/>
        </w:rPr>
        <w:t xml:space="preserve">sser, H., Traff, U., 2014, Contrasting two models of academic self-efficacy: domain-specific versus cross-domain in children receiving and not receiving special instruction in mathematics, </w:t>
      </w:r>
      <w:r w:rsidRPr="00133CC2">
        <w:rPr>
          <w:rFonts w:ascii="Gill Sans MT" w:hAnsi="Gill Sans MT"/>
          <w:i/>
        </w:rPr>
        <w:t>Scandinavian Journal of Psychology</w:t>
      </w:r>
      <w:r w:rsidRPr="00133CC2">
        <w:rPr>
          <w:rFonts w:ascii="Gill Sans MT" w:hAnsi="Gill Sans MT"/>
        </w:rPr>
        <w:t>, 55(5), 440-447.</w:t>
      </w:r>
    </w:p>
    <w:p w14:paraId="1BD65B7C" w14:textId="3164264A" w:rsidR="00D128E4" w:rsidRPr="00D128E4" w:rsidRDefault="00D128E4" w:rsidP="008816CD">
      <w:pPr>
        <w:spacing w:after="0"/>
        <w:rPr>
          <w:rFonts w:ascii="Gill Sans MT" w:hAnsi="Gill Sans MT"/>
        </w:rPr>
      </w:pPr>
      <w:r>
        <w:rPr>
          <w:rFonts w:ascii="Gill Sans MT" w:hAnsi="Gill Sans MT"/>
        </w:rPr>
        <w:t xml:space="preserve">Kaiser, H.F., 1966, The application of electronic computers to factor analysis, </w:t>
      </w:r>
      <w:r>
        <w:rPr>
          <w:rFonts w:ascii="Gill Sans MT" w:hAnsi="Gill Sans MT"/>
          <w:i/>
          <w:iCs/>
        </w:rPr>
        <w:t>Educational and Psychological Measurements</w:t>
      </w:r>
      <w:r>
        <w:rPr>
          <w:rFonts w:ascii="Gill Sans MT" w:hAnsi="Gill Sans MT"/>
        </w:rPr>
        <w:t>, 20, 141-151.</w:t>
      </w:r>
    </w:p>
    <w:p w14:paraId="5C45D26B" w14:textId="77777777" w:rsidR="008816CD" w:rsidRPr="00133CC2" w:rsidRDefault="008816CD" w:rsidP="008816CD">
      <w:pPr>
        <w:spacing w:after="0"/>
        <w:rPr>
          <w:rFonts w:ascii="Gill Sans MT" w:hAnsi="Gill Sans MT"/>
        </w:rPr>
      </w:pPr>
      <w:r w:rsidRPr="00133CC2">
        <w:rPr>
          <w:rFonts w:ascii="Gill Sans MT" w:hAnsi="Gill Sans MT"/>
        </w:rPr>
        <w:t xml:space="preserve">Kaiser, H.F., 1974, An index of factorial simplicity, </w:t>
      </w:r>
      <w:r w:rsidRPr="00133CC2">
        <w:rPr>
          <w:rFonts w:ascii="Gill Sans MT" w:hAnsi="Gill Sans MT"/>
          <w:i/>
        </w:rPr>
        <w:t>Psychometrika</w:t>
      </w:r>
      <w:r w:rsidRPr="00133CC2">
        <w:rPr>
          <w:rFonts w:ascii="Gill Sans MT" w:hAnsi="Gill Sans MT"/>
        </w:rPr>
        <w:t>, 39, 32-36.</w:t>
      </w:r>
    </w:p>
    <w:p w14:paraId="7DA645CF" w14:textId="5DABF702" w:rsidR="008816CD" w:rsidRDefault="008816CD" w:rsidP="008816CD">
      <w:pPr>
        <w:spacing w:after="0"/>
        <w:rPr>
          <w:rFonts w:ascii="Gill Sans MT" w:hAnsi="Gill Sans MT"/>
        </w:rPr>
      </w:pPr>
      <w:r w:rsidRPr="00133CC2">
        <w:rPr>
          <w:rFonts w:ascii="Gill Sans MT" w:hAnsi="Gill Sans MT"/>
        </w:rPr>
        <w:t>Ka</w:t>
      </w:r>
      <w:r>
        <w:rPr>
          <w:rFonts w:ascii="Gill Sans MT" w:hAnsi="Gill Sans MT"/>
        </w:rPr>
        <w:t>mo</w:t>
      </w:r>
      <w:r w:rsidRPr="00133CC2">
        <w:rPr>
          <w:rFonts w:ascii="Gill Sans MT" w:hAnsi="Gill Sans MT"/>
        </w:rPr>
        <w:t xml:space="preserve">en, N., Bregje, C.H., van den Bergh, H., 2013, Positive, negative and bipolar questions: the effect of question polarity on ratings of text readability, </w:t>
      </w:r>
      <w:r w:rsidRPr="00133CC2">
        <w:rPr>
          <w:rFonts w:ascii="Gill Sans MT" w:hAnsi="Gill Sans MT"/>
          <w:i/>
        </w:rPr>
        <w:t>Survey Research Methods</w:t>
      </w:r>
      <w:r w:rsidRPr="00133CC2">
        <w:rPr>
          <w:rFonts w:ascii="Gill Sans MT" w:hAnsi="Gill Sans MT"/>
        </w:rPr>
        <w:t>, 7, 181-189.</w:t>
      </w:r>
    </w:p>
    <w:p w14:paraId="292FF799" w14:textId="71B60543" w:rsidR="00CF2EDC" w:rsidRPr="00CF2EDC" w:rsidRDefault="00CF2EDC" w:rsidP="008816CD">
      <w:pPr>
        <w:spacing w:after="0"/>
        <w:rPr>
          <w:rFonts w:ascii="Gill Sans MT" w:hAnsi="Gill Sans MT"/>
        </w:rPr>
      </w:pPr>
      <w:r>
        <w:rPr>
          <w:rFonts w:ascii="Gill Sans MT" w:hAnsi="Gill Sans MT"/>
        </w:rPr>
        <w:t xml:space="preserve">Kanyongo, G.Y., 2005, Determining the number of components to extract from a principal components analysis: A Monte Carlo study of the accuracy of the screen plot, </w:t>
      </w:r>
      <w:r>
        <w:rPr>
          <w:rFonts w:ascii="Gill Sans MT" w:hAnsi="Gill Sans MT"/>
          <w:i/>
          <w:iCs/>
        </w:rPr>
        <w:t>Journal of Modern Applied Statistical Methods</w:t>
      </w:r>
      <w:r>
        <w:rPr>
          <w:rFonts w:ascii="Gill Sans MT" w:hAnsi="Gill Sans MT"/>
        </w:rPr>
        <w:t>, 4(1), 120-133.</w:t>
      </w:r>
    </w:p>
    <w:p w14:paraId="6ED10876" w14:textId="77777777" w:rsidR="008816CD" w:rsidRPr="00133CC2" w:rsidRDefault="008816CD" w:rsidP="008816CD">
      <w:pPr>
        <w:spacing w:after="0"/>
        <w:rPr>
          <w:rFonts w:ascii="Gill Sans MT" w:hAnsi="Gill Sans MT"/>
        </w:rPr>
      </w:pPr>
      <w:r w:rsidRPr="00133CC2">
        <w:rPr>
          <w:rFonts w:ascii="Gill Sans MT" w:hAnsi="Gill Sans MT"/>
        </w:rPr>
        <w:t xml:space="preserve">Kaplowitz, M.D., Lupi, F., Couper, M.P., Thorp, L., 2011, The effect of invitation design on web survey response rates, </w:t>
      </w:r>
      <w:r w:rsidRPr="00133CC2">
        <w:rPr>
          <w:rFonts w:ascii="Gill Sans MT" w:hAnsi="Gill Sans MT"/>
          <w:i/>
        </w:rPr>
        <w:t>Social Science Computer Review</w:t>
      </w:r>
      <w:r w:rsidRPr="00133CC2">
        <w:rPr>
          <w:rFonts w:ascii="Gill Sans MT" w:hAnsi="Gill Sans MT"/>
        </w:rPr>
        <w:t>, 000(00), 1-11.</w:t>
      </w:r>
    </w:p>
    <w:p w14:paraId="643E9738" w14:textId="77777777" w:rsidR="008816CD" w:rsidRPr="00133CC2" w:rsidRDefault="008816CD" w:rsidP="008816CD">
      <w:pPr>
        <w:spacing w:after="0"/>
        <w:rPr>
          <w:rFonts w:ascii="Gill Sans MT" w:hAnsi="Gill Sans MT"/>
        </w:rPr>
      </w:pPr>
      <w:r w:rsidRPr="00133CC2">
        <w:rPr>
          <w:rFonts w:ascii="Gill Sans MT" w:hAnsi="Gill Sans MT"/>
        </w:rPr>
        <w:t xml:space="preserve">Kapoor, A., Picard, R., 2005, Multimodal affect recognition in learning environments, </w:t>
      </w:r>
      <w:r w:rsidRPr="00133CC2">
        <w:rPr>
          <w:rFonts w:ascii="Gill Sans MT" w:hAnsi="Gill Sans MT"/>
          <w:i/>
        </w:rPr>
        <w:t>Proceedings of the 13th Annual ACM International Conference on Multimedia</w:t>
      </w:r>
      <w:r w:rsidRPr="00133CC2">
        <w:rPr>
          <w:rFonts w:ascii="Gill Sans MT" w:hAnsi="Gill Sans MT"/>
        </w:rPr>
        <w:t>, 677-682, Singapore.</w:t>
      </w:r>
    </w:p>
    <w:p w14:paraId="503C1F07" w14:textId="77777777" w:rsidR="008816CD" w:rsidRPr="00133CC2" w:rsidRDefault="008816CD" w:rsidP="008816CD">
      <w:pPr>
        <w:spacing w:after="0"/>
        <w:rPr>
          <w:rFonts w:ascii="Gill Sans MT" w:hAnsi="Gill Sans MT"/>
        </w:rPr>
      </w:pPr>
      <w:r w:rsidRPr="00133CC2">
        <w:rPr>
          <w:rFonts w:ascii="Gill Sans MT" w:hAnsi="Gill Sans MT"/>
        </w:rPr>
        <w:t xml:space="preserve">Kavanagh, D.J., Bower, G.H., 1985, Mood and self-efficacy: impact of joy and sadness on perceived capabilities, </w:t>
      </w:r>
      <w:r w:rsidRPr="00133CC2">
        <w:rPr>
          <w:rFonts w:ascii="Gill Sans MT" w:hAnsi="Gill Sans MT"/>
          <w:i/>
        </w:rPr>
        <w:t>Cognitive Therapy and Research</w:t>
      </w:r>
      <w:r w:rsidRPr="00133CC2">
        <w:rPr>
          <w:rFonts w:ascii="Gill Sans MT" w:hAnsi="Gill Sans MT"/>
        </w:rPr>
        <w:t>, 9(5), 507-525.</w:t>
      </w:r>
    </w:p>
    <w:p w14:paraId="2D7F27A9" w14:textId="77777777" w:rsidR="008816CD" w:rsidRPr="00133CC2" w:rsidRDefault="008816CD" w:rsidP="008816CD">
      <w:pPr>
        <w:spacing w:after="0"/>
        <w:rPr>
          <w:rFonts w:ascii="Gill Sans MT" w:hAnsi="Gill Sans MT"/>
        </w:rPr>
      </w:pPr>
      <w:r w:rsidRPr="00133CC2">
        <w:rPr>
          <w:rFonts w:ascii="Gill Sans MT" w:hAnsi="Gill Sans MT"/>
        </w:rPr>
        <w:t xml:space="preserve">Kearney, C.A., Lemos, A., Silverman, J., 2004, The functional assessment of school refusal behavior, </w:t>
      </w:r>
      <w:r w:rsidRPr="00133CC2">
        <w:rPr>
          <w:rFonts w:ascii="Gill Sans MT" w:hAnsi="Gill Sans MT"/>
          <w:i/>
        </w:rPr>
        <w:t>The Behavior Analyst Today</w:t>
      </w:r>
      <w:r w:rsidRPr="00133CC2">
        <w:rPr>
          <w:rFonts w:ascii="Gill Sans MT" w:hAnsi="Gill Sans MT"/>
        </w:rPr>
        <w:t>, 5(2), 275-283.</w:t>
      </w:r>
    </w:p>
    <w:p w14:paraId="02214941" w14:textId="77777777" w:rsidR="008816CD" w:rsidRPr="00133CC2" w:rsidRDefault="008816CD" w:rsidP="008816CD">
      <w:pPr>
        <w:spacing w:after="0"/>
        <w:rPr>
          <w:rFonts w:ascii="Gill Sans MT" w:hAnsi="Gill Sans MT"/>
        </w:rPr>
      </w:pPr>
      <w:r w:rsidRPr="00133CC2">
        <w:rPr>
          <w:rFonts w:ascii="Gill Sans MT" w:hAnsi="Gill Sans MT"/>
        </w:rPr>
        <w:t>Keinhuis, M., 2013</w:t>
      </w:r>
      <w:r w:rsidRPr="00133CC2">
        <w:rPr>
          <w:rFonts w:ascii="Gill Sans MT" w:hAnsi="Gill Sans MT"/>
          <w:i/>
        </w:rPr>
        <w:t>, Interteaching: Dissemination and evaluation across three RMIT Colleges, Learning and Teaching Investment Fund 2013: Final Report</w:t>
      </w:r>
      <w:r w:rsidRPr="00133CC2">
        <w:rPr>
          <w:rFonts w:ascii="Gill Sans MT" w:hAnsi="Gill Sans MT"/>
        </w:rPr>
        <w:t>, Melbourne Australia, RMIT University.</w:t>
      </w:r>
    </w:p>
    <w:p w14:paraId="5203E155" w14:textId="77777777" w:rsidR="008816CD" w:rsidRPr="00133CC2" w:rsidRDefault="008816CD" w:rsidP="008816CD">
      <w:pPr>
        <w:spacing w:after="0"/>
        <w:rPr>
          <w:rFonts w:ascii="Gill Sans MT" w:hAnsi="Gill Sans MT"/>
        </w:rPr>
      </w:pPr>
      <w:r w:rsidRPr="00133CC2">
        <w:rPr>
          <w:rFonts w:ascii="Gill Sans MT" w:hAnsi="Gill Sans MT"/>
        </w:rPr>
        <w:t>Keinhuis, M., Elgar, K., Chester, A., Wilson, P., 2011</w:t>
      </w:r>
      <w:r w:rsidRPr="00133CC2">
        <w:rPr>
          <w:rFonts w:ascii="Gill Sans MT" w:hAnsi="Gill Sans MT"/>
          <w:i/>
        </w:rPr>
        <w:t>, Final Project Report, Learning and Teaching Investment Fund 2010: Final Report</w:t>
      </w:r>
      <w:r w:rsidRPr="00133CC2">
        <w:rPr>
          <w:rFonts w:ascii="Gill Sans MT" w:hAnsi="Gill Sans MT"/>
        </w:rPr>
        <w:t>, Melbourne Australia, RMIT University.</w:t>
      </w:r>
    </w:p>
    <w:p w14:paraId="79E865DA" w14:textId="77777777" w:rsidR="008816CD" w:rsidRPr="00133CC2" w:rsidRDefault="008816CD" w:rsidP="008816CD">
      <w:pPr>
        <w:spacing w:after="0"/>
        <w:rPr>
          <w:rFonts w:ascii="Gill Sans MT" w:hAnsi="Gill Sans MT"/>
        </w:rPr>
      </w:pPr>
      <w:r w:rsidRPr="00133CC2">
        <w:rPr>
          <w:rFonts w:ascii="Gill Sans MT" w:hAnsi="Gill Sans MT"/>
        </w:rPr>
        <w:t xml:space="preserve">Kelly, G.A., 1955, </w:t>
      </w:r>
      <w:r w:rsidRPr="00133CC2">
        <w:rPr>
          <w:rFonts w:ascii="Gill Sans MT" w:hAnsi="Gill Sans MT"/>
          <w:i/>
        </w:rPr>
        <w:t>The Psychology of Personal Constructs,</w:t>
      </w:r>
      <w:r w:rsidRPr="00133CC2">
        <w:rPr>
          <w:rFonts w:ascii="Gill Sans MT" w:hAnsi="Gill Sans MT"/>
        </w:rPr>
        <w:t xml:space="preserve"> New York, Norton.</w:t>
      </w:r>
    </w:p>
    <w:p w14:paraId="63984338" w14:textId="77777777" w:rsidR="008816CD" w:rsidRPr="00133CC2" w:rsidRDefault="008816CD" w:rsidP="008816CD">
      <w:pPr>
        <w:spacing w:after="0"/>
        <w:rPr>
          <w:rFonts w:ascii="Gill Sans MT" w:hAnsi="Gill Sans MT"/>
        </w:rPr>
      </w:pPr>
      <w:r w:rsidRPr="00133CC2">
        <w:rPr>
          <w:rFonts w:ascii="Gill Sans MT" w:hAnsi="Gill Sans MT"/>
        </w:rPr>
        <w:lastRenderedPageBreak/>
        <w:t xml:space="preserve">Kemp, N., Parrila, R.K., Kirby, J.R., 2009, Phonological and orthographic spelling in high-functioning adult dyslexics, </w:t>
      </w:r>
      <w:r w:rsidRPr="00133CC2">
        <w:rPr>
          <w:rFonts w:ascii="Gill Sans MT" w:hAnsi="Gill Sans MT"/>
          <w:i/>
        </w:rPr>
        <w:t>Dyslexia</w:t>
      </w:r>
      <w:r w:rsidRPr="00133CC2">
        <w:rPr>
          <w:rFonts w:ascii="Gill Sans MT" w:hAnsi="Gill Sans MT"/>
        </w:rPr>
        <w:t>, 15(2), 105-128.</w:t>
      </w:r>
    </w:p>
    <w:p w14:paraId="6357B241" w14:textId="77777777" w:rsidR="008816CD" w:rsidRPr="00133CC2" w:rsidRDefault="008816CD" w:rsidP="008816CD">
      <w:pPr>
        <w:spacing w:after="0"/>
        <w:rPr>
          <w:rFonts w:ascii="Gill Sans MT" w:hAnsi="Gill Sans MT"/>
        </w:rPr>
      </w:pPr>
      <w:r w:rsidRPr="00133CC2">
        <w:rPr>
          <w:rFonts w:ascii="Gill Sans MT" w:hAnsi="Gill Sans MT"/>
        </w:rPr>
        <w:t xml:space="preserve">Kerr, H., 2001, Learned helplessness and dyslexia: a carts and horses issue? </w:t>
      </w:r>
      <w:r w:rsidRPr="00133CC2">
        <w:rPr>
          <w:rFonts w:ascii="Gill Sans MT" w:hAnsi="Gill Sans MT"/>
          <w:i/>
        </w:rPr>
        <w:t>Literacy</w:t>
      </w:r>
      <w:r w:rsidRPr="00133CC2">
        <w:rPr>
          <w:rFonts w:ascii="Gill Sans MT" w:hAnsi="Gill Sans MT"/>
        </w:rPr>
        <w:t>, 35(2), 82-85.</w:t>
      </w:r>
    </w:p>
    <w:p w14:paraId="365E4B92" w14:textId="77777777" w:rsidR="008816CD" w:rsidRPr="00133CC2" w:rsidRDefault="008816CD" w:rsidP="008816CD">
      <w:pPr>
        <w:spacing w:after="0"/>
        <w:rPr>
          <w:rFonts w:ascii="Gill Sans MT" w:hAnsi="Gill Sans MT"/>
        </w:rPr>
      </w:pPr>
      <w:r w:rsidRPr="00133CC2">
        <w:rPr>
          <w:rFonts w:ascii="Gill Sans MT" w:hAnsi="Gill Sans MT"/>
        </w:rPr>
        <w:t xml:space="preserve">Kessels, U., Heyder, A., Latsch, M., Hannover, B., 2014, How gender differences in academic engagement relate to students' gender identity, </w:t>
      </w:r>
      <w:r w:rsidRPr="00133CC2">
        <w:rPr>
          <w:rFonts w:ascii="Gill Sans MT" w:hAnsi="Gill Sans MT"/>
          <w:i/>
        </w:rPr>
        <w:t>Educational Research</w:t>
      </w:r>
      <w:r w:rsidRPr="00133CC2">
        <w:rPr>
          <w:rFonts w:ascii="Gill Sans MT" w:hAnsi="Gill Sans MT"/>
        </w:rPr>
        <w:t xml:space="preserve">, 56(2), 220-229. </w:t>
      </w:r>
    </w:p>
    <w:p w14:paraId="5A85DF5A" w14:textId="77777777" w:rsidR="008816CD" w:rsidRPr="00133CC2" w:rsidRDefault="008816CD" w:rsidP="008816CD">
      <w:pPr>
        <w:spacing w:after="0"/>
        <w:rPr>
          <w:rFonts w:ascii="Gill Sans MT" w:hAnsi="Gill Sans MT"/>
        </w:rPr>
      </w:pPr>
      <w:r w:rsidRPr="00133CC2">
        <w:rPr>
          <w:rFonts w:ascii="Gill Sans MT" w:hAnsi="Gill Sans MT"/>
        </w:rPr>
        <w:t xml:space="preserve">Kessels, U., Steinmayr, R., 2013, Macho-man in school: toward the role of gender-role self-concepts and help seeking in school performance, </w:t>
      </w:r>
      <w:r w:rsidRPr="00133CC2">
        <w:rPr>
          <w:rFonts w:ascii="Gill Sans MT" w:hAnsi="Gill Sans MT"/>
          <w:i/>
        </w:rPr>
        <w:t>Learning and Individual Differences</w:t>
      </w:r>
      <w:r w:rsidRPr="00133CC2">
        <w:rPr>
          <w:rFonts w:ascii="Gill Sans MT" w:hAnsi="Gill Sans MT"/>
        </w:rPr>
        <w:t>, 23, 234-240.</w:t>
      </w:r>
    </w:p>
    <w:p w14:paraId="5CD66C31" w14:textId="77777777" w:rsidR="008816CD" w:rsidRDefault="008816CD" w:rsidP="008816CD">
      <w:pPr>
        <w:spacing w:after="0"/>
        <w:rPr>
          <w:rFonts w:ascii="Gill Sans MT" w:hAnsi="Gill Sans MT"/>
        </w:rPr>
      </w:pPr>
      <w:r w:rsidRPr="00133CC2">
        <w:rPr>
          <w:rFonts w:ascii="Gill Sans MT" w:hAnsi="Gill Sans MT"/>
        </w:rPr>
        <w:t xml:space="preserve">Kinchin, I.M., Lygo-Baker, S., Hay, D.B., 2008, Universities as centres of non-learning, </w:t>
      </w:r>
      <w:r w:rsidRPr="00133CC2">
        <w:rPr>
          <w:rFonts w:ascii="Gill Sans MT" w:hAnsi="Gill Sans MT"/>
          <w:i/>
        </w:rPr>
        <w:t>Studies in Higher Education</w:t>
      </w:r>
      <w:r w:rsidRPr="00133CC2">
        <w:rPr>
          <w:rFonts w:ascii="Gill Sans MT" w:hAnsi="Gill Sans MT"/>
        </w:rPr>
        <w:t>, 33(1), 89-103.</w:t>
      </w:r>
    </w:p>
    <w:p w14:paraId="29016E3E" w14:textId="77777777" w:rsidR="008816CD" w:rsidRPr="00133CC2" w:rsidRDefault="008816CD" w:rsidP="008816CD">
      <w:pPr>
        <w:spacing w:after="0"/>
        <w:rPr>
          <w:rFonts w:ascii="Gill Sans MT" w:hAnsi="Gill Sans MT"/>
        </w:rPr>
      </w:pPr>
      <w:r w:rsidRPr="00133CC2">
        <w:rPr>
          <w:rFonts w:ascii="Gill Sans MT" w:hAnsi="Gill Sans MT"/>
        </w:rPr>
        <w:t xml:space="preserve">King, N.J., Heyne, D., Tonge, B., Gullone, E., Ollendick, T.H., 2001, School refusal: categorical diagnoses, functional analysis and treatment planning, </w:t>
      </w:r>
      <w:r w:rsidRPr="00133CC2">
        <w:rPr>
          <w:rFonts w:ascii="Gill Sans MT" w:hAnsi="Gill Sans MT"/>
          <w:i/>
        </w:rPr>
        <w:t>Clinical Psychology &amp; Psychotherapy</w:t>
      </w:r>
      <w:r w:rsidRPr="00133CC2">
        <w:rPr>
          <w:rFonts w:ascii="Gill Sans MT" w:hAnsi="Gill Sans MT"/>
        </w:rPr>
        <w:t>, 8(5), 352-360.</w:t>
      </w:r>
    </w:p>
    <w:p w14:paraId="36EEFD37" w14:textId="77777777" w:rsidR="008816CD" w:rsidRPr="00133CC2" w:rsidRDefault="008816CD" w:rsidP="008816CD">
      <w:pPr>
        <w:spacing w:after="0"/>
        <w:rPr>
          <w:rFonts w:ascii="Gill Sans MT" w:hAnsi="Gill Sans MT"/>
        </w:rPr>
      </w:pPr>
      <w:r w:rsidRPr="00600682">
        <w:rPr>
          <w:rFonts w:ascii="Gill Sans MT" w:hAnsi="Gill Sans MT"/>
        </w:rPr>
        <w:t xml:space="preserve">Kirby, J.A., Blythe, H.I., Drieghe, D., Liversedge, S.P., 2011, Reading text increases binocular disparity in dyslexic children, </w:t>
      </w:r>
      <w:r w:rsidRPr="00BE346A">
        <w:rPr>
          <w:rFonts w:ascii="Gill Sans MT" w:hAnsi="Gill Sans MT"/>
          <w:i/>
        </w:rPr>
        <w:t>PLOS ONE</w:t>
      </w:r>
      <w:r w:rsidRPr="00600682">
        <w:rPr>
          <w:rFonts w:ascii="Gill Sans MT" w:hAnsi="Gill Sans MT"/>
        </w:rPr>
        <w:t xml:space="preserve"> 6(11), e27105.</w:t>
      </w:r>
    </w:p>
    <w:p w14:paraId="097505C5" w14:textId="77777777" w:rsidR="008816CD" w:rsidRPr="00133CC2" w:rsidRDefault="008816CD" w:rsidP="008816CD">
      <w:pPr>
        <w:spacing w:after="0"/>
        <w:rPr>
          <w:rFonts w:ascii="Gill Sans MT" w:hAnsi="Gill Sans MT"/>
        </w:rPr>
      </w:pPr>
      <w:r w:rsidRPr="00133CC2">
        <w:rPr>
          <w:rFonts w:ascii="Gill Sans MT" w:hAnsi="Gill Sans MT"/>
        </w:rPr>
        <w:t xml:space="preserve">Kirby, J.R., Silvestri, R., Allingham, B.H., Parrila, R., La Fave, C.B., 2008, Learning strategies and study approaches of postsecondary students with dyslexia, </w:t>
      </w:r>
      <w:r w:rsidRPr="00133CC2">
        <w:rPr>
          <w:rFonts w:ascii="Gill Sans MT" w:hAnsi="Gill Sans MT"/>
          <w:i/>
        </w:rPr>
        <w:t>Journal of Learning Disabilities</w:t>
      </w:r>
      <w:r w:rsidRPr="00133CC2">
        <w:rPr>
          <w:rFonts w:ascii="Gill Sans MT" w:hAnsi="Gill Sans MT"/>
        </w:rPr>
        <w:t>, 41(1), 85-96.</w:t>
      </w:r>
    </w:p>
    <w:p w14:paraId="696B016C" w14:textId="77777777" w:rsidR="008816CD" w:rsidRDefault="008816CD" w:rsidP="008816CD">
      <w:pPr>
        <w:spacing w:after="0"/>
        <w:rPr>
          <w:rFonts w:ascii="Gill Sans MT" w:hAnsi="Gill Sans MT"/>
        </w:rPr>
      </w:pPr>
      <w:r w:rsidRPr="00133CC2">
        <w:rPr>
          <w:rFonts w:ascii="Gill Sans MT" w:hAnsi="Gill Sans MT"/>
        </w:rPr>
        <w:t>Kirsch, I., 1982, Efficacy expectations or respon</w:t>
      </w:r>
      <w:r>
        <w:rPr>
          <w:rFonts w:ascii="Gill Sans MT" w:hAnsi="Gill Sans MT"/>
        </w:rPr>
        <w:t>s</w:t>
      </w:r>
      <w:r w:rsidRPr="00133CC2">
        <w:rPr>
          <w:rFonts w:ascii="Gill Sans MT" w:hAnsi="Gill Sans MT"/>
        </w:rPr>
        <w:t xml:space="preserve">e predictions: The meaning of efficacy ratings as a function of task characteristics, </w:t>
      </w:r>
      <w:r w:rsidRPr="00133CC2">
        <w:rPr>
          <w:rFonts w:ascii="Gill Sans MT" w:hAnsi="Gill Sans MT"/>
          <w:i/>
        </w:rPr>
        <w:t>Journal of Personality and Social Psychology</w:t>
      </w:r>
      <w:r w:rsidRPr="00133CC2">
        <w:rPr>
          <w:rFonts w:ascii="Gill Sans MT" w:hAnsi="Gill Sans MT"/>
        </w:rPr>
        <w:t>, 42(1), 132-136.</w:t>
      </w:r>
    </w:p>
    <w:p w14:paraId="4922888A" w14:textId="77777777" w:rsidR="008816CD" w:rsidRPr="009E05BE" w:rsidRDefault="008816CD" w:rsidP="008816CD">
      <w:pPr>
        <w:spacing w:after="0"/>
        <w:rPr>
          <w:rFonts w:ascii="Gill Sans MT" w:hAnsi="Gill Sans MT"/>
        </w:rPr>
      </w:pPr>
      <w:r>
        <w:rPr>
          <w:rFonts w:ascii="Gill Sans MT" w:hAnsi="Gill Sans MT"/>
        </w:rPr>
        <w:t xml:space="preserve">Kirschner, P.A., Sweller, J., Clark, R.E., 2006, Why minimal guidance during instruction does not work: An analysis of the failure of constructivist, discovery, problem-based, experiential, and inquiry-based teaching, </w:t>
      </w:r>
      <w:r>
        <w:rPr>
          <w:rFonts w:ascii="Gill Sans MT" w:hAnsi="Gill Sans MT"/>
          <w:i/>
        </w:rPr>
        <w:t>Educational Psychologist</w:t>
      </w:r>
      <w:r>
        <w:rPr>
          <w:rFonts w:ascii="Gill Sans MT" w:hAnsi="Gill Sans MT"/>
        </w:rPr>
        <w:t>, 41(2), 75-86.</w:t>
      </w:r>
    </w:p>
    <w:p w14:paraId="4CDCFD15" w14:textId="46FD12A7" w:rsidR="008816CD" w:rsidRDefault="008816CD" w:rsidP="008816CD">
      <w:pPr>
        <w:spacing w:after="0"/>
        <w:rPr>
          <w:rFonts w:ascii="Gill Sans MT" w:hAnsi="Gill Sans MT"/>
        </w:rPr>
      </w:pPr>
      <w:r w:rsidRPr="00133CC2">
        <w:rPr>
          <w:rFonts w:ascii="Gill Sans MT" w:hAnsi="Gill Sans MT"/>
        </w:rPr>
        <w:t xml:space="preserve">Klassen, R., 2002, A question of calibration: A review of the self-efficacy beliefs of students with learning disabilities, </w:t>
      </w:r>
      <w:r w:rsidRPr="00133CC2">
        <w:rPr>
          <w:rFonts w:ascii="Gill Sans MT" w:hAnsi="Gill Sans MT"/>
          <w:i/>
        </w:rPr>
        <w:t>Learning Disability Quarterly</w:t>
      </w:r>
      <w:r w:rsidRPr="00133CC2">
        <w:rPr>
          <w:rFonts w:ascii="Gill Sans MT" w:hAnsi="Gill Sans MT"/>
        </w:rPr>
        <w:t>, 25, 88-102</w:t>
      </w:r>
      <w:r w:rsidR="000971D7">
        <w:rPr>
          <w:rFonts w:ascii="Gill Sans MT" w:hAnsi="Gill Sans MT"/>
        </w:rPr>
        <w:t>.</w:t>
      </w:r>
    </w:p>
    <w:p w14:paraId="75C15B85" w14:textId="33EA44F1" w:rsidR="000971D7" w:rsidRPr="00133CC2" w:rsidRDefault="000971D7" w:rsidP="008816CD">
      <w:pPr>
        <w:spacing w:after="0"/>
        <w:rPr>
          <w:rFonts w:ascii="Gill Sans MT" w:hAnsi="Gill Sans MT"/>
        </w:rPr>
      </w:pPr>
      <w:r>
        <w:rPr>
          <w:rFonts w:ascii="Gill Sans MT" w:hAnsi="Gill Sans MT"/>
        </w:rPr>
        <w:t xml:space="preserve">Klein, C., 1993, </w:t>
      </w:r>
      <w:r w:rsidRPr="000971D7">
        <w:rPr>
          <w:rFonts w:ascii="Gill Sans MT" w:hAnsi="Gill Sans MT"/>
          <w:i/>
          <w:iCs/>
        </w:rPr>
        <w:t>Diagnosing dyslexia</w:t>
      </w:r>
      <w:r>
        <w:rPr>
          <w:rFonts w:ascii="Gill Sans MT" w:hAnsi="Gill Sans MT"/>
        </w:rPr>
        <w:t>, London, Avanti.</w:t>
      </w:r>
    </w:p>
    <w:p w14:paraId="54E5FE7F" w14:textId="77777777" w:rsidR="008816CD" w:rsidRPr="00133CC2" w:rsidRDefault="008816CD" w:rsidP="008816CD">
      <w:pPr>
        <w:spacing w:after="0"/>
        <w:rPr>
          <w:rFonts w:ascii="Gill Sans MT" w:hAnsi="Gill Sans MT"/>
        </w:rPr>
      </w:pPr>
      <w:r w:rsidRPr="00133CC2">
        <w:rPr>
          <w:rFonts w:ascii="Gill Sans MT" w:hAnsi="Gill Sans MT"/>
        </w:rPr>
        <w:t xml:space="preserve">Kline, P., 1986, </w:t>
      </w:r>
      <w:r w:rsidRPr="00133CC2">
        <w:rPr>
          <w:rFonts w:ascii="Gill Sans MT" w:hAnsi="Gill Sans MT"/>
          <w:i/>
        </w:rPr>
        <w:t>A Handbook of Test Construction: Introduction to Psychometric Design</w:t>
      </w:r>
      <w:r w:rsidRPr="00133CC2">
        <w:rPr>
          <w:rFonts w:ascii="Gill Sans MT" w:hAnsi="Gill Sans MT"/>
        </w:rPr>
        <w:t>, London, Methuen.</w:t>
      </w:r>
    </w:p>
    <w:p w14:paraId="16612F3F" w14:textId="77777777" w:rsidR="008816CD" w:rsidRPr="00133CC2" w:rsidRDefault="008816CD" w:rsidP="008816CD">
      <w:pPr>
        <w:spacing w:after="0"/>
        <w:rPr>
          <w:rFonts w:ascii="Gill Sans MT" w:hAnsi="Gill Sans MT"/>
        </w:rPr>
      </w:pPr>
      <w:r w:rsidRPr="00133CC2">
        <w:rPr>
          <w:rFonts w:ascii="Gill Sans MT" w:hAnsi="Gill Sans MT"/>
        </w:rPr>
        <w:t xml:space="preserve">Kline, P., 1994, </w:t>
      </w:r>
      <w:r w:rsidRPr="00133CC2">
        <w:rPr>
          <w:rFonts w:ascii="Gill Sans MT" w:hAnsi="Gill Sans MT"/>
          <w:i/>
        </w:rPr>
        <w:t>An easy guide to factor analysis</w:t>
      </w:r>
      <w:r w:rsidRPr="00133CC2">
        <w:rPr>
          <w:rFonts w:ascii="Gill Sans MT" w:hAnsi="Gill Sans MT"/>
        </w:rPr>
        <w:t xml:space="preserve">, London, Routledge. </w:t>
      </w:r>
    </w:p>
    <w:p w14:paraId="295E46F3" w14:textId="77777777" w:rsidR="008816CD" w:rsidRPr="00133CC2" w:rsidRDefault="008816CD" w:rsidP="008816CD">
      <w:pPr>
        <w:spacing w:after="0"/>
        <w:rPr>
          <w:rFonts w:ascii="Gill Sans MT" w:hAnsi="Gill Sans MT"/>
        </w:rPr>
      </w:pPr>
      <w:r w:rsidRPr="00133CC2">
        <w:rPr>
          <w:rFonts w:ascii="Gill Sans MT" w:hAnsi="Gill Sans MT"/>
        </w:rPr>
        <w:t xml:space="preserve">Knoop-van Campen, C., Sergers, E., Verhoeven, L., 2018, The modality and redundancy effects in multimedia learning in children with dyslexia, </w:t>
      </w:r>
      <w:r w:rsidRPr="00133CC2">
        <w:rPr>
          <w:rFonts w:ascii="Gill Sans MT" w:hAnsi="Gill Sans MT"/>
          <w:i/>
        </w:rPr>
        <w:t>Dyslexia</w:t>
      </w:r>
      <w:r w:rsidRPr="00133CC2">
        <w:rPr>
          <w:rFonts w:ascii="Gill Sans MT" w:hAnsi="Gill Sans MT"/>
        </w:rPr>
        <w:t xml:space="preserve">, 24(2), 140-155. </w:t>
      </w:r>
    </w:p>
    <w:p w14:paraId="20D4A18F" w14:textId="77777777" w:rsidR="008816CD" w:rsidRPr="00133CC2" w:rsidRDefault="008816CD" w:rsidP="008816CD">
      <w:pPr>
        <w:spacing w:after="0"/>
        <w:rPr>
          <w:rFonts w:ascii="Gill Sans MT" w:hAnsi="Gill Sans MT"/>
        </w:rPr>
      </w:pPr>
      <w:r w:rsidRPr="00133CC2">
        <w:rPr>
          <w:rFonts w:ascii="Gill Sans MT" w:hAnsi="Gill Sans MT"/>
        </w:rPr>
        <w:t xml:space="preserve">Kong, S.J., 2012, The emotional impact of being recently diagnosed with dyslexia from the perspective of chiropractic students, </w:t>
      </w:r>
      <w:r w:rsidRPr="00133CC2">
        <w:rPr>
          <w:rFonts w:ascii="Gill Sans MT" w:hAnsi="Gill Sans MT"/>
          <w:i/>
        </w:rPr>
        <w:t>Journal of Further &amp; Higher Education</w:t>
      </w:r>
      <w:r w:rsidRPr="00133CC2">
        <w:rPr>
          <w:rFonts w:ascii="Gill Sans MT" w:hAnsi="Gill Sans MT"/>
        </w:rPr>
        <w:t xml:space="preserve">, 36(1), 127-146. </w:t>
      </w:r>
    </w:p>
    <w:p w14:paraId="1846B727" w14:textId="77777777" w:rsidR="008816CD" w:rsidRPr="00133CC2" w:rsidRDefault="008816CD" w:rsidP="008816CD">
      <w:pPr>
        <w:spacing w:after="0"/>
        <w:rPr>
          <w:rFonts w:ascii="Gill Sans MT" w:hAnsi="Gill Sans MT"/>
        </w:rPr>
      </w:pPr>
      <w:r w:rsidRPr="00133CC2">
        <w:rPr>
          <w:rFonts w:ascii="Gill Sans MT" w:hAnsi="Gill Sans MT"/>
        </w:rPr>
        <w:t xml:space="preserve">Kraiger, K., Billings, R.S., Isen, A.M., 1989, The influence of positive affective states on task perceptions and satisfaction, </w:t>
      </w:r>
      <w:r w:rsidRPr="00133CC2">
        <w:rPr>
          <w:rFonts w:ascii="Gill Sans MT" w:hAnsi="Gill Sans MT"/>
          <w:i/>
        </w:rPr>
        <w:t>Organizational Behavior and Human Decision Processes</w:t>
      </w:r>
      <w:r w:rsidRPr="00133CC2">
        <w:rPr>
          <w:rFonts w:ascii="Gill Sans MT" w:hAnsi="Gill Sans MT"/>
        </w:rPr>
        <w:t>, 44(1), 12-25.</w:t>
      </w:r>
    </w:p>
    <w:p w14:paraId="6BED2297" w14:textId="77777777" w:rsidR="008816CD" w:rsidRDefault="008816CD" w:rsidP="008816CD">
      <w:pPr>
        <w:spacing w:after="0"/>
        <w:rPr>
          <w:rFonts w:ascii="Gill Sans MT" w:hAnsi="Gill Sans MT"/>
        </w:rPr>
      </w:pPr>
      <w:r w:rsidRPr="00133CC2">
        <w:rPr>
          <w:rFonts w:ascii="Gill Sans MT" w:hAnsi="Gill Sans MT"/>
        </w:rPr>
        <w:t xml:space="preserve">Kranzler, J.H., Pajares, F., 1997, An exploratory factor analysis of the Mathematics Self-Efficacy Scale-Revised (MSES-R), </w:t>
      </w:r>
      <w:r w:rsidRPr="00133CC2">
        <w:rPr>
          <w:rFonts w:ascii="Gill Sans MT" w:hAnsi="Gill Sans MT"/>
          <w:i/>
        </w:rPr>
        <w:t>Measurement &amp; Evaluation in Counselling &amp; Development</w:t>
      </w:r>
      <w:r w:rsidRPr="00133CC2">
        <w:rPr>
          <w:rFonts w:ascii="Gill Sans MT" w:hAnsi="Gill Sans MT"/>
        </w:rPr>
        <w:t xml:space="preserve">, 29(4), 215-228. </w:t>
      </w:r>
    </w:p>
    <w:p w14:paraId="0354E961" w14:textId="77777777" w:rsidR="008816CD" w:rsidRPr="00CD21D6" w:rsidRDefault="008816CD" w:rsidP="008816CD">
      <w:pPr>
        <w:spacing w:after="0"/>
        <w:rPr>
          <w:rFonts w:ascii="Gill Sans MT" w:hAnsi="Gill Sans MT"/>
        </w:rPr>
      </w:pPr>
      <w:r>
        <w:rPr>
          <w:rFonts w:ascii="Gill Sans MT" w:hAnsi="Gill Sans MT"/>
        </w:rPr>
        <w:t xml:space="preserve">Kriss, I., Evans, B.J.W., 2005, The relationship between dyslexia and Meares-Irlen syndrome, </w:t>
      </w:r>
      <w:r>
        <w:rPr>
          <w:rFonts w:ascii="Gill Sans MT" w:hAnsi="Gill Sans MT"/>
          <w:i/>
        </w:rPr>
        <w:t>Journal of Research in Reading</w:t>
      </w:r>
      <w:r>
        <w:rPr>
          <w:rFonts w:ascii="Gill Sans MT" w:hAnsi="Gill Sans MT"/>
        </w:rPr>
        <w:t>, 28(3), 350-364.</w:t>
      </w:r>
    </w:p>
    <w:p w14:paraId="6B89DEB7" w14:textId="77777777" w:rsidR="008816CD" w:rsidRDefault="008816CD" w:rsidP="008816CD">
      <w:pPr>
        <w:spacing w:after="0"/>
        <w:rPr>
          <w:rFonts w:ascii="Gill Sans MT" w:hAnsi="Gill Sans MT"/>
        </w:rPr>
      </w:pPr>
      <w:r w:rsidRPr="00133CC2">
        <w:rPr>
          <w:rFonts w:ascii="Gill Sans MT" w:hAnsi="Gill Sans MT"/>
        </w:rPr>
        <w:t xml:space="preserve">Krueger, N., Dickson, P.R., 1994, How believing in ourselves increases risk-taking: perceived self-efficacy and opportunity recognition, </w:t>
      </w:r>
      <w:r w:rsidRPr="00133CC2">
        <w:rPr>
          <w:rFonts w:ascii="Gill Sans MT" w:hAnsi="Gill Sans MT"/>
          <w:i/>
        </w:rPr>
        <w:t>Decision Sciences</w:t>
      </w:r>
      <w:r w:rsidRPr="00133CC2">
        <w:rPr>
          <w:rFonts w:ascii="Gill Sans MT" w:hAnsi="Gill Sans MT"/>
        </w:rPr>
        <w:t>, 25(3), 385-400.</w:t>
      </w:r>
    </w:p>
    <w:p w14:paraId="23320054" w14:textId="11B833B3" w:rsidR="008816CD" w:rsidRDefault="008816CD" w:rsidP="008816CD">
      <w:pPr>
        <w:spacing w:after="0"/>
        <w:rPr>
          <w:rFonts w:ascii="Gill Sans MT" w:hAnsi="Gill Sans MT"/>
        </w:rPr>
      </w:pPr>
      <w:r w:rsidRPr="00C952D2">
        <w:rPr>
          <w:rFonts w:ascii="Gill Sans MT" w:hAnsi="Gill Sans MT"/>
        </w:rPr>
        <w:lastRenderedPageBreak/>
        <w:t>Kruk, R., Sumbler, K., Willows, D., 2008, Visual processing characterist</w:t>
      </w:r>
      <w:r>
        <w:rPr>
          <w:rFonts w:ascii="Gill Sans MT" w:hAnsi="Gill Sans MT"/>
        </w:rPr>
        <w:t>i</w:t>
      </w:r>
      <w:r w:rsidRPr="00C952D2">
        <w:rPr>
          <w:rFonts w:ascii="Gill Sans MT" w:hAnsi="Gill Sans MT"/>
        </w:rPr>
        <w:t xml:space="preserve">cs of children with Meares-Irlen syndrome, </w:t>
      </w:r>
      <w:r w:rsidRPr="00C952D2">
        <w:rPr>
          <w:rFonts w:ascii="Gill Sans MT" w:hAnsi="Gill Sans MT"/>
          <w:i/>
        </w:rPr>
        <w:t>Ophthalmic and Physiological Optics</w:t>
      </w:r>
      <w:r w:rsidRPr="00C952D2">
        <w:rPr>
          <w:rFonts w:ascii="Gill Sans MT" w:hAnsi="Gill Sans MT"/>
        </w:rPr>
        <w:t>, 28(1), 35-46.</w:t>
      </w:r>
    </w:p>
    <w:p w14:paraId="62A40B7A" w14:textId="1641A81C" w:rsidR="007E3C78" w:rsidRPr="00133CC2" w:rsidRDefault="007E3C78" w:rsidP="008816CD">
      <w:pPr>
        <w:spacing w:after="0"/>
        <w:rPr>
          <w:rFonts w:ascii="Gill Sans MT" w:hAnsi="Gill Sans MT"/>
        </w:rPr>
      </w:pPr>
      <w:r>
        <w:rPr>
          <w:rFonts w:ascii="Gill Sans MT" w:hAnsi="Gill Sans MT"/>
        </w:rPr>
        <w:t xml:space="preserve">Kurniawan, S., Conroy, G., 2007, Comparing comprehension speeds and accuracy of online information in students with and without dyslexia, IN: Kurniawan, S., Zaphiris, P., (Eds), </w:t>
      </w:r>
      <w:r>
        <w:rPr>
          <w:rFonts w:ascii="Gill Sans MT" w:hAnsi="Gill Sans MT"/>
          <w:i/>
          <w:iCs/>
        </w:rPr>
        <w:t>Advances in Universal Web Design and Evaluation Research: Trends and Opportunities</w:t>
      </w:r>
      <w:r>
        <w:rPr>
          <w:rFonts w:ascii="Gill Sans MT" w:hAnsi="Gill Sans MT"/>
        </w:rPr>
        <w:t>,  IGI Global, Hershey PA.</w:t>
      </w:r>
    </w:p>
    <w:p w14:paraId="50436C02" w14:textId="77777777" w:rsidR="008816CD" w:rsidRPr="00133CC2" w:rsidRDefault="008816CD" w:rsidP="008816CD">
      <w:pPr>
        <w:spacing w:after="0"/>
        <w:rPr>
          <w:rFonts w:ascii="Gill Sans MT" w:hAnsi="Gill Sans MT"/>
        </w:rPr>
      </w:pPr>
      <w:r w:rsidRPr="00133CC2">
        <w:rPr>
          <w:rFonts w:ascii="Gill Sans MT" w:hAnsi="Gill Sans MT"/>
        </w:rPr>
        <w:t xml:space="preserve">Lackmann, T., Geyer, T., 2003, Letter reversals in dyslexia: Is the case really closed? A critical review and conclusion, </w:t>
      </w:r>
      <w:r w:rsidRPr="00133CC2">
        <w:rPr>
          <w:rFonts w:ascii="Gill Sans MT" w:hAnsi="Gill Sans MT"/>
          <w:i/>
        </w:rPr>
        <w:t>Psychology Science</w:t>
      </w:r>
      <w:r w:rsidRPr="00133CC2">
        <w:rPr>
          <w:rFonts w:ascii="Gill Sans MT" w:hAnsi="Gill Sans MT"/>
        </w:rPr>
        <w:t>, 45, 50-72.</w:t>
      </w:r>
    </w:p>
    <w:p w14:paraId="45936C3B" w14:textId="77777777" w:rsidR="008816CD" w:rsidRPr="00133CC2" w:rsidRDefault="008816CD" w:rsidP="008816CD">
      <w:pPr>
        <w:spacing w:after="0"/>
        <w:rPr>
          <w:rFonts w:ascii="Gill Sans MT" w:hAnsi="Gill Sans MT"/>
        </w:rPr>
      </w:pPr>
      <w:r w:rsidRPr="00133CC2">
        <w:rPr>
          <w:rFonts w:ascii="Gill Sans MT" w:hAnsi="Gill Sans MT"/>
        </w:rPr>
        <w:t>Ladd, J., 2009, Everybody likes Likert: Using a Variable-Interval Slider to collect interval-level individual options</w:t>
      </w:r>
      <w:r w:rsidRPr="00133CC2">
        <w:rPr>
          <w:rFonts w:ascii="Gill Sans MT" w:hAnsi="Gill Sans MT"/>
          <w:i/>
        </w:rPr>
        <w:t>, International Conference on Information Systems Proceedings 2009</w:t>
      </w:r>
      <w:r w:rsidRPr="00133CC2">
        <w:rPr>
          <w:rFonts w:ascii="Gill Sans MT" w:hAnsi="Gill Sans MT"/>
        </w:rPr>
        <w:t>, Pheonix, AZ.</w:t>
      </w:r>
    </w:p>
    <w:p w14:paraId="43ABF5AA" w14:textId="6C8CEE3B" w:rsidR="008816CD" w:rsidRDefault="008816CD" w:rsidP="008816CD">
      <w:pPr>
        <w:spacing w:after="0"/>
        <w:rPr>
          <w:rFonts w:ascii="Gill Sans MT" w:hAnsi="Gill Sans MT"/>
        </w:rPr>
      </w:pPr>
      <w:r w:rsidRPr="00133CC2">
        <w:rPr>
          <w:rFonts w:ascii="Gill Sans MT" w:hAnsi="Gill Sans MT"/>
        </w:rPr>
        <w:t xml:space="preserve">Lakretz, Y., Chechik, G., Friedmann, N., Rosen-Zvi, M., 2015, Probabilistic graphical model of dyslexia, </w:t>
      </w:r>
      <w:r w:rsidRPr="00133CC2">
        <w:rPr>
          <w:rFonts w:ascii="Gill Sans MT" w:hAnsi="Gill Sans MT"/>
          <w:i/>
        </w:rPr>
        <w:t>Proceedings of the 21st AGM SIGKDD International Conference on Knowledge Discovery and Data Mining</w:t>
      </w:r>
      <w:r w:rsidRPr="00133CC2">
        <w:rPr>
          <w:rFonts w:ascii="Gill Sans MT" w:hAnsi="Gill Sans MT"/>
        </w:rPr>
        <w:t>, Sydney, ACM.</w:t>
      </w:r>
    </w:p>
    <w:p w14:paraId="759C47F0" w14:textId="3C0104A2" w:rsidR="00832C52" w:rsidRDefault="00832C52" w:rsidP="008816CD">
      <w:pPr>
        <w:spacing w:after="0"/>
        <w:rPr>
          <w:rFonts w:ascii="Gill Sans MT" w:hAnsi="Gill Sans MT"/>
        </w:rPr>
      </w:pPr>
      <w:r>
        <w:rPr>
          <w:rFonts w:ascii="Gill Sans MT" w:hAnsi="Gill Sans MT"/>
        </w:rPr>
        <w:t xml:space="preserve">Lami, G., Locatelli, M., 2008, Dyslexia and concept mapping: An indispensable tool for learning, </w:t>
      </w:r>
      <w:r w:rsidRPr="00832C52">
        <w:rPr>
          <w:rFonts w:ascii="Gill Sans MT" w:hAnsi="Gill Sans MT"/>
          <w:i/>
          <w:iCs/>
        </w:rPr>
        <w:t>Concept Mapping and Educators: Proceedings of the 3rd International Conference on Concept Mapping</w:t>
      </w:r>
      <w:r>
        <w:rPr>
          <w:rFonts w:ascii="Gill Sans MT" w:hAnsi="Gill Sans MT"/>
        </w:rPr>
        <w:t>, Tallinn, University of Tallinn.</w:t>
      </w:r>
    </w:p>
    <w:p w14:paraId="36FC599E" w14:textId="77777777" w:rsidR="008816CD" w:rsidRPr="00EC760C" w:rsidRDefault="008816CD" w:rsidP="008816CD">
      <w:pPr>
        <w:spacing w:after="0"/>
        <w:rPr>
          <w:rFonts w:ascii="Gill Sans MT" w:hAnsi="Gill Sans MT"/>
        </w:rPr>
      </w:pPr>
      <w:r>
        <w:rPr>
          <w:rFonts w:ascii="Gill Sans MT" w:hAnsi="Gill Sans MT"/>
        </w:rPr>
        <w:t xml:space="preserve">Lancaster, P., 2008, Universal Design for Learning, </w:t>
      </w:r>
      <w:r>
        <w:rPr>
          <w:rFonts w:ascii="Gill Sans MT" w:hAnsi="Gill Sans MT"/>
          <w:i/>
        </w:rPr>
        <w:t>Colleagues</w:t>
      </w:r>
      <w:r>
        <w:rPr>
          <w:rFonts w:ascii="Gill Sans MT" w:hAnsi="Gill Sans MT"/>
        </w:rPr>
        <w:t>, 3(1), 1-2.</w:t>
      </w:r>
    </w:p>
    <w:p w14:paraId="0A06DA98" w14:textId="77777777" w:rsidR="008816CD" w:rsidRPr="00133CC2" w:rsidRDefault="008816CD" w:rsidP="008816CD">
      <w:pPr>
        <w:spacing w:after="0"/>
        <w:rPr>
          <w:rFonts w:ascii="Gill Sans MT" w:hAnsi="Gill Sans MT"/>
        </w:rPr>
      </w:pPr>
      <w:r w:rsidRPr="00133CC2">
        <w:rPr>
          <w:rFonts w:ascii="Gill Sans MT" w:hAnsi="Gill Sans MT"/>
        </w:rPr>
        <w:t xml:space="preserve">Lauchlan, F., Boyle, C., 2007, Is the use of labels in special education helpful? </w:t>
      </w:r>
      <w:r w:rsidRPr="00133CC2">
        <w:rPr>
          <w:rFonts w:ascii="Gill Sans MT" w:hAnsi="Gill Sans MT"/>
          <w:i/>
        </w:rPr>
        <w:t>Support for Learning</w:t>
      </w:r>
      <w:r w:rsidRPr="00133CC2">
        <w:rPr>
          <w:rFonts w:ascii="Gill Sans MT" w:hAnsi="Gill Sans MT"/>
        </w:rPr>
        <w:t xml:space="preserve">, 22(1), 36-40. </w:t>
      </w:r>
    </w:p>
    <w:p w14:paraId="43FCA4AD" w14:textId="77777777" w:rsidR="008816CD" w:rsidRPr="00133CC2" w:rsidRDefault="008816CD" w:rsidP="008816CD">
      <w:pPr>
        <w:spacing w:after="0"/>
        <w:rPr>
          <w:rFonts w:ascii="Gill Sans MT" w:hAnsi="Gill Sans MT"/>
        </w:rPr>
      </w:pPr>
      <w:r w:rsidRPr="00133CC2">
        <w:rPr>
          <w:rFonts w:ascii="Gill Sans MT" w:hAnsi="Gill Sans MT"/>
        </w:rPr>
        <w:t xml:space="preserve">Laurs, D., 2010, Collaborating with postgraduate supervisors, Shifting sands, firm foundations: </w:t>
      </w:r>
      <w:r w:rsidRPr="00133CC2">
        <w:rPr>
          <w:rFonts w:ascii="Gill Sans MT" w:hAnsi="Gill Sans MT"/>
          <w:i/>
        </w:rPr>
        <w:t>Proceedings of the 2009 Annual International Conference of the Association of Tertiary Learning Advisors of Aotearoa/New Zealand</w:t>
      </w:r>
      <w:r w:rsidRPr="00133CC2">
        <w:rPr>
          <w:rFonts w:ascii="Gill Sans MT" w:hAnsi="Gill Sans MT"/>
        </w:rPr>
        <w:t>, Auckland, ATLAANZ.</w:t>
      </w:r>
    </w:p>
    <w:p w14:paraId="4E46682C" w14:textId="77777777" w:rsidR="008816CD" w:rsidRDefault="008816CD" w:rsidP="008816CD">
      <w:pPr>
        <w:spacing w:after="0"/>
        <w:rPr>
          <w:rFonts w:ascii="Gill Sans MT" w:hAnsi="Gill Sans MT"/>
        </w:rPr>
      </w:pPr>
      <w:r w:rsidRPr="00133CC2">
        <w:rPr>
          <w:rFonts w:ascii="Gill Sans MT" w:hAnsi="Gill Sans MT"/>
        </w:rPr>
        <w:t xml:space="preserve">Law, J., 2004, </w:t>
      </w:r>
      <w:r w:rsidRPr="00133CC2">
        <w:rPr>
          <w:rFonts w:ascii="Gill Sans MT" w:hAnsi="Gill Sans MT"/>
          <w:i/>
        </w:rPr>
        <w:t>After method: mess in social science research,</w:t>
      </w:r>
      <w:r w:rsidRPr="00133CC2">
        <w:rPr>
          <w:rFonts w:ascii="Gill Sans MT" w:hAnsi="Gill Sans MT"/>
        </w:rPr>
        <w:t xml:space="preserve"> London, Routledge.</w:t>
      </w:r>
    </w:p>
    <w:p w14:paraId="7E174C54" w14:textId="77777777" w:rsidR="008816CD" w:rsidRPr="00D70B75" w:rsidRDefault="008816CD" w:rsidP="008816CD">
      <w:pPr>
        <w:spacing w:after="0"/>
        <w:rPr>
          <w:rFonts w:ascii="Gill Sans MT" w:hAnsi="Gill Sans MT"/>
        </w:rPr>
      </w:pPr>
      <w:r>
        <w:rPr>
          <w:rFonts w:ascii="Gill Sans MT" w:hAnsi="Gill Sans MT"/>
        </w:rPr>
        <w:t xml:space="preserve">Law, J., McBean, K., Rush, R., 2011, Communication skills in a population of primary school-aged children raised in an area of pronounced social disadvantage, </w:t>
      </w:r>
      <w:r>
        <w:rPr>
          <w:rFonts w:ascii="Gill Sans MT" w:hAnsi="Gill Sans MT"/>
          <w:i/>
        </w:rPr>
        <w:t>International Journal of Language &amp; Communication Disorders</w:t>
      </w:r>
      <w:r>
        <w:rPr>
          <w:rFonts w:ascii="Gill Sans MT" w:hAnsi="Gill Sans MT"/>
        </w:rPr>
        <w:t>, 46(6), 657-664.</w:t>
      </w:r>
    </w:p>
    <w:p w14:paraId="5ED82561" w14:textId="77777777" w:rsidR="008816CD" w:rsidRPr="00133CC2" w:rsidRDefault="008816CD" w:rsidP="008816CD">
      <w:pPr>
        <w:spacing w:after="0"/>
        <w:rPr>
          <w:rFonts w:ascii="Gill Sans MT" w:hAnsi="Gill Sans MT"/>
        </w:rPr>
      </w:pPr>
      <w:r w:rsidRPr="00133CC2">
        <w:rPr>
          <w:rFonts w:ascii="Gill Sans MT" w:hAnsi="Gill Sans MT"/>
        </w:rPr>
        <w:t xml:space="preserve">le Jan, G., le Bouquin-Jeannes, R., Costet, N., Troles, N., Scalart, P., Pichancourt, D., Faucon, G., Gombert, J-E., 2011, Multivariate predictive model for dyslexia diagnosis, </w:t>
      </w:r>
      <w:r w:rsidRPr="00133CC2">
        <w:rPr>
          <w:rFonts w:ascii="Gill Sans MT" w:hAnsi="Gill Sans MT"/>
          <w:i/>
        </w:rPr>
        <w:t>Annals of Dyslexia</w:t>
      </w:r>
      <w:r w:rsidRPr="00133CC2">
        <w:rPr>
          <w:rFonts w:ascii="Gill Sans MT" w:hAnsi="Gill Sans MT"/>
        </w:rPr>
        <w:t xml:space="preserve">, 61(1), 1-10. </w:t>
      </w:r>
    </w:p>
    <w:p w14:paraId="251EE59D" w14:textId="77777777" w:rsidR="008816CD" w:rsidRPr="00133CC2" w:rsidRDefault="008816CD" w:rsidP="008816CD">
      <w:pPr>
        <w:spacing w:after="0"/>
        <w:rPr>
          <w:rFonts w:ascii="Gill Sans MT" w:hAnsi="Gill Sans MT"/>
        </w:rPr>
      </w:pPr>
      <w:r w:rsidRPr="00133CC2">
        <w:rPr>
          <w:rFonts w:ascii="Gill Sans MT" w:hAnsi="Gill Sans MT"/>
        </w:rPr>
        <w:t xml:space="preserve">Leathewood, C., O'Connell, P., 2003, 'It's a struggle': the construction of the 'new student' in higher education, </w:t>
      </w:r>
      <w:r w:rsidRPr="00133CC2">
        <w:rPr>
          <w:rFonts w:ascii="Gill Sans MT" w:hAnsi="Gill Sans MT"/>
          <w:i/>
        </w:rPr>
        <w:t>Journal of Education Policy</w:t>
      </w:r>
      <w:r w:rsidRPr="00133CC2">
        <w:rPr>
          <w:rFonts w:ascii="Gill Sans MT" w:hAnsi="Gill Sans MT"/>
        </w:rPr>
        <w:t>, 18(6), 597-615.</w:t>
      </w:r>
    </w:p>
    <w:p w14:paraId="2D5B76AD" w14:textId="754DB69E" w:rsidR="008816CD" w:rsidRDefault="008816CD" w:rsidP="008816CD">
      <w:pPr>
        <w:spacing w:after="0"/>
        <w:rPr>
          <w:rFonts w:ascii="Gill Sans MT" w:hAnsi="Gill Sans MT"/>
        </w:rPr>
      </w:pPr>
      <w:r w:rsidRPr="00133CC2">
        <w:rPr>
          <w:rFonts w:ascii="Gill Sans MT" w:hAnsi="Gill Sans MT"/>
        </w:rPr>
        <w:t xml:space="preserve">Lefly, D.I., Pennington, B.F., 1991, Spelling errors and reading fluency in compensated adult dyslexics, </w:t>
      </w:r>
      <w:r w:rsidRPr="00133CC2">
        <w:rPr>
          <w:rFonts w:ascii="Gill Sans MT" w:hAnsi="Gill Sans MT"/>
          <w:i/>
        </w:rPr>
        <w:t>Annals of Dyslexia</w:t>
      </w:r>
      <w:r w:rsidRPr="00133CC2">
        <w:rPr>
          <w:rFonts w:ascii="Gill Sans MT" w:hAnsi="Gill Sans MT"/>
        </w:rPr>
        <w:t>, 41, 143-162.</w:t>
      </w:r>
    </w:p>
    <w:p w14:paraId="4163CFB9" w14:textId="6C48D65F" w:rsidR="002669DC" w:rsidRPr="002669DC" w:rsidRDefault="002669DC" w:rsidP="008816CD">
      <w:pPr>
        <w:spacing w:after="0"/>
        <w:rPr>
          <w:rFonts w:ascii="Gill Sans MT" w:hAnsi="Gill Sans MT"/>
        </w:rPr>
      </w:pPr>
      <w:r>
        <w:rPr>
          <w:rFonts w:ascii="Gill Sans MT" w:hAnsi="Gill Sans MT"/>
        </w:rPr>
        <w:t xml:space="preserve">Lienemann, T.O., Reid, R., 2006, Self-regulated strategy developments for students with learning disabilities, </w:t>
      </w:r>
      <w:r>
        <w:rPr>
          <w:rFonts w:ascii="Gill Sans MT" w:hAnsi="Gill Sans MT"/>
          <w:i/>
          <w:iCs/>
        </w:rPr>
        <w:t>Teacher and Special Education Review</w:t>
      </w:r>
      <w:r>
        <w:rPr>
          <w:rFonts w:ascii="Gill Sans MT" w:hAnsi="Gill Sans MT"/>
        </w:rPr>
        <w:t>, 29(1), 3-11.</w:t>
      </w:r>
    </w:p>
    <w:p w14:paraId="28E49EFE" w14:textId="77777777" w:rsidR="008816CD" w:rsidRDefault="008816CD" w:rsidP="008816CD">
      <w:pPr>
        <w:spacing w:after="0"/>
        <w:rPr>
          <w:rFonts w:ascii="Gill Sans MT" w:hAnsi="Gill Sans MT"/>
        </w:rPr>
      </w:pPr>
      <w:r w:rsidRPr="00133CC2">
        <w:rPr>
          <w:rFonts w:ascii="Gill Sans MT" w:hAnsi="Gill Sans MT"/>
        </w:rPr>
        <w:t>Lenton, P., 2015, Determining student satisfaction: an economic analysis of the Nationa</w:t>
      </w:r>
      <w:r>
        <w:rPr>
          <w:rFonts w:ascii="Gill Sans MT" w:hAnsi="Gill Sans MT"/>
        </w:rPr>
        <w:t>l Student Surve</w:t>
      </w:r>
      <w:r w:rsidRPr="00133CC2">
        <w:rPr>
          <w:rFonts w:ascii="Gill Sans MT" w:hAnsi="Gill Sans MT"/>
        </w:rPr>
        <w:t xml:space="preserve">y, </w:t>
      </w:r>
      <w:r w:rsidRPr="00133CC2">
        <w:rPr>
          <w:rFonts w:ascii="Gill Sans MT" w:hAnsi="Gill Sans MT"/>
          <w:i/>
        </w:rPr>
        <w:t>Economics of Education Review</w:t>
      </w:r>
      <w:r w:rsidRPr="00133CC2">
        <w:rPr>
          <w:rFonts w:ascii="Gill Sans MT" w:hAnsi="Gill Sans MT"/>
        </w:rPr>
        <w:t>, 47, 118-127.</w:t>
      </w:r>
    </w:p>
    <w:p w14:paraId="65B44F70" w14:textId="77777777" w:rsidR="008816CD" w:rsidRPr="00133CC2" w:rsidRDefault="008816CD" w:rsidP="008816CD">
      <w:pPr>
        <w:spacing w:before="240" w:after="0"/>
        <w:rPr>
          <w:rFonts w:ascii="Gill Sans MT" w:hAnsi="Gill Sans MT"/>
        </w:rPr>
      </w:pPr>
      <w:r w:rsidRPr="00A5222A">
        <w:rPr>
          <w:rFonts w:ascii="Gill Sans MT" w:hAnsi="Gill Sans MT"/>
        </w:rPr>
        <w:t xml:space="preserve">Lenz, L., Pomp, A., Meisen, T., Jeschke, S., 2016, How will the Internet of Things and big data analytics impact the education of learning disabled students? </w:t>
      </w:r>
      <w:r w:rsidRPr="00A5222A">
        <w:rPr>
          <w:rFonts w:ascii="Gill Sans MT" w:hAnsi="Gill Sans MT"/>
          <w:i/>
        </w:rPr>
        <w:t>A Concept Paper presented at the 3rd MEC International Conference: Big Data and Smart City (ICBDSC)</w:t>
      </w:r>
      <w:r w:rsidRPr="00A5222A">
        <w:rPr>
          <w:rFonts w:ascii="Gill Sans MT" w:hAnsi="Gill Sans MT"/>
        </w:rPr>
        <w:t>, Muscat, Oman, IEEE.</w:t>
      </w:r>
    </w:p>
    <w:p w14:paraId="51585B5F" w14:textId="77777777" w:rsidR="008816CD" w:rsidRPr="00133CC2" w:rsidRDefault="008816CD" w:rsidP="008816CD">
      <w:pPr>
        <w:spacing w:after="0"/>
        <w:rPr>
          <w:rFonts w:ascii="Gill Sans MT" w:hAnsi="Gill Sans MT"/>
        </w:rPr>
      </w:pPr>
      <w:r w:rsidRPr="00133CC2">
        <w:rPr>
          <w:rFonts w:ascii="Gill Sans MT" w:hAnsi="Gill Sans MT"/>
        </w:rPr>
        <w:lastRenderedPageBreak/>
        <w:t xml:space="preserve">Lew, M.D.N., Schmidt, H.G., 2011, Self-reflection and academic performance: Is there a relationship? </w:t>
      </w:r>
      <w:r w:rsidRPr="00133CC2">
        <w:rPr>
          <w:rFonts w:ascii="Gill Sans MT" w:hAnsi="Gill Sans MT"/>
          <w:i/>
        </w:rPr>
        <w:t>Advances in Health Sciences Education</w:t>
      </w:r>
      <w:r w:rsidRPr="00133CC2">
        <w:rPr>
          <w:rFonts w:ascii="Gill Sans MT" w:hAnsi="Gill Sans MT"/>
        </w:rPr>
        <w:t>, 16(4), 529-545.</w:t>
      </w:r>
    </w:p>
    <w:p w14:paraId="45B623A1" w14:textId="77777777" w:rsidR="008816CD" w:rsidRDefault="008816CD" w:rsidP="008816CD">
      <w:pPr>
        <w:spacing w:after="0"/>
        <w:rPr>
          <w:rFonts w:ascii="Gill Sans MT" w:hAnsi="Gill Sans MT"/>
        </w:rPr>
      </w:pPr>
      <w:r w:rsidRPr="00133CC2">
        <w:rPr>
          <w:rFonts w:ascii="Gill Sans MT" w:hAnsi="Gill Sans MT"/>
        </w:rPr>
        <w:t xml:space="preserve">Liberman, I.Y., Shankweller, D., Orlando, C., Harris, K.S., Beli Berti, F., 1971, Letter confusions and reversals of sequence in the beginning reader: implications for Orton's theory of developmental dyslexia, </w:t>
      </w:r>
      <w:r w:rsidRPr="00133CC2">
        <w:rPr>
          <w:rFonts w:ascii="Gill Sans MT" w:hAnsi="Gill Sans MT"/>
          <w:i/>
        </w:rPr>
        <w:t>Cortex</w:t>
      </w:r>
      <w:r w:rsidRPr="00133CC2">
        <w:rPr>
          <w:rFonts w:ascii="Gill Sans MT" w:hAnsi="Gill Sans MT"/>
        </w:rPr>
        <w:t>, 7, 127-142.</w:t>
      </w:r>
    </w:p>
    <w:p w14:paraId="7781A257" w14:textId="77777777" w:rsidR="008816CD" w:rsidRDefault="008816CD" w:rsidP="008816CD">
      <w:pPr>
        <w:spacing w:before="240" w:after="0"/>
        <w:rPr>
          <w:rFonts w:ascii="Gill Sans MT" w:hAnsi="Gill Sans MT"/>
        </w:rPr>
      </w:pPr>
      <w:r w:rsidRPr="00665E95">
        <w:rPr>
          <w:rFonts w:ascii="Gill Sans MT" w:hAnsi="Gill Sans MT"/>
        </w:rPr>
        <w:t>Lindgren, S-A., 2012, Mild developmental dyslexia in university students: Diagnosis and performa</w:t>
      </w:r>
      <w:r>
        <w:rPr>
          <w:rFonts w:ascii="Gill Sans MT" w:hAnsi="Gill Sans MT"/>
        </w:rPr>
        <w:t xml:space="preserve">nce features in L1, L2 and L3, </w:t>
      </w:r>
      <w:r w:rsidRPr="00460631">
        <w:rPr>
          <w:rFonts w:ascii="Gill Sans MT" w:hAnsi="Gill Sans MT"/>
          <w:i/>
        </w:rPr>
        <w:t>Unpublished doctoral thesis</w:t>
      </w:r>
      <w:r w:rsidRPr="00665E95">
        <w:rPr>
          <w:rFonts w:ascii="Gill Sans MT" w:hAnsi="Gill Sans MT"/>
        </w:rPr>
        <w:t>, Abo Akademi University, Finland.</w:t>
      </w:r>
    </w:p>
    <w:p w14:paraId="433DCF0E" w14:textId="77777777" w:rsidR="008816CD" w:rsidRPr="00133CC2" w:rsidRDefault="008816CD" w:rsidP="008816CD">
      <w:pPr>
        <w:spacing w:after="0"/>
        <w:rPr>
          <w:rFonts w:ascii="Gill Sans MT" w:hAnsi="Gill Sans MT"/>
        </w:rPr>
      </w:pPr>
      <w:r w:rsidRPr="00133CC2">
        <w:rPr>
          <w:rFonts w:ascii="Gill Sans MT" w:hAnsi="Gill Sans MT"/>
        </w:rPr>
        <w:t xml:space="preserve">Lindstrom, W., Coleman, C., Thomassin, K., Southall, C.M., Lindstrom, J.H., 2011, Simulated dyslexia in post-secondary students: description and detection using embedded validity indicators, </w:t>
      </w:r>
      <w:r w:rsidRPr="00133CC2">
        <w:rPr>
          <w:rFonts w:ascii="Gill Sans MT" w:hAnsi="Gill Sans MT"/>
          <w:i/>
        </w:rPr>
        <w:t>The Clinical Neuropsychologist</w:t>
      </w:r>
      <w:r w:rsidRPr="00133CC2">
        <w:rPr>
          <w:rFonts w:ascii="Gill Sans MT" w:hAnsi="Gill Sans MT"/>
        </w:rPr>
        <w:t xml:space="preserve">, 25(2), 320-322. </w:t>
      </w:r>
    </w:p>
    <w:p w14:paraId="353D11D8" w14:textId="77777777" w:rsidR="008816CD" w:rsidRDefault="008816CD" w:rsidP="008816CD">
      <w:pPr>
        <w:spacing w:after="0"/>
        <w:rPr>
          <w:rFonts w:ascii="Gill Sans MT" w:hAnsi="Gill Sans MT"/>
        </w:rPr>
      </w:pPr>
      <w:r w:rsidRPr="00133CC2">
        <w:rPr>
          <w:rFonts w:ascii="Gill Sans MT" w:hAnsi="Gill Sans MT"/>
        </w:rPr>
        <w:t xml:space="preserve">Lisle, K., Wade, T.J., 2013, Does the presence of a Learning Disability elicit a stigmatization? British Journal of Education, </w:t>
      </w:r>
      <w:r w:rsidRPr="00133CC2">
        <w:rPr>
          <w:rFonts w:ascii="Gill Sans MT" w:hAnsi="Gill Sans MT"/>
          <w:i/>
        </w:rPr>
        <w:t>Society &amp; Behavioural Science</w:t>
      </w:r>
      <w:r w:rsidRPr="00133CC2">
        <w:rPr>
          <w:rFonts w:ascii="Gill Sans MT" w:hAnsi="Gill Sans MT"/>
        </w:rPr>
        <w:t>, 4(2), 211-225.</w:t>
      </w:r>
    </w:p>
    <w:p w14:paraId="02E2696F" w14:textId="77777777" w:rsidR="008816CD" w:rsidRPr="007A589C" w:rsidRDefault="008816CD" w:rsidP="008816CD">
      <w:pPr>
        <w:spacing w:after="0"/>
        <w:rPr>
          <w:rFonts w:ascii="Gill Sans MT" w:hAnsi="Gill Sans MT"/>
        </w:rPr>
      </w:pPr>
      <w:r>
        <w:rPr>
          <w:rFonts w:ascii="Gill Sans MT" w:hAnsi="Gill Sans MT"/>
        </w:rPr>
        <w:t xml:space="preserve">Livingstone, M.S., Rosen, G.D., Drislane, F.W., Galaburda, A.M., 1991, Physiological and anatomical evidence for a magnocellular defect in developmental dyslexia, </w:t>
      </w:r>
      <w:r>
        <w:rPr>
          <w:rFonts w:ascii="Gill Sans MT" w:hAnsi="Gill Sans MT"/>
          <w:i/>
        </w:rPr>
        <w:t>Proceedings of the National Academy of Sciences</w:t>
      </w:r>
      <w:r>
        <w:rPr>
          <w:rFonts w:ascii="Gill Sans MT" w:hAnsi="Gill Sans MT"/>
        </w:rPr>
        <w:t>, 88, 7943-7947.</w:t>
      </w:r>
    </w:p>
    <w:p w14:paraId="42F37242" w14:textId="77777777" w:rsidR="008816CD" w:rsidRDefault="008816CD" w:rsidP="008816CD">
      <w:pPr>
        <w:spacing w:after="0"/>
        <w:rPr>
          <w:rFonts w:ascii="Gill Sans MT" w:hAnsi="Gill Sans MT"/>
        </w:rPr>
      </w:pPr>
      <w:r w:rsidRPr="00133CC2">
        <w:rPr>
          <w:rFonts w:ascii="Gill Sans MT" w:hAnsi="Gill Sans MT"/>
        </w:rPr>
        <w:t xml:space="preserve">Locke, E.A., Latham, G.P., </w:t>
      </w:r>
      <w:r w:rsidRPr="00133CC2">
        <w:rPr>
          <w:rFonts w:ascii="Gill Sans MT" w:hAnsi="Gill Sans MT"/>
          <w:i/>
        </w:rPr>
        <w:t>A theory of goal-setting and task performance</w:t>
      </w:r>
      <w:r w:rsidRPr="00133CC2">
        <w:rPr>
          <w:rFonts w:ascii="Gill Sans MT" w:hAnsi="Gill Sans MT"/>
        </w:rPr>
        <w:t>, Englewood Cliffs, New Jersey, Prentice-Hall.</w:t>
      </w:r>
    </w:p>
    <w:p w14:paraId="10732AE5" w14:textId="77777777" w:rsidR="008816CD" w:rsidRPr="00C62EF2" w:rsidRDefault="008816CD" w:rsidP="008816CD">
      <w:pPr>
        <w:spacing w:after="0"/>
        <w:rPr>
          <w:rFonts w:ascii="Gill Sans MT" w:hAnsi="Gill Sans MT"/>
        </w:rPr>
      </w:pPr>
      <w:r>
        <w:rPr>
          <w:rFonts w:ascii="Gill Sans MT" w:hAnsi="Gill Sans MT"/>
        </w:rPr>
        <w:t xml:space="preserve">Locke, E.A., Shaw, K.N., Saari, L.M., Latham, G.P., 1981, Goal setting and task performance 1969-1980, </w:t>
      </w:r>
      <w:r>
        <w:rPr>
          <w:rFonts w:ascii="Gill Sans MT" w:hAnsi="Gill Sans MT"/>
          <w:i/>
        </w:rPr>
        <w:t>Psychological bulletin</w:t>
      </w:r>
      <w:r>
        <w:rPr>
          <w:rFonts w:ascii="Gill Sans MT" w:hAnsi="Gill Sans MT"/>
        </w:rPr>
        <w:t>, 90(1), 125-152.</w:t>
      </w:r>
    </w:p>
    <w:p w14:paraId="2D41404D" w14:textId="77777777" w:rsidR="008816CD" w:rsidRPr="00133CC2" w:rsidRDefault="008816CD" w:rsidP="008816CD">
      <w:pPr>
        <w:spacing w:after="0"/>
        <w:rPr>
          <w:rFonts w:ascii="Gill Sans MT" w:hAnsi="Gill Sans MT"/>
        </w:rPr>
      </w:pPr>
      <w:r w:rsidRPr="00133CC2">
        <w:rPr>
          <w:rFonts w:ascii="Gill Sans MT" w:hAnsi="Gill Sans MT"/>
        </w:rPr>
        <w:t xml:space="preserve">Lockhart, P., 2004, An investigation into the causes of student drop-out behaviour, </w:t>
      </w:r>
      <w:r w:rsidRPr="00133CC2">
        <w:rPr>
          <w:rFonts w:ascii="Gill Sans MT" w:hAnsi="Gill Sans MT"/>
          <w:i/>
        </w:rPr>
        <w:t>Unpublished undergraduate dissertation</w:t>
      </w:r>
      <w:r w:rsidRPr="00133CC2">
        <w:rPr>
          <w:rFonts w:ascii="Gill Sans MT" w:hAnsi="Gill Sans MT"/>
        </w:rPr>
        <w:t>, Glasgow University.</w:t>
      </w:r>
    </w:p>
    <w:p w14:paraId="3B4C8AC9" w14:textId="77777777" w:rsidR="008816CD" w:rsidRPr="00133CC2" w:rsidRDefault="008816CD" w:rsidP="008816CD">
      <w:pPr>
        <w:spacing w:after="0"/>
        <w:rPr>
          <w:rFonts w:ascii="Gill Sans MT" w:hAnsi="Gill Sans MT"/>
        </w:rPr>
      </w:pPr>
      <w:r w:rsidRPr="00133CC2">
        <w:rPr>
          <w:rFonts w:ascii="Gill Sans MT" w:hAnsi="Gill Sans MT"/>
        </w:rPr>
        <w:t xml:space="preserve">Loftus, E.F., Fienberg, S.E., Tanur, J.M., 1985, Cognitive psychology meets the national survey, </w:t>
      </w:r>
      <w:r w:rsidRPr="00133CC2">
        <w:rPr>
          <w:rFonts w:ascii="Gill Sans MT" w:hAnsi="Gill Sans MT"/>
          <w:i/>
        </w:rPr>
        <w:t>American Psychologist</w:t>
      </w:r>
      <w:r w:rsidRPr="00133CC2">
        <w:rPr>
          <w:rFonts w:ascii="Gill Sans MT" w:hAnsi="Gill Sans MT"/>
        </w:rPr>
        <w:t>, 40, 175-180.</w:t>
      </w:r>
    </w:p>
    <w:p w14:paraId="02751F6F" w14:textId="77777777" w:rsidR="008816CD" w:rsidRDefault="008816CD" w:rsidP="008816CD">
      <w:pPr>
        <w:spacing w:after="0"/>
        <w:rPr>
          <w:rFonts w:ascii="Gill Sans MT" w:hAnsi="Gill Sans MT"/>
        </w:rPr>
      </w:pPr>
      <w:r w:rsidRPr="00133CC2">
        <w:rPr>
          <w:rFonts w:ascii="Gill Sans MT" w:hAnsi="Gill Sans MT"/>
        </w:rPr>
        <w:t xml:space="preserve">Lombardino, L.J., Gauger, L.M., 2014, Dyslexia: Why is this diagnosis so challenging? </w:t>
      </w:r>
      <w:r w:rsidRPr="00133CC2">
        <w:rPr>
          <w:rFonts w:ascii="Gill Sans MT" w:hAnsi="Gill Sans MT"/>
          <w:i/>
        </w:rPr>
        <w:t>Perspectives on Language and Learning</w:t>
      </w:r>
      <w:r w:rsidRPr="00133CC2">
        <w:rPr>
          <w:rFonts w:ascii="Gill Sans MT" w:hAnsi="Gill Sans MT"/>
        </w:rPr>
        <w:t>, 21, 98-113.</w:t>
      </w:r>
    </w:p>
    <w:p w14:paraId="624393B4" w14:textId="77777777" w:rsidR="008816CD" w:rsidRDefault="008816CD" w:rsidP="008816CD">
      <w:pPr>
        <w:spacing w:after="0"/>
        <w:rPr>
          <w:rFonts w:ascii="Gill Sans MT" w:hAnsi="Gill Sans MT"/>
        </w:rPr>
      </w:pPr>
      <w:r>
        <w:rPr>
          <w:rFonts w:ascii="Gill Sans MT" w:hAnsi="Gill Sans MT"/>
        </w:rPr>
        <w:t xml:space="preserve">Longfellow, E., May, S., Burke, L., MArks-Maran, D., 2008, ‘They had a way of helping that actually helped’: a case study of a peer-assisted learning scheme, </w:t>
      </w:r>
      <w:r>
        <w:rPr>
          <w:rFonts w:ascii="Gill Sans MT" w:hAnsi="Gill Sans MT"/>
          <w:i/>
        </w:rPr>
        <w:t>Teaching in Higher Education</w:t>
      </w:r>
      <w:r>
        <w:rPr>
          <w:rFonts w:ascii="Gill Sans MT" w:hAnsi="Gill Sans MT"/>
        </w:rPr>
        <w:t>, 13(1), 93-105.</w:t>
      </w:r>
    </w:p>
    <w:p w14:paraId="55864AF1" w14:textId="1C2B6209" w:rsidR="008816CD" w:rsidRDefault="008816CD" w:rsidP="008816CD">
      <w:pPr>
        <w:spacing w:after="0"/>
        <w:rPr>
          <w:rFonts w:ascii="Gill Sans MT" w:hAnsi="Gill Sans MT"/>
        </w:rPr>
      </w:pPr>
      <w:r>
        <w:rPr>
          <w:rFonts w:ascii="Gill Sans MT" w:hAnsi="Gill Sans MT"/>
        </w:rPr>
        <w:t xml:space="preserve">Longobardi, C., Fabris, M.A., Mendola, M., Prino, L.E., 2019, Examining the selection of university courses in young adults with learning disabilities, </w:t>
      </w:r>
      <w:r>
        <w:rPr>
          <w:rFonts w:ascii="Gill Sans MT" w:hAnsi="Gill Sans MT"/>
          <w:i/>
        </w:rPr>
        <w:t>Dyslexia</w:t>
      </w:r>
      <w:r>
        <w:rPr>
          <w:rFonts w:ascii="Gill Sans MT" w:hAnsi="Gill Sans MT"/>
        </w:rPr>
        <w:t>, 25(2), 219-224.</w:t>
      </w:r>
    </w:p>
    <w:p w14:paraId="475CBEB9" w14:textId="02BDFB25" w:rsidR="00BC06AD" w:rsidRDefault="00BC06AD" w:rsidP="008816CD">
      <w:pPr>
        <w:spacing w:after="0"/>
        <w:rPr>
          <w:rFonts w:ascii="Gill Sans MT" w:hAnsi="Gill Sans MT"/>
        </w:rPr>
      </w:pPr>
      <w:r>
        <w:rPr>
          <w:rFonts w:ascii="Gill Sans MT" w:hAnsi="Gill Sans MT"/>
        </w:rPr>
        <w:t xml:space="preserve">Lorah, J., 2018, Effect size measures for multilevel models: definition, interpretation and TIMMS example, </w:t>
      </w:r>
      <w:r>
        <w:rPr>
          <w:rFonts w:ascii="Gill Sans MT" w:hAnsi="Gill Sans MT"/>
          <w:i/>
          <w:iCs/>
        </w:rPr>
        <w:t>Large-scale Assessments in Education</w:t>
      </w:r>
      <w:r>
        <w:rPr>
          <w:rFonts w:ascii="Gill Sans MT" w:hAnsi="Gill Sans MT"/>
        </w:rPr>
        <w:t>, 6(8), https://doi.org/10.1186/s40536-018-0061-2.</w:t>
      </w:r>
    </w:p>
    <w:p w14:paraId="4D587BB4" w14:textId="4B28B331" w:rsidR="00451907" w:rsidRDefault="00451907" w:rsidP="008816CD">
      <w:pPr>
        <w:spacing w:after="0"/>
        <w:rPr>
          <w:rFonts w:ascii="Gill Sans MT" w:hAnsi="Gill Sans MT"/>
        </w:rPr>
      </w:pPr>
      <w:r w:rsidRPr="00451907">
        <w:rPr>
          <w:rFonts w:ascii="Gill Sans MT" w:hAnsi="Gill Sans MT"/>
        </w:rPr>
        <w:t xml:space="preserve">Louangrath, P., 2018, Reliability and Validity of Survey Scales, </w:t>
      </w:r>
      <w:r w:rsidRPr="00451907">
        <w:rPr>
          <w:rFonts w:ascii="Gill Sans MT" w:hAnsi="Gill Sans MT"/>
          <w:i/>
          <w:iCs/>
        </w:rPr>
        <w:t>International Journal of Research and Methodology in Social Science</w:t>
      </w:r>
      <w:r w:rsidRPr="00451907">
        <w:rPr>
          <w:rFonts w:ascii="Gill Sans MT" w:hAnsi="Gill Sans MT"/>
        </w:rPr>
        <w:t>, 4(1), 50-62.</w:t>
      </w:r>
    </w:p>
    <w:p w14:paraId="736F4A3F" w14:textId="33FB1995" w:rsidR="00FC0BBF" w:rsidRPr="00FC0BBF" w:rsidRDefault="00FC0BBF" w:rsidP="008816CD">
      <w:pPr>
        <w:spacing w:after="0"/>
        <w:rPr>
          <w:rFonts w:ascii="Gill Sans MT" w:hAnsi="Gill Sans MT"/>
        </w:rPr>
      </w:pPr>
      <w:r>
        <w:rPr>
          <w:rFonts w:ascii="Gill Sans MT" w:hAnsi="Gill Sans MT"/>
        </w:rPr>
        <w:t xml:space="preserve">Loveland-Armour, L.A., 2018, Recently identified university students navigate dyslexia, </w:t>
      </w:r>
      <w:r>
        <w:rPr>
          <w:rFonts w:ascii="Gill Sans MT" w:hAnsi="Gill Sans MT"/>
          <w:i/>
          <w:iCs/>
        </w:rPr>
        <w:t>Journal of Applied Research in Higher Education</w:t>
      </w:r>
      <w:r>
        <w:rPr>
          <w:rFonts w:ascii="Gill Sans MT" w:hAnsi="Gill Sans MT"/>
        </w:rPr>
        <w:t>, 10(2), 170-181.</w:t>
      </w:r>
    </w:p>
    <w:p w14:paraId="1BF5D545" w14:textId="39331345" w:rsidR="008816CD" w:rsidRPr="00133CC2" w:rsidRDefault="008816CD" w:rsidP="008816CD">
      <w:pPr>
        <w:spacing w:after="0"/>
        <w:rPr>
          <w:rFonts w:ascii="Gill Sans MT" w:hAnsi="Gill Sans MT"/>
        </w:rPr>
      </w:pPr>
      <w:r w:rsidRPr="00133CC2">
        <w:rPr>
          <w:rFonts w:ascii="Gill Sans MT" w:hAnsi="Gill Sans MT"/>
        </w:rPr>
        <w:t>Ludwig, K.</w:t>
      </w:r>
      <w:r w:rsidR="00FC0BBF">
        <w:rPr>
          <w:rFonts w:ascii="Gill Sans MT" w:hAnsi="Gill Sans MT"/>
        </w:rPr>
        <w:t xml:space="preserve">, </w:t>
      </w:r>
      <w:r w:rsidRPr="00133CC2">
        <w:rPr>
          <w:rFonts w:ascii="Gill Sans MT" w:hAnsi="Gill Sans MT"/>
        </w:rPr>
        <w:t xml:space="preserve">2014, Proxy agency in collective action, </w:t>
      </w:r>
      <w:r w:rsidRPr="00133CC2">
        <w:rPr>
          <w:rFonts w:ascii="Gill Sans MT" w:hAnsi="Gill Sans MT"/>
          <w:i/>
        </w:rPr>
        <w:t>Nous</w:t>
      </w:r>
      <w:r w:rsidRPr="00133CC2">
        <w:rPr>
          <w:rFonts w:ascii="Gill Sans MT" w:hAnsi="Gill Sans MT"/>
        </w:rPr>
        <w:t>, 48(1), 75-105.</w:t>
      </w:r>
    </w:p>
    <w:p w14:paraId="41038A1D" w14:textId="77777777" w:rsidR="008816CD" w:rsidRPr="00133CC2" w:rsidRDefault="008816CD" w:rsidP="008816CD">
      <w:pPr>
        <w:spacing w:after="0"/>
        <w:rPr>
          <w:rFonts w:ascii="Gill Sans MT" w:hAnsi="Gill Sans MT"/>
        </w:rPr>
      </w:pPr>
      <w:r w:rsidRPr="00133CC2">
        <w:rPr>
          <w:rFonts w:ascii="Gill Sans MT" w:hAnsi="Gill Sans MT"/>
        </w:rPr>
        <w:t xml:space="preserve">Lui, W.C., Wang, C.K.J., 2005, Academic Self-Concept: A cross-sectional study of grade and gender differences in a Singapore Secondary School, </w:t>
      </w:r>
      <w:r w:rsidRPr="00133CC2">
        <w:rPr>
          <w:rFonts w:ascii="Gill Sans MT" w:hAnsi="Gill Sans MT"/>
          <w:i/>
        </w:rPr>
        <w:t>Asia Pacific Educational Review</w:t>
      </w:r>
      <w:r w:rsidRPr="00133CC2">
        <w:rPr>
          <w:rFonts w:ascii="Gill Sans MT" w:hAnsi="Gill Sans MT"/>
        </w:rPr>
        <w:t xml:space="preserve">, 6(1), 20-27. </w:t>
      </w:r>
    </w:p>
    <w:p w14:paraId="3FD65067" w14:textId="77777777" w:rsidR="008816CD" w:rsidRPr="00133CC2" w:rsidRDefault="008816CD" w:rsidP="008816CD">
      <w:pPr>
        <w:spacing w:after="0"/>
        <w:rPr>
          <w:rFonts w:ascii="Gill Sans MT" w:hAnsi="Gill Sans MT"/>
        </w:rPr>
      </w:pPr>
      <w:r w:rsidRPr="00133CC2">
        <w:rPr>
          <w:rFonts w:ascii="Gill Sans MT" w:hAnsi="Gill Sans MT"/>
        </w:rPr>
        <w:lastRenderedPageBreak/>
        <w:t xml:space="preserve">Lui, Y., Hongxiu, L., 2009, What drives m-Learning success? Drawing insights from self-directed learning theory, </w:t>
      </w:r>
      <w:r w:rsidRPr="00133CC2">
        <w:rPr>
          <w:rFonts w:ascii="Gill Sans MT" w:hAnsi="Gill Sans MT"/>
          <w:i/>
        </w:rPr>
        <w:t>PACIS 2009 Proceedings</w:t>
      </w:r>
      <w:r w:rsidRPr="00133CC2">
        <w:rPr>
          <w:rFonts w:ascii="Gill Sans MT" w:hAnsi="Gill Sans MT"/>
        </w:rPr>
        <w:t>, 111-124.</w:t>
      </w:r>
    </w:p>
    <w:p w14:paraId="1BD75F67" w14:textId="77777777" w:rsidR="008816CD" w:rsidRPr="00133CC2" w:rsidRDefault="008816CD" w:rsidP="008816CD">
      <w:pPr>
        <w:spacing w:after="0"/>
        <w:rPr>
          <w:rFonts w:ascii="Gill Sans MT" w:hAnsi="Gill Sans MT"/>
        </w:rPr>
      </w:pPr>
      <w:r w:rsidRPr="00133CC2">
        <w:rPr>
          <w:rFonts w:ascii="Gill Sans MT" w:hAnsi="Gill Sans MT"/>
        </w:rPr>
        <w:t xml:space="preserve">Lund, A., Lund, M., 2016-2018, </w:t>
      </w:r>
      <w:r w:rsidRPr="00133CC2">
        <w:rPr>
          <w:rFonts w:ascii="Gill Sans MT" w:hAnsi="Gill Sans MT"/>
          <w:i/>
        </w:rPr>
        <w:t>Laerd Statistics</w:t>
      </w:r>
      <w:r w:rsidRPr="00133CC2">
        <w:rPr>
          <w:rFonts w:ascii="Gill Sans MT" w:hAnsi="Gill Sans MT"/>
        </w:rPr>
        <w:t>, Lund Research Ltd, Bath, available at: http://www.statistics.laerd.com.</w:t>
      </w:r>
    </w:p>
    <w:p w14:paraId="3073C00C" w14:textId="77777777" w:rsidR="008816CD" w:rsidRPr="00133CC2" w:rsidRDefault="008816CD" w:rsidP="008816CD">
      <w:pPr>
        <w:spacing w:after="0"/>
        <w:rPr>
          <w:rFonts w:ascii="Gill Sans MT" w:hAnsi="Gill Sans MT"/>
        </w:rPr>
      </w:pPr>
      <w:r w:rsidRPr="00133CC2">
        <w:rPr>
          <w:rFonts w:ascii="Gill Sans MT" w:hAnsi="Gill Sans MT"/>
        </w:rPr>
        <w:t xml:space="preserve">Luszczynska, A., Scholz, U., Schwarzer, R., 2005, The general self-efficacy scale: multicultural validation studies, </w:t>
      </w:r>
      <w:r w:rsidRPr="00133CC2">
        <w:rPr>
          <w:rFonts w:ascii="Gill Sans MT" w:hAnsi="Gill Sans MT"/>
          <w:i/>
        </w:rPr>
        <w:t>The Journal of Psychology: Interdisciplinary and Applied</w:t>
      </w:r>
      <w:r w:rsidRPr="00133CC2">
        <w:rPr>
          <w:rFonts w:ascii="Gill Sans MT" w:hAnsi="Gill Sans MT"/>
        </w:rPr>
        <w:t>, 139(5), 439-457.</w:t>
      </w:r>
    </w:p>
    <w:p w14:paraId="639B46BA" w14:textId="77777777" w:rsidR="008816CD" w:rsidRPr="00133CC2" w:rsidRDefault="008816CD" w:rsidP="008816CD">
      <w:pPr>
        <w:spacing w:after="0"/>
        <w:rPr>
          <w:rFonts w:ascii="Gill Sans MT" w:hAnsi="Gill Sans MT"/>
        </w:rPr>
      </w:pPr>
      <w:r w:rsidRPr="00133CC2">
        <w:rPr>
          <w:rFonts w:ascii="Gill Sans MT" w:hAnsi="Gill Sans MT"/>
        </w:rPr>
        <w:t xml:space="preserve">MacCullagh, L., Bosanquet, A., Badcock, N.A., 2016, University students with dyslexia: a qualitative exploratory study of learning practices, challenges and strategies, </w:t>
      </w:r>
      <w:r w:rsidRPr="00133CC2">
        <w:rPr>
          <w:rFonts w:ascii="Gill Sans MT" w:hAnsi="Gill Sans MT"/>
          <w:i/>
        </w:rPr>
        <w:t>Dyslexia</w:t>
      </w:r>
      <w:r w:rsidRPr="00133CC2">
        <w:rPr>
          <w:rFonts w:ascii="Gill Sans MT" w:hAnsi="Gill Sans MT"/>
        </w:rPr>
        <w:t>, 23, 3-23.</w:t>
      </w:r>
    </w:p>
    <w:p w14:paraId="56F53A84" w14:textId="77777777" w:rsidR="008816CD" w:rsidRPr="00133CC2" w:rsidRDefault="008816CD" w:rsidP="008816CD">
      <w:pPr>
        <w:spacing w:after="0"/>
        <w:rPr>
          <w:rFonts w:ascii="Gill Sans MT" w:hAnsi="Gill Sans MT"/>
        </w:rPr>
      </w:pPr>
      <w:r w:rsidRPr="00133CC2">
        <w:rPr>
          <w:rFonts w:ascii="Gill Sans MT" w:hAnsi="Gill Sans MT"/>
        </w:rPr>
        <w:t xml:space="preserve">Macdonald, S.J., 2010, Towards a social reality of dyslexia, </w:t>
      </w:r>
      <w:r w:rsidRPr="00133CC2">
        <w:rPr>
          <w:rFonts w:ascii="Gill Sans MT" w:hAnsi="Gill Sans MT"/>
          <w:i/>
        </w:rPr>
        <w:t>British Journal of Learning Disabilities</w:t>
      </w:r>
      <w:r w:rsidRPr="00133CC2">
        <w:rPr>
          <w:rFonts w:ascii="Gill Sans MT" w:hAnsi="Gill Sans MT"/>
        </w:rPr>
        <w:t xml:space="preserve">, 38(4), 271-279. </w:t>
      </w:r>
    </w:p>
    <w:p w14:paraId="18D2B7D7" w14:textId="2085B285" w:rsidR="008816CD" w:rsidRDefault="008816CD" w:rsidP="008816CD">
      <w:pPr>
        <w:spacing w:after="0"/>
        <w:rPr>
          <w:rFonts w:ascii="Gill Sans MT" w:hAnsi="Gill Sans MT"/>
        </w:rPr>
      </w:pPr>
      <w:r w:rsidRPr="00133CC2">
        <w:rPr>
          <w:rFonts w:ascii="Gill Sans MT" w:hAnsi="Gill Sans MT"/>
        </w:rPr>
        <w:t xml:space="preserve">MacFarlance, B., 2011, Prizes, pedagogic research and teaching professors: lowering the status of teaching and learning through bifurcation, </w:t>
      </w:r>
      <w:r w:rsidRPr="00133CC2">
        <w:rPr>
          <w:rFonts w:ascii="Gill Sans MT" w:hAnsi="Gill Sans MT"/>
          <w:i/>
        </w:rPr>
        <w:t>Teaching in Higher Education</w:t>
      </w:r>
      <w:r w:rsidRPr="00133CC2">
        <w:rPr>
          <w:rFonts w:ascii="Gill Sans MT" w:hAnsi="Gill Sans MT"/>
        </w:rPr>
        <w:t>, 16(1), 127-130.</w:t>
      </w:r>
    </w:p>
    <w:p w14:paraId="441E4CFE" w14:textId="77771B20" w:rsidR="00BC5761" w:rsidRPr="00BC5761" w:rsidRDefault="00BC5761" w:rsidP="008816CD">
      <w:pPr>
        <w:spacing w:after="0"/>
        <w:rPr>
          <w:rFonts w:ascii="Gill Sans MT" w:hAnsi="Gill Sans MT"/>
        </w:rPr>
      </w:pPr>
      <w:r>
        <w:rPr>
          <w:rFonts w:ascii="Gill Sans MT" w:hAnsi="Gill Sans MT"/>
        </w:rPr>
        <w:t>MAcFarlance, A., Albrair, A., Marshall, C.R., Buchanan, G., 2012, Phonological working memory impacts on information searching: An</w:t>
      </w:r>
      <w:r w:rsidR="00FC0BBF">
        <w:rPr>
          <w:rFonts w:ascii="Gill Sans MT" w:hAnsi="Gill Sans MT"/>
        </w:rPr>
        <w:t xml:space="preserve"> </w:t>
      </w:r>
      <w:r>
        <w:rPr>
          <w:rFonts w:ascii="Gill Sans MT" w:hAnsi="Gill Sans MT"/>
        </w:rPr>
        <w:t xml:space="preserve">investigation of dyslexia, </w:t>
      </w:r>
      <w:r>
        <w:rPr>
          <w:rFonts w:ascii="Gill Sans MT" w:hAnsi="Gill Sans MT"/>
          <w:i/>
          <w:iCs/>
        </w:rPr>
        <w:t>Proceedings of he 4th Information in Context Symposium</w:t>
      </w:r>
      <w:r>
        <w:rPr>
          <w:rFonts w:ascii="Gill Sans MT" w:hAnsi="Gill Sans MT"/>
        </w:rPr>
        <w:t>, Nijmegen, Netherlands.</w:t>
      </w:r>
    </w:p>
    <w:p w14:paraId="66E37D6F" w14:textId="77777777" w:rsidR="008816CD" w:rsidRDefault="008816CD" w:rsidP="008816CD">
      <w:pPr>
        <w:spacing w:after="0"/>
        <w:rPr>
          <w:rFonts w:ascii="Gill Sans MT" w:hAnsi="Gill Sans MT"/>
        </w:rPr>
      </w:pPr>
      <w:r w:rsidRPr="00133CC2">
        <w:rPr>
          <w:rFonts w:ascii="Gill Sans MT" w:hAnsi="Gill Sans MT"/>
        </w:rPr>
        <w:t xml:space="preserve">Madriaga, M., 2007, Enduring disablism: students with dyslexia and their pathways into UK higher education and beyond, </w:t>
      </w:r>
      <w:r w:rsidRPr="00133CC2">
        <w:rPr>
          <w:rFonts w:ascii="Gill Sans MT" w:hAnsi="Gill Sans MT"/>
          <w:i/>
        </w:rPr>
        <w:t>Disability &amp; Society</w:t>
      </w:r>
      <w:r w:rsidRPr="00133CC2">
        <w:rPr>
          <w:rFonts w:ascii="Gill Sans MT" w:hAnsi="Gill Sans MT"/>
        </w:rPr>
        <w:t>, 22(4), 399-412.</w:t>
      </w:r>
    </w:p>
    <w:p w14:paraId="404FEC5B" w14:textId="77777777" w:rsidR="008816CD" w:rsidRPr="00161730" w:rsidRDefault="008816CD" w:rsidP="008816CD">
      <w:pPr>
        <w:spacing w:after="0"/>
        <w:rPr>
          <w:rFonts w:ascii="Gill Sans MT" w:hAnsi="Gill Sans MT"/>
        </w:rPr>
      </w:pPr>
      <w:r>
        <w:rPr>
          <w:rFonts w:ascii="Gill Sans MT" w:hAnsi="Gill Sans MT"/>
        </w:rPr>
        <w:t xml:space="preserve">Maher, J.M., Markey, J.C., Ebert-May, D., 2013, The other half of the story: effect size analysis in quantitative research, </w:t>
      </w:r>
      <w:r>
        <w:rPr>
          <w:rFonts w:ascii="Gill Sans MT" w:hAnsi="Gill Sans MT"/>
          <w:i/>
        </w:rPr>
        <w:t>CBE – Life Sciences Education</w:t>
      </w:r>
      <w:r>
        <w:rPr>
          <w:rFonts w:ascii="Gill Sans MT" w:hAnsi="Gill Sans MT"/>
        </w:rPr>
        <w:t>, 12(3) 345-351.</w:t>
      </w:r>
    </w:p>
    <w:p w14:paraId="552B4183" w14:textId="77777777" w:rsidR="008816CD" w:rsidRPr="00133CC2" w:rsidRDefault="008816CD" w:rsidP="008816CD">
      <w:pPr>
        <w:spacing w:after="0"/>
        <w:rPr>
          <w:rFonts w:ascii="Gill Sans MT" w:hAnsi="Gill Sans MT"/>
        </w:rPr>
      </w:pPr>
      <w:r w:rsidRPr="00133CC2">
        <w:rPr>
          <w:rFonts w:ascii="Gill Sans MT" w:hAnsi="Gill Sans MT"/>
        </w:rPr>
        <w:t xml:space="preserve">Magnusson, K., 2014, </w:t>
      </w:r>
      <w:r w:rsidRPr="00133CC2">
        <w:rPr>
          <w:rFonts w:ascii="Gill Sans MT" w:hAnsi="Gill Sans MT"/>
          <w:i/>
        </w:rPr>
        <w:t>Interpreting Cohen's d effect size</w:t>
      </w:r>
      <w:r w:rsidRPr="00133CC2">
        <w:rPr>
          <w:rFonts w:ascii="Gill Sans MT" w:hAnsi="Gill Sans MT"/>
        </w:rPr>
        <w:t>, Available at: http://rpsychologist.com/d3/cohend/, accessed on: 12th July 2015.</w:t>
      </w:r>
    </w:p>
    <w:p w14:paraId="777D325A" w14:textId="77777777" w:rsidR="008816CD" w:rsidRPr="00133CC2" w:rsidRDefault="008816CD" w:rsidP="008816CD">
      <w:pPr>
        <w:spacing w:after="0"/>
        <w:rPr>
          <w:rFonts w:ascii="Gill Sans MT" w:hAnsi="Gill Sans MT"/>
        </w:rPr>
      </w:pPr>
      <w:r w:rsidRPr="00133CC2">
        <w:rPr>
          <w:rFonts w:ascii="Gill Sans MT" w:hAnsi="Gill Sans MT"/>
        </w:rPr>
        <w:t xml:space="preserve">Malone, T.W., Toward a theory of intrinsically motivating instruction, </w:t>
      </w:r>
      <w:r w:rsidRPr="00133CC2">
        <w:rPr>
          <w:rFonts w:ascii="Gill Sans MT" w:hAnsi="Gill Sans MT"/>
          <w:i/>
        </w:rPr>
        <w:t>Cognitive Science</w:t>
      </w:r>
      <w:r w:rsidRPr="00133CC2">
        <w:rPr>
          <w:rFonts w:ascii="Gill Sans MT" w:hAnsi="Gill Sans MT"/>
        </w:rPr>
        <w:t>, 5(4), 333-369.</w:t>
      </w:r>
    </w:p>
    <w:p w14:paraId="190198E4" w14:textId="77777777" w:rsidR="008816CD" w:rsidRPr="00133CC2" w:rsidRDefault="008816CD" w:rsidP="008816CD">
      <w:pPr>
        <w:spacing w:after="0"/>
        <w:rPr>
          <w:rFonts w:ascii="Gill Sans MT" w:hAnsi="Gill Sans MT"/>
        </w:rPr>
      </w:pPr>
      <w:r w:rsidRPr="00133CC2">
        <w:rPr>
          <w:rFonts w:ascii="Gill Sans MT" w:hAnsi="Gill Sans MT"/>
        </w:rPr>
        <w:t xml:space="preserve">Maloshonok, N., Terentev, E., 2016, The impact of visual design and response formats on data quality in a web survey of MOOC students, </w:t>
      </w:r>
      <w:r w:rsidRPr="00133CC2">
        <w:rPr>
          <w:rFonts w:ascii="Gill Sans MT" w:hAnsi="Gill Sans MT"/>
          <w:i/>
        </w:rPr>
        <w:t>Computers in Human Behaviour</w:t>
      </w:r>
      <w:r w:rsidRPr="00133CC2">
        <w:rPr>
          <w:rFonts w:ascii="Gill Sans MT" w:hAnsi="Gill Sans MT"/>
        </w:rPr>
        <w:t xml:space="preserve">, 52(2), 506-515 </w:t>
      </w:r>
    </w:p>
    <w:p w14:paraId="6D530F68" w14:textId="77777777" w:rsidR="008816CD" w:rsidRPr="00133CC2" w:rsidRDefault="008816CD" w:rsidP="008816CD">
      <w:pPr>
        <w:spacing w:after="0"/>
        <w:rPr>
          <w:rFonts w:ascii="Gill Sans MT" w:hAnsi="Gill Sans MT"/>
        </w:rPr>
      </w:pPr>
      <w:r w:rsidRPr="00133CC2">
        <w:rPr>
          <w:rFonts w:ascii="Gill Sans MT" w:hAnsi="Gill Sans MT"/>
        </w:rPr>
        <w:t xml:space="preserve">Marais, N., 2011, Connectivism as learning theory: the force behind changed teaching practice in higher education, </w:t>
      </w:r>
      <w:r w:rsidRPr="00133CC2">
        <w:rPr>
          <w:rFonts w:ascii="Gill Sans MT" w:hAnsi="Gill Sans MT"/>
          <w:i/>
        </w:rPr>
        <w:t>Education, Knowledge and Economy</w:t>
      </w:r>
      <w:r w:rsidRPr="00133CC2">
        <w:rPr>
          <w:rFonts w:ascii="Gill Sans MT" w:hAnsi="Gill Sans MT"/>
        </w:rPr>
        <w:t>, 4(3), 173-182.</w:t>
      </w:r>
    </w:p>
    <w:p w14:paraId="26830BE8" w14:textId="77777777" w:rsidR="008816CD" w:rsidRDefault="008816CD" w:rsidP="008816CD">
      <w:pPr>
        <w:spacing w:after="0"/>
        <w:rPr>
          <w:rFonts w:ascii="Gill Sans MT" w:hAnsi="Gill Sans MT"/>
        </w:rPr>
      </w:pPr>
      <w:r w:rsidRPr="00133CC2">
        <w:rPr>
          <w:rFonts w:ascii="Gill Sans MT" w:hAnsi="Gill Sans MT"/>
        </w:rPr>
        <w:t xml:space="preserve">Marcus, B., Bosnjak, M., Lindner, S., Pilischenko, S., Schutz, A., 2007, Compensating for low topic interest and long surveys: A field experiment on non-response in web surveys, </w:t>
      </w:r>
      <w:r w:rsidRPr="00133CC2">
        <w:rPr>
          <w:rFonts w:ascii="Gill Sans MT" w:hAnsi="Gill Sans MT"/>
          <w:i/>
        </w:rPr>
        <w:t>Research Policy</w:t>
      </w:r>
      <w:r w:rsidRPr="00133CC2">
        <w:rPr>
          <w:rFonts w:ascii="Gill Sans MT" w:hAnsi="Gill Sans MT"/>
        </w:rPr>
        <w:t xml:space="preserve">, 42, 273-286. </w:t>
      </w:r>
    </w:p>
    <w:p w14:paraId="0C6C9854" w14:textId="77777777" w:rsidR="008816CD" w:rsidRPr="001423D4" w:rsidRDefault="008816CD" w:rsidP="008816CD">
      <w:pPr>
        <w:spacing w:after="0"/>
        <w:rPr>
          <w:rFonts w:ascii="Gill Sans MT" w:hAnsi="Gill Sans MT"/>
        </w:rPr>
      </w:pPr>
      <w:r>
        <w:rPr>
          <w:rFonts w:ascii="Gill Sans MT" w:hAnsi="Gill Sans MT"/>
        </w:rPr>
        <w:t xml:space="preserve">Marek, P., Williamson, A., Taglialetela, L., 2015, Measuring learning and self-efficacy, IN: Jhangiani, R.S., Troise, J.D., Fleck, B., Legg, A.M., Hussey, H.D., (eds), </w:t>
      </w:r>
      <w:r>
        <w:rPr>
          <w:rFonts w:ascii="Gill Sans MT" w:hAnsi="Gill Sans MT"/>
          <w:i/>
        </w:rPr>
        <w:t>A compendium of scale for use in the scholarship of learning and teaching</w:t>
      </w:r>
      <w:r>
        <w:rPr>
          <w:rFonts w:ascii="Gill Sans MT" w:hAnsi="Gill Sans MT"/>
        </w:rPr>
        <w:t xml:space="preserve">, Available at: </w:t>
      </w:r>
      <w:hyperlink r:id="rId64" w:history="1">
        <w:r w:rsidRPr="003844B3">
          <w:rPr>
            <w:rStyle w:val="Hyperlink"/>
            <w:rFonts w:ascii="Gill Sans MT" w:hAnsi="Gill Sans MT"/>
          </w:rPr>
          <w:t>http://www.teachpsych.org</w:t>
        </w:r>
      </w:hyperlink>
      <w:r>
        <w:rPr>
          <w:rFonts w:ascii="Gill Sans MT" w:hAnsi="Gill Sans MT"/>
        </w:rPr>
        <w:t>, Accessed on 14</w:t>
      </w:r>
      <w:r w:rsidRPr="001423D4">
        <w:rPr>
          <w:rFonts w:ascii="Gill Sans MT" w:hAnsi="Gill Sans MT"/>
          <w:vertAlign w:val="superscript"/>
        </w:rPr>
        <w:t>th</w:t>
      </w:r>
      <w:r>
        <w:rPr>
          <w:rFonts w:ascii="Gill Sans MT" w:hAnsi="Gill Sans MT"/>
        </w:rPr>
        <w:t xml:space="preserve"> June 2018.</w:t>
      </w:r>
    </w:p>
    <w:p w14:paraId="3D1C8836" w14:textId="77777777" w:rsidR="008816CD" w:rsidRDefault="008816CD" w:rsidP="008816CD">
      <w:pPr>
        <w:spacing w:after="0"/>
        <w:rPr>
          <w:rFonts w:ascii="Gill Sans MT" w:hAnsi="Gill Sans MT"/>
        </w:rPr>
      </w:pPr>
      <w:r w:rsidRPr="00133CC2">
        <w:rPr>
          <w:rFonts w:ascii="Gill Sans MT" w:hAnsi="Gill Sans MT"/>
        </w:rPr>
        <w:t xml:space="preserve">Martin, J., Frauenfelder, U.H., Cole, P., 2014, Morphological awareness in dyslexic university students, </w:t>
      </w:r>
      <w:r w:rsidRPr="00133CC2">
        <w:rPr>
          <w:rFonts w:ascii="Gill Sans MT" w:hAnsi="Gill Sans MT"/>
          <w:i/>
        </w:rPr>
        <w:t>Applied Psycholinguistics</w:t>
      </w:r>
      <w:r w:rsidRPr="00133CC2">
        <w:rPr>
          <w:rFonts w:ascii="Gill Sans MT" w:hAnsi="Gill Sans MT"/>
        </w:rPr>
        <w:t>, 35(6), 1213-1233.</w:t>
      </w:r>
    </w:p>
    <w:p w14:paraId="0AA25437" w14:textId="77777777" w:rsidR="008816CD" w:rsidRPr="00133CC2" w:rsidRDefault="008816CD" w:rsidP="008816CD">
      <w:pPr>
        <w:spacing w:after="0"/>
        <w:rPr>
          <w:rFonts w:ascii="Gill Sans MT" w:hAnsi="Gill Sans MT"/>
        </w:rPr>
      </w:pPr>
      <w:r w:rsidRPr="00133CC2">
        <w:rPr>
          <w:rFonts w:ascii="Gill Sans MT" w:hAnsi="Gill Sans MT"/>
        </w:rPr>
        <w:t xml:space="preserve">Martin, J., Gill, D.L., 1991, The relationships among competitive orientation, sport-confidence, self-efficacy, anxiety and performance, </w:t>
      </w:r>
      <w:r w:rsidRPr="00133CC2">
        <w:rPr>
          <w:rFonts w:ascii="Gill Sans MT" w:hAnsi="Gill Sans MT"/>
          <w:i/>
        </w:rPr>
        <w:t>Journal of Sport and Exercise Psychology</w:t>
      </w:r>
      <w:r w:rsidRPr="00133CC2">
        <w:rPr>
          <w:rFonts w:ascii="Gill Sans MT" w:hAnsi="Gill Sans MT"/>
        </w:rPr>
        <w:t>, 13(2), 149-159.</w:t>
      </w:r>
    </w:p>
    <w:p w14:paraId="1085783B" w14:textId="77777777" w:rsidR="008816CD" w:rsidRPr="00E0256D" w:rsidRDefault="008816CD" w:rsidP="008816CD">
      <w:pPr>
        <w:spacing w:after="0"/>
        <w:rPr>
          <w:rFonts w:ascii="Gill Sans MT" w:hAnsi="Gill Sans MT"/>
        </w:rPr>
      </w:pPr>
      <w:r>
        <w:rPr>
          <w:rFonts w:ascii="Gill Sans MT" w:hAnsi="Gill Sans MT"/>
        </w:rPr>
        <w:t>Martinez, P,T., Majerus, S., Poncelet, M., 2013, Impaired short-term memory for order in adults with dyslexia</w:t>
      </w:r>
      <w:r>
        <w:rPr>
          <w:rFonts w:ascii="Gill Sans MT" w:hAnsi="Gill Sans MT"/>
          <w:i/>
        </w:rPr>
        <w:t>, Research in Developmental Disabilities</w:t>
      </w:r>
      <w:r>
        <w:rPr>
          <w:rFonts w:ascii="Gill Sans MT" w:hAnsi="Gill Sans MT"/>
        </w:rPr>
        <w:t>, 34(7), 2211-2223.</w:t>
      </w:r>
    </w:p>
    <w:p w14:paraId="6B623663" w14:textId="77777777" w:rsidR="008816CD" w:rsidRDefault="008816CD" w:rsidP="008816CD">
      <w:pPr>
        <w:spacing w:after="0"/>
        <w:rPr>
          <w:rFonts w:ascii="Gill Sans MT" w:hAnsi="Gill Sans MT"/>
        </w:rPr>
      </w:pPr>
      <w:r w:rsidRPr="00133CC2">
        <w:rPr>
          <w:rFonts w:ascii="Gill Sans MT" w:hAnsi="Gill Sans MT"/>
        </w:rPr>
        <w:lastRenderedPageBreak/>
        <w:t xml:space="preserve">Matovu, M., 2014, A structural equation modelling of the Academic Self-Concept Scale, International Electronic </w:t>
      </w:r>
      <w:r w:rsidRPr="00133CC2">
        <w:rPr>
          <w:rFonts w:ascii="Gill Sans MT" w:hAnsi="Gill Sans MT"/>
          <w:i/>
        </w:rPr>
        <w:t>Journal of Elementary Education</w:t>
      </w:r>
      <w:r w:rsidRPr="00133CC2">
        <w:rPr>
          <w:rFonts w:ascii="Gill Sans MT" w:hAnsi="Gill Sans MT"/>
        </w:rPr>
        <w:t>, 6(2), 185-198.</w:t>
      </w:r>
    </w:p>
    <w:p w14:paraId="31CD74B1" w14:textId="77777777" w:rsidR="008816CD" w:rsidRDefault="008816CD" w:rsidP="008816CD">
      <w:pPr>
        <w:spacing w:after="0"/>
        <w:rPr>
          <w:rFonts w:ascii="Gill Sans MT" w:hAnsi="Gill Sans MT"/>
        </w:rPr>
      </w:pPr>
      <w:r w:rsidRPr="00D33E4F">
        <w:rPr>
          <w:rFonts w:ascii="Gill Sans MT" w:hAnsi="Gill Sans MT"/>
        </w:rPr>
        <w:t>Mattlew, M., 1992, Handwriting and spelling: dyslexic children's abilities compared with children of the same chronological age and younger children with the same spelling level</w:t>
      </w:r>
      <w:r w:rsidRPr="00D33E4F">
        <w:rPr>
          <w:rFonts w:ascii="Gill Sans MT" w:hAnsi="Gill Sans MT"/>
          <w:i/>
        </w:rPr>
        <w:t>, British Journal of Educational Psychology</w:t>
      </w:r>
      <w:r w:rsidRPr="00D33E4F">
        <w:rPr>
          <w:rFonts w:ascii="Gill Sans MT" w:hAnsi="Gill Sans MT"/>
        </w:rPr>
        <w:t>, 62</w:t>
      </w:r>
      <w:r>
        <w:rPr>
          <w:rFonts w:ascii="Gill Sans MT" w:hAnsi="Gill Sans MT"/>
        </w:rPr>
        <w:t>(3)</w:t>
      </w:r>
      <w:r w:rsidRPr="00D33E4F">
        <w:rPr>
          <w:rFonts w:ascii="Gill Sans MT" w:hAnsi="Gill Sans MT"/>
        </w:rPr>
        <w:t>, 375-390.</w:t>
      </w:r>
    </w:p>
    <w:p w14:paraId="3202868A" w14:textId="77777777" w:rsidR="008816CD" w:rsidRPr="00133CC2" w:rsidRDefault="008816CD" w:rsidP="008816CD">
      <w:pPr>
        <w:spacing w:after="0"/>
        <w:rPr>
          <w:rFonts w:ascii="Gill Sans MT" w:hAnsi="Gill Sans MT"/>
        </w:rPr>
      </w:pPr>
      <w:r w:rsidRPr="00133CC2">
        <w:rPr>
          <w:rFonts w:ascii="Gill Sans MT" w:hAnsi="Gill Sans MT"/>
        </w:rPr>
        <w:t xml:space="preserve">McCallum, R.C., Widaman, K.F., Zhang, S., Hong, S., 1999, Sample size in factor analysis, </w:t>
      </w:r>
      <w:r w:rsidRPr="00133CC2">
        <w:rPr>
          <w:rFonts w:ascii="Gill Sans MT" w:hAnsi="Gill Sans MT"/>
          <w:i/>
        </w:rPr>
        <w:t>Psychological Methods</w:t>
      </w:r>
      <w:r w:rsidRPr="00133CC2">
        <w:rPr>
          <w:rFonts w:ascii="Gill Sans MT" w:hAnsi="Gill Sans MT"/>
        </w:rPr>
        <w:t>, 4(1), 84-99.</w:t>
      </w:r>
    </w:p>
    <w:p w14:paraId="25F0269D" w14:textId="77777777" w:rsidR="008816CD" w:rsidRPr="0000352E" w:rsidRDefault="008816CD" w:rsidP="008816CD">
      <w:pPr>
        <w:spacing w:after="0"/>
        <w:rPr>
          <w:rFonts w:ascii="Gill Sans MT" w:hAnsi="Gill Sans MT"/>
        </w:rPr>
      </w:pPr>
      <w:r>
        <w:rPr>
          <w:rFonts w:ascii="Gill Sans MT" w:hAnsi="Gill Sans MT"/>
        </w:rPr>
        <w:t xml:space="preserve">McCardle, L., Young, B.W., Baker, J., 2017, Self-regulated learning and expertise development in sport: current status, challenges and future opportunities, </w:t>
      </w:r>
      <w:r>
        <w:rPr>
          <w:rFonts w:ascii="Gill Sans MT" w:hAnsi="Gill Sans MT"/>
          <w:i/>
        </w:rPr>
        <w:t>International Review of Sport and Exercise Psychology</w:t>
      </w:r>
      <w:r>
        <w:rPr>
          <w:rFonts w:ascii="Gill Sans MT" w:hAnsi="Gill Sans MT"/>
        </w:rPr>
        <w:t>, 10</w:t>
      </w:r>
    </w:p>
    <w:p w14:paraId="09061DA5" w14:textId="77777777" w:rsidR="008816CD" w:rsidRPr="00133CC2" w:rsidRDefault="008816CD" w:rsidP="008816CD">
      <w:pPr>
        <w:spacing w:after="0"/>
        <w:rPr>
          <w:rFonts w:ascii="Gill Sans MT" w:hAnsi="Gill Sans MT"/>
        </w:rPr>
      </w:pPr>
      <w:r w:rsidRPr="00133CC2">
        <w:rPr>
          <w:rFonts w:ascii="Gill Sans MT" w:hAnsi="Gill Sans MT"/>
        </w:rPr>
        <w:t>McCarthy, J.E., Swierenga, S.J., 2010, What we know about dyslexia and Web accessibility: a research review,</w:t>
      </w:r>
      <w:r w:rsidRPr="00133CC2">
        <w:rPr>
          <w:rFonts w:ascii="Gill Sans MT" w:hAnsi="Gill Sans MT"/>
          <w:i/>
        </w:rPr>
        <w:t xml:space="preserve"> Universal Access in the Information Society</w:t>
      </w:r>
      <w:r w:rsidRPr="00133CC2">
        <w:rPr>
          <w:rFonts w:ascii="Gill Sans MT" w:hAnsi="Gill Sans MT"/>
        </w:rPr>
        <w:t>, 9(2), 147-152.</w:t>
      </w:r>
    </w:p>
    <w:p w14:paraId="4AABF6CB" w14:textId="77777777" w:rsidR="008816CD" w:rsidRPr="00133CC2" w:rsidRDefault="008816CD" w:rsidP="008816CD">
      <w:pPr>
        <w:spacing w:after="0"/>
        <w:rPr>
          <w:rFonts w:ascii="Gill Sans MT" w:hAnsi="Gill Sans MT"/>
        </w:rPr>
      </w:pPr>
      <w:r w:rsidRPr="00133CC2">
        <w:rPr>
          <w:rFonts w:ascii="Gill Sans MT" w:hAnsi="Gill Sans MT"/>
        </w:rPr>
        <w:t xml:space="preserve">McCue-Herlihy, B., 1997, Relations among self-efficacy academic achievement resource utilization and persistence in a sample of non-traditional college students, </w:t>
      </w:r>
      <w:r w:rsidRPr="00133CC2">
        <w:rPr>
          <w:rFonts w:ascii="Gill Sans MT" w:hAnsi="Gill Sans MT"/>
          <w:i/>
        </w:rPr>
        <w:t>Unpublished doctoral thesis</w:t>
      </w:r>
      <w:r w:rsidRPr="00133CC2">
        <w:rPr>
          <w:rFonts w:ascii="Gill Sans MT" w:hAnsi="Gill Sans MT"/>
        </w:rPr>
        <w:t>, University of Maine.</w:t>
      </w:r>
    </w:p>
    <w:p w14:paraId="422797E6" w14:textId="77777777" w:rsidR="008816CD" w:rsidRPr="00133CC2" w:rsidRDefault="008816CD" w:rsidP="008816CD">
      <w:pPr>
        <w:spacing w:after="0"/>
        <w:rPr>
          <w:rFonts w:ascii="Gill Sans MT" w:hAnsi="Gill Sans MT"/>
        </w:rPr>
      </w:pPr>
      <w:r w:rsidRPr="00133CC2">
        <w:rPr>
          <w:rFonts w:ascii="Gill Sans MT" w:hAnsi="Gill Sans MT"/>
        </w:rPr>
        <w:t xml:space="preserve">McDuff, D., Karlson, A., Kapoor, A., Roesway, A., Czerwinski, M., 2012, AffectAura: An intelligent system for emotional memory, </w:t>
      </w:r>
      <w:r w:rsidRPr="00133CC2">
        <w:rPr>
          <w:rFonts w:ascii="Gill Sans MT" w:hAnsi="Gill Sans MT"/>
          <w:i/>
        </w:rPr>
        <w:t>Proceedings of the SIGCHI Conference on Human Factors in Computing Systems ACM 2012</w:t>
      </w:r>
      <w:r w:rsidRPr="00133CC2">
        <w:rPr>
          <w:rFonts w:ascii="Gill Sans MT" w:hAnsi="Gill Sans MT"/>
        </w:rPr>
        <w:t>, Austin, Texas USA.</w:t>
      </w:r>
    </w:p>
    <w:p w14:paraId="03FB1758" w14:textId="6BB619FE" w:rsidR="008816CD" w:rsidRDefault="008816CD" w:rsidP="008816CD">
      <w:pPr>
        <w:spacing w:after="0"/>
        <w:rPr>
          <w:rFonts w:ascii="Gill Sans MT" w:hAnsi="Gill Sans MT"/>
        </w:rPr>
      </w:pPr>
      <w:r w:rsidRPr="00133CC2">
        <w:rPr>
          <w:rFonts w:ascii="Gill Sans MT" w:hAnsi="Gill Sans MT"/>
        </w:rPr>
        <w:t xml:space="preserve">McFarland, S., 1981, Effects of question order on survey responses, </w:t>
      </w:r>
      <w:r w:rsidRPr="00133CC2">
        <w:rPr>
          <w:rFonts w:ascii="Gill Sans MT" w:hAnsi="Gill Sans MT"/>
          <w:i/>
        </w:rPr>
        <w:t>Public Opinion Quarterly</w:t>
      </w:r>
      <w:r w:rsidRPr="00133CC2">
        <w:rPr>
          <w:rFonts w:ascii="Gill Sans MT" w:hAnsi="Gill Sans MT"/>
        </w:rPr>
        <w:t>, 45(2), 208-215</w:t>
      </w:r>
      <w:r>
        <w:rPr>
          <w:rFonts w:ascii="Gill Sans MT" w:hAnsi="Gill Sans MT"/>
        </w:rPr>
        <w:t>.</w:t>
      </w:r>
    </w:p>
    <w:p w14:paraId="4410119F" w14:textId="53FEB262" w:rsidR="007E4F5A" w:rsidRPr="007E4F5A" w:rsidRDefault="007E4F5A" w:rsidP="008816CD">
      <w:pPr>
        <w:spacing w:after="0"/>
        <w:rPr>
          <w:rFonts w:ascii="Gill Sans MT" w:hAnsi="Gill Sans MT"/>
        </w:rPr>
      </w:pPr>
      <w:r>
        <w:rPr>
          <w:rFonts w:ascii="Gill Sans MT" w:hAnsi="Gill Sans MT"/>
        </w:rPr>
        <w:t xml:space="preserve">McGeown, S.P., Putwain, D., Simpson, E.G., Boffey, E., Markham, J., Vince, A., 2014, Predictors of adolescents' academic motivation: Personality, self-efficacy and adolescents' characteristics, </w:t>
      </w:r>
      <w:r>
        <w:rPr>
          <w:rFonts w:ascii="Gill Sans MT" w:hAnsi="Gill Sans MT"/>
          <w:i/>
          <w:iCs/>
        </w:rPr>
        <w:t>Learning and Individual Differences</w:t>
      </w:r>
      <w:r>
        <w:rPr>
          <w:rFonts w:ascii="Gill Sans MT" w:hAnsi="Gill Sans MT"/>
        </w:rPr>
        <w:t>, 32, 278-286.</w:t>
      </w:r>
    </w:p>
    <w:p w14:paraId="52BB34B4" w14:textId="77777777" w:rsidR="008816CD" w:rsidRPr="00133CC2" w:rsidRDefault="008816CD" w:rsidP="008816CD">
      <w:pPr>
        <w:spacing w:after="0"/>
        <w:rPr>
          <w:rFonts w:ascii="Gill Sans MT" w:hAnsi="Gill Sans MT"/>
        </w:rPr>
      </w:pPr>
      <w:r w:rsidRPr="00133CC2">
        <w:rPr>
          <w:rFonts w:ascii="Gill Sans MT" w:hAnsi="Gill Sans MT"/>
        </w:rPr>
        <w:t xml:space="preserve">McGuigan, L., Hoy, W.K., 2006, Principal leadership: Creating a culture of academic optimism to improve achievement for all students, </w:t>
      </w:r>
      <w:r w:rsidRPr="00133CC2">
        <w:rPr>
          <w:rFonts w:ascii="Gill Sans MT" w:hAnsi="Gill Sans MT"/>
          <w:i/>
        </w:rPr>
        <w:t>Leadership and Policy in Schools</w:t>
      </w:r>
      <w:r w:rsidRPr="00133CC2">
        <w:rPr>
          <w:rFonts w:ascii="Gill Sans MT" w:hAnsi="Gill Sans MT"/>
        </w:rPr>
        <w:t>, 5(3), 203-229.</w:t>
      </w:r>
    </w:p>
    <w:p w14:paraId="72E1BDE5" w14:textId="77777777" w:rsidR="008816CD" w:rsidRPr="00133CC2" w:rsidRDefault="008816CD" w:rsidP="008816CD">
      <w:pPr>
        <w:spacing w:after="0"/>
        <w:rPr>
          <w:rFonts w:ascii="Gill Sans MT" w:hAnsi="Gill Sans MT"/>
        </w:rPr>
      </w:pPr>
      <w:r w:rsidRPr="00133CC2">
        <w:rPr>
          <w:rFonts w:ascii="Gill Sans MT" w:hAnsi="Gill Sans MT"/>
        </w:rPr>
        <w:t xml:space="preserve">McLafferty, M., Mallett, J., McCauley, V., 2012, Coping at university: the role of resilience, emotional intelligence, age and gender, </w:t>
      </w:r>
      <w:r w:rsidRPr="00133CC2">
        <w:rPr>
          <w:rFonts w:ascii="Gill Sans MT" w:hAnsi="Gill Sans MT"/>
          <w:i/>
        </w:rPr>
        <w:t>Journal of Quantitative Psychological Research</w:t>
      </w:r>
      <w:r w:rsidRPr="00133CC2">
        <w:rPr>
          <w:rFonts w:ascii="Gill Sans MT" w:hAnsi="Gill Sans MT"/>
        </w:rPr>
        <w:t xml:space="preserve">, 1, 1-18. </w:t>
      </w:r>
    </w:p>
    <w:p w14:paraId="593EF898" w14:textId="77777777" w:rsidR="008816CD" w:rsidRPr="00133CC2" w:rsidRDefault="008816CD" w:rsidP="008816CD">
      <w:pPr>
        <w:spacing w:after="0"/>
        <w:rPr>
          <w:rFonts w:ascii="Gill Sans MT" w:hAnsi="Gill Sans MT"/>
        </w:rPr>
      </w:pPr>
      <w:r w:rsidRPr="00133CC2">
        <w:rPr>
          <w:rFonts w:ascii="Gill Sans MT" w:hAnsi="Gill Sans MT"/>
        </w:rPr>
        <w:t xml:space="preserve">McLaughlin, M.E., Bell, M.P., Stringer, D.Y., 2004, Stigma and acceptance of persons with disabilities: understudied aspects of workforce diversity, </w:t>
      </w:r>
      <w:r w:rsidRPr="00133CC2">
        <w:rPr>
          <w:rFonts w:ascii="Gill Sans MT" w:hAnsi="Gill Sans MT"/>
          <w:i/>
        </w:rPr>
        <w:t>Group and Organization Management</w:t>
      </w:r>
      <w:r w:rsidRPr="00133CC2">
        <w:rPr>
          <w:rFonts w:ascii="Gill Sans MT" w:hAnsi="Gill Sans MT"/>
        </w:rPr>
        <w:t>, 29(3), 302-333.</w:t>
      </w:r>
    </w:p>
    <w:p w14:paraId="5FD3C98A" w14:textId="77777777" w:rsidR="008816CD" w:rsidRPr="00133CC2" w:rsidRDefault="008816CD" w:rsidP="008816CD">
      <w:pPr>
        <w:spacing w:after="0"/>
        <w:rPr>
          <w:rFonts w:ascii="Gill Sans MT" w:hAnsi="Gill Sans MT"/>
        </w:rPr>
      </w:pPr>
      <w:r w:rsidRPr="00133CC2">
        <w:rPr>
          <w:rFonts w:ascii="Gill Sans MT" w:hAnsi="Gill Sans MT"/>
        </w:rPr>
        <w:t xml:space="preserve">McLoughlin, D., Fitzgibbon, G., Young, V., 1994, </w:t>
      </w:r>
      <w:r w:rsidRPr="00133CC2">
        <w:rPr>
          <w:rFonts w:ascii="Gill Sans MT" w:hAnsi="Gill Sans MT"/>
          <w:i/>
        </w:rPr>
        <w:t>Adult dyslexia: assessment, counselling and training</w:t>
      </w:r>
      <w:r w:rsidRPr="00133CC2">
        <w:rPr>
          <w:rFonts w:ascii="Gill Sans MT" w:hAnsi="Gill Sans MT"/>
        </w:rPr>
        <w:t xml:space="preserve">, London, Whurr. </w:t>
      </w:r>
    </w:p>
    <w:p w14:paraId="5AE7A9AB" w14:textId="77777777" w:rsidR="008816CD" w:rsidRDefault="008816CD" w:rsidP="008816CD">
      <w:pPr>
        <w:spacing w:after="0"/>
        <w:rPr>
          <w:rFonts w:ascii="Gill Sans MT" w:hAnsi="Gill Sans MT"/>
        </w:rPr>
      </w:pPr>
      <w:r w:rsidRPr="00133CC2">
        <w:rPr>
          <w:rFonts w:ascii="Gill Sans MT" w:hAnsi="Gill Sans MT"/>
        </w:rPr>
        <w:t xml:space="preserve">McPeake, J., Bateson, M., O'Neill, A., 2014, Electronic surveys: how to maximise success </w:t>
      </w:r>
      <w:r w:rsidRPr="00133CC2">
        <w:rPr>
          <w:rFonts w:ascii="Gill Sans MT" w:hAnsi="Gill Sans MT"/>
          <w:i/>
        </w:rPr>
        <w:t>Nurse Researcher</w:t>
      </w:r>
      <w:r w:rsidRPr="00133CC2">
        <w:rPr>
          <w:rFonts w:ascii="Gill Sans MT" w:hAnsi="Gill Sans MT"/>
        </w:rPr>
        <w:t>, 21(3), 24-26.</w:t>
      </w:r>
    </w:p>
    <w:p w14:paraId="0464EC9A" w14:textId="77777777" w:rsidR="008816CD" w:rsidRPr="00783D32" w:rsidRDefault="008816CD" w:rsidP="008816CD">
      <w:pPr>
        <w:spacing w:after="0"/>
        <w:rPr>
          <w:rFonts w:ascii="Gill Sans MT" w:hAnsi="Gill Sans MT"/>
        </w:rPr>
      </w:pPr>
      <w:r>
        <w:rPr>
          <w:rFonts w:ascii="Gill Sans MT" w:hAnsi="Gill Sans MT"/>
        </w:rPr>
        <w:t xml:space="preserve">McPhail, J.C., Freeman, J.G., 2005, Beyond prejudice: thinking toward genuine inclusion, </w:t>
      </w:r>
      <w:r>
        <w:rPr>
          <w:rFonts w:ascii="Gill Sans MT" w:hAnsi="Gill Sans MT"/>
          <w:i/>
        </w:rPr>
        <w:t>Learning Disabilities Research &amp; Practice</w:t>
      </w:r>
      <w:r>
        <w:rPr>
          <w:rFonts w:ascii="Gill Sans MT" w:hAnsi="Gill Sans MT"/>
        </w:rPr>
        <w:t>, 20(4), 254-267.</w:t>
      </w:r>
    </w:p>
    <w:p w14:paraId="2ED57D81" w14:textId="77777777" w:rsidR="008816CD" w:rsidRPr="00B04C41" w:rsidRDefault="008816CD" w:rsidP="008816CD">
      <w:pPr>
        <w:spacing w:after="0"/>
        <w:rPr>
          <w:rFonts w:ascii="Gill Sans MT" w:hAnsi="Gill Sans MT"/>
        </w:rPr>
      </w:pPr>
      <w:r>
        <w:rPr>
          <w:rFonts w:ascii="Gill Sans MT" w:hAnsi="Gill Sans MT"/>
        </w:rPr>
        <w:t xml:space="preserve">Mega, C., Ronconi, L., De Beni, R., 2014, What makes a good student? How emotions, self-regulated learning and motivation contribute to academic achievement, </w:t>
      </w:r>
      <w:r>
        <w:rPr>
          <w:rFonts w:ascii="Gill Sans MT" w:hAnsi="Gill Sans MT"/>
          <w:i/>
        </w:rPr>
        <w:t>Journal of Educational Psychology</w:t>
      </w:r>
      <w:r>
        <w:rPr>
          <w:rFonts w:ascii="Gill Sans MT" w:hAnsi="Gill Sans MT"/>
        </w:rPr>
        <w:t>, 106(1), 121-131.</w:t>
      </w:r>
    </w:p>
    <w:p w14:paraId="4F3C821F" w14:textId="77777777" w:rsidR="008816CD" w:rsidRDefault="008816CD" w:rsidP="008816CD">
      <w:pPr>
        <w:spacing w:after="0"/>
        <w:rPr>
          <w:rFonts w:ascii="Gill Sans MT" w:hAnsi="Gill Sans MT"/>
        </w:rPr>
      </w:pPr>
      <w:r w:rsidRPr="00133CC2">
        <w:rPr>
          <w:rFonts w:ascii="Gill Sans MT" w:hAnsi="Gill Sans MT"/>
        </w:rPr>
        <w:t xml:space="preserve">Melby-Lervag, M., Lyster, S.-A.H., Ulme, C., 2012, Phonological skills and their role in learning to read: A meta-analytic review, </w:t>
      </w:r>
      <w:r w:rsidRPr="00133CC2">
        <w:rPr>
          <w:rFonts w:ascii="Gill Sans MT" w:hAnsi="Gill Sans MT"/>
          <w:i/>
        </w:rPr>
        <w:t>Psychological Bulletin</w:t>
      </w:r>
      <w:r w:rsidRPr="00133CC2">
        <w:rPr>
          <w:rFonts w:ascii="Gill Sans MT" w:hAnsi="Gill Sans MT"/>
        </w:rPr>
        <w:t xml:space="preserve">, 138(2), 322-352. </w:t>
      </w:r>
    </w:p>
    <w:p w14:paraId="5F58CB4F" w14:textId="77777777" w:rsidR="008816CD" w:rsidRPr="00133CC2" w:rsidRDefault="008816CD" w:rsidP="008816CD">
      <w:pPr>
        <w:spacing w:after="0"/>
        <w:rPr>
          <w:rFonts w:ascii="Gill Sans MT" w:hAnsi="Gill Sans MT"/>
        </w:rPr>
      </w:pPr>
      <w:r w:rsidRPr="00133CC2">
        <w:rPr>
          <w:rFonts w:ascii="Gill Sans MT" w:hAnsi="Gill Sans MT"/>
        </w:rPr>
        <w:t xml:space="preserve">Meltzer, L., Roditi, B., Houser, R.F., Meriman, M., 1998, Perceptions of academic strategies and competence in students with learning disabilities, </w:t>
      </w:r>
      <w:r w:rsidRPr="00133CC2">
        <w:rPr>
          <w:rFonts w:ascii="Gill Sans MT" w:hAnsi="Gill Sans MT"/>
          <w:i/>
        </w:rPr>
        <w:t>Journal of Learning Disabilities</w:t>
      </w:r>
      <w:r w:rsidRPr="00133CC2">
        <w:rPr>
          <w:rFonts w:ascii="Gill Sans MT" w:hAnsi="Gill Sans MT"/>
        </w:rPr>
        <w:t xml:space="preserve">, 31(5), 437-451. </w:t>
      </w:r>
    </w:p>
    <w:p w14:paraId="6C7C6CB0" w14:textId="77777777" w:rsidR="008816CD" w:rsidRPr="00133CC2" w:rsidRDefault="008816CD" w:rsidP="008816CD">
      <w:pPr>
        <w:spacing w:before="240" w:after="0"/>
        <w:rPr>
          <w:rFonts w:ascii="Gill Sans MT" w:hAnsi="Gill Sans MT"/>
        </w:rPr>
      </w:pPr>
      <w:r w:rsidRPr="00D2588A">
        <w:rPr>
          <w:rFonts w:ascii="Gill Sans MT" w:hAnsi="Gill Sans MT"/>
        </w:rPr>
        <w:lastRenderedPageBreak/>
        <w:t>Messiou, K., 2017, Research in the field of inclusive education: time for a rethink</w:t>
      </w:r>
      <w:r w:rsidRPr="00D2588A">
        <w:rPr>
          <w:rFonts w:ascii="Gill Sans MT" w:hAnsi="Gill Sans MT"/>
          <w:i/>
        </w:rPr>
        <w:t>? International Journal of Inclusive Education</w:t>
      </w:r>
      <w:r w:rsidRPr="00D2588A">
        <w:rPr>
          <w:rFonts w:ascii="Gill Sans MT" w:hAnsi="Gill Sans MT"/>
        </w:rPr>
        <w:t>, 21(2), 146-159.</w:t>
      </w:r>
    </w:p>
    <w:p w14:paraId="7C6297B7" w14:textId="77777777" w:rsidR="008816CD" w:rsidRPr="00133CC2" w:rsidRDefault="008816CD" w:rsidP="008816CD">
      <w:pPr>
        <w:spacing w:after="0"/>
        <w:rPr>
          <w:rFonts w:ascii="Gill Sans MT" w:hAnsi="Gill Sans MT"/>
        </w:rPr>
      </w:pPr>
      <w:r w:rsidRPr="00133CC2">
        <w:rPr>
          <w:rFonts w:ascii="Gill Sans MT" w:hAnsi="Gill Sans MT"/>
        </w:rPr>
        <w:t xml:space="preserve">Meyer, J.H.F., Land, R., 2005, Threshold concepts and troublesome knowledge (2): Epistemological considerations and a conceptual framework for teaching and learning, </w:t>
      </w:r>
      <w:r w:rsidRPr="00133CC2">
        <w:rPr>
          <w:rFonts w:ascii="Gill Sans MT" w:hAnsi="Gill Sans MT"/>
          <w:i/>
        </w:rPr>
        <w:t>Higher Education</w:t>
      </w:r>
      <w:r w:rsidRPr="00133CC2">
        <w:rPr>
          <w:rFonts w:ascii="Gill Sans MT" w:hAnsi="Gill Sans MT"/>
        </w:rPr>
        <w:t>, 49(3), 373-388.</w:t>
      </w:r>
    </w:p>
    <w:p w14:paraId="6D634A61" w14:textId="24AC228E" w:rsidR="008816CD" w:rsidRDefault="008816CD" w:rsidP="008816CD">
      <w:pPr>
        <w:spacing w:after="0"/>
        <w:rPr>
          <w:rFonts w:ascii="Gill Sans MT" w:hAnsi="Gill Sans MT"/>
        </w:rPr>
      </w:pPr>
      <w:r w:rsidRPr="00133CC2">
        <w:rPr>
          <w:rFonts w:ascii="Gill Sans MT" w:hAnsi="Gill Sans MT"/>
        </w:rPr>
        <w:t xml:space="preserve">Miles, E., 1991, </w:t>
      </w:r>
      <w:r w:rsidR="00080121">
        <w:rPr>
          <w:rFonts w:ascii="Gill Sans MT" w:hAnsi="Gill Sans MT"/>
        </w:rPr>
        <w:t>V</w:t>
      </w:r>
      <w:r w:rsidRPr="00133CC2">
        <w:rPr>
          <w:rFonts w:ascii="Gill Sans MT" w:hAnsi="Gill Sans MT"/>
        </w:rPr>
        <w:t xml:space="preserve">isual dyslexia/auditory dyslexia: is this a valuable distinction? In: Snowling, M., Thomson, M., (Eds), </w:t>
      </w:r>
      <w:r w:rsidRPr="00133CC2">
        <w:rPr>
          <w:rFonts w:ascii="Gill Sans MT" w:hAnsi="Gill Sans MT"/>
          <w:i/>
        </w:rPr>
        <w:t>Dyslexia: Integrating Theory and Practice</w:t>
      </w:r>
      <w:r w:rsidRPr="00133CC2">
        <w:rPr>
          <w:rFonts w:ascii="Gill Sans MT" w:hAnsi="Gill Sans MT"/>
        </w:rPr>
        <w:t>, London, Whurr.</w:t>
      </w:r>
    </w:p>
    <w:p w14:paraId="3E0ED14E" w14:textId="2DE3AEC3" w:rsidR="00080121" w:rsidRPr="00080121" w:rsidRDefault="00080121" w:rsidP="008816CD">
      <w:pPr>
        <w:spacing w:after="0"/>
        <w:rPr>
          <w:rFonts w:ascii="Gill Sans MT" w:hAnsi="Gill Sans MT"/>
        </w:rPr>
      </w:pPr>
      <w:r>
        <w:rPr>
          <w:rFonts w:ascii="Gill Sans MT" w:hAnsi="Gill Sans MT"/>
        </w:rPr>
        <w:t xml:space="preserve">Miles, T.R., 1993, </w:t>
      </w:r>
      <w:r>
        <w:rPr>
          <w:rFonts w:ascii="Gill Sans MT" w:hAnsi="Gill Sans MT"/>
          <w:i/>
          <w:iCs/>
        </w:rPr>
        <w:t>Dyslexia: The Pattern of Difficulties (2nd edn)</w:t>
      </w:r>
      <w:r>
        <w:rPr>
          <w:rFonts w:ascii="Gill Sans MT" w:hAnsi="Gill Sans MT"/>
        </w:rPr>
        <w:t>, Chichester, Wiley.</w:t>
      </w:r>
    </w:p>
    <w:p w14:paraId="152951AB" w14:textId="77777777" w:rsidR="008816CD" w:rsidRPr="00E0256D" w:rsidRDefault="008816CD" w:rsidP="008816CD">
      <w:pPr>
        <w:spacing w:after="0"/>
        <w:rPr>
          <w:rFonts w:ascii="Gill Sans MT" w:hAnsi="Gill Sans MT"/>
        </w:rPr>
      </w:pPr>
      <w:r>
        <w:rPr>
          <w:rFonts w:ascii="Gill Sans MT" w:hAnsi="Gill Sans MT"/>
        </w:rPr>
        <w:t xml:space="preserve">Miller, G.A., Galanter, E., Pribram, K.H., 1960, </w:t>
      </w:r>
      <w:r>
        <w:rPr>
          <w:rFonts w:ascii="Gill Sans MT" w:hAnsi="Gill Sans MT"/>
          <w:i/>
        </w:rPr>
        <w:t>Plans and the structure of behaviour</w:t>
      </w:r>
      <w:r>
        <w:rPr>
          <w:rFonts w:ascii="Gill Sans MT" w:hAnsi="Gill Sans MT"/>
        </w:rPr>
        <w:t>, New York, Holt, Reinhart &amp; Winston Inc.</w:t>
      </w:r>
    </w:p>
    <w:p w14:paraId="6D2ECC49" w14:textId="77777777" w:rsidR="008816CD" w:rsidRDefault="008816CD" w:rsidP="008816CD">
      <w:pPr>
        <w:spacing w:after="0"/>
        <w:rPr>
          <w:rFonts w:ascii="Gill Sans MT" w:hAnsi="Gill Sans MT"/>
        </w:rPr>
      </w:pPr>
      <w:r>
        <w:rPr>
          <w:rFonts w:ascii="Gill Sans MT" w:hAnsi="Gill Sans MT"/>
        </w:rPr>
        <w:t xml:space="preserve">Miller, J.S., 2015, English language proficiency, academic confidence, and academic success: A case study of first-year female students at an Ethiopian university, </w:t>
      </w:r>
      <w:r>
        <w:rPr>
          <w:rFonts w:ascii="Gill Sans MT" w:hAnsi="Gill Sans MT"/>
          <w:i/>
        </w:rPr>
        <w:t>Unpublished Masters dissertation</w:t>
      </w:r>
      <w:r>
        <w:rPr>
          <w:rFonts w:ascii="Gill Sans MT" w:hAnsi="Gill Sans MT"/>
        </w:rPr>
        <w:t>, Hamline University, Minnesota USA.</w:t>
      </w:r>
    </w:p>
    <w:p w14:paraId="375FEB14" w14:textId="77777777" w:rsidR="008816CD" w:rsidRPr="00DC6932" w:rsidRDefault="008816CD" w:rsidP="008816CD">
      <w:pPr>
        <w:spacing w:after="0"/>
        <w:rPr>
          <w:rFonts w:ascii="Gill Sans MT" w:hAnsi="Gill Sans MT"/>
        </w:rPr>
      </w:pPr>
      <w:r>
        <w:rPr>
          <w:rFonts w:ascii="Gill Sans MT" w:hAnsi="Gill Sans MT"/>
        </w:rPr>
        <w:t xml:space="preserve">Miller-Shaul, S., 2005, The characteristics of young and adult dyslexic readers on reading and reacing related cognitive tasks as compared to normal readers, </w:t>
      </w:r>
      <w:r>
        <w:rPr>
          <w:rFonts w:ascii="Gill Sans MT" w:hAnsi="Gill Sans MT"/>
          <w:i/>
          <w:iCs/>
        </w:rPr>
        <w:t>Dyslexia</w:t>
      </w:r>
      <w:r>
        <w:rPr>
          <w:rFonts w:ascii="Gill Sans MT" w:hAnsi="Gill Sans MT"/>
        </w:rPr>
        <w:t>, 11(2), 132-151.</w:t>
      </w:r>
    </w:p>
    <w:p w14:paraId="75CA4118" w14:textId="77777777" w:rsidR="008816CD" w:rsidRDefault="008816CD" w:rsidP="008816CD">
      <w:pPr>
        <w:spacing w:after="0"/>
        <w:rPr>
          <w:rFonts w:ascii="Gill Sans MT" w:hAnsi="Gill Sans MT"/>
        </w:rPr>
      </w:pPr>
      <w:r w:rsidRPr="00133CC2">
        <w:rPr>
          <w:rFonts w:ascii="Gill Sans MT" w:hAnsi="Gill Sans MT"/>
        </w:rPr>
        <w:t xml:space="preserve">Millon, T., Green, C., Meagher, R., 1982, </w:t>
      </w:r>
      <w:r w:rsidRPr="00133CC2">
        <w:rPr>
          <w:rFonts w:ascii="Gill Sans MT" w:hAnsi="Gill Sans MT"/>
          <w:i/>
        </w:rPr>
        <w:t>Millon Adolescent Personality Inventory Manual</w:t>
      </w:r>
      <w:r w:rsidRPr="00133CC2">
        <w:rPr>
          <w:rFonts w:ascii="Gill Sans MT" w:hAnsi="Gill Sans MT"/>
        </w:rPr>
        <w:t xml:space="preserve">, Minneapolis, National Computer Systems. </w:t>
      </w:r>
    </w:p>
    <w:p w14:paraId="6B3025F6" w14:textId="77777777" w:rsidR="008816CD" w:rsidRPr="00AF610F" w:rsidRDefault="008816CD" w:rsidP="008816CD">
      <w:pPr>
        <w:spacing w:after="0"/>
        <w:rPr>
          <w:rFonts w:ascii="Gill Sans MT" w:hAnsi="Gill Sans MT"/>
        </w:rPr>
      </w:pPr>
      <w:r>
        <w:rPr>
          <w:rFonts w:ascii="Gill Sans MT" w:hAnsi="Gill Sans MT"/>
        </w:rPr>
        <w:t xml:space="preserve">MindGenius Ltd., 2018, </w:t>
      </w:r>
      <w:r>
        <w:rPr>
          <w:rFonts w:ascii="Gill Sans MT" w:hAnsi="Gill Sans MT"/>
          <w:i/>
        </w:rPr>
        <w:t>MindGenius 2018</w:t>
      </w:r>
      <w:r>
        <w:rPr>
          <w:rFonts w:ascii="Gill Sans MT" w:hAnsi="Gill Sans MT"/>
        </w:rPr>
        <w:t xml:space="preserve">, Available at: </w:t>
      </w:r>
      <w:hyperlink r:id="rId65" w:history="1">
        <w:r w:rsidRPr="00FC3F7A">
          <w:rPr>
            <w:rStyle w:val="Hyperlink"/>
            <w:rFonts w:ascii="Gill Sans MT" w:hAnsi="Gill Sans MT"/>
          </w:rPr>
          <w:t>https://www.mindgenius.com/mind-mapping.aspx</w:t>
        </w:r>
      </w:hyperlink>
      <w:r>
        <w:rPr>
          <w:rFonts w:ascii="Gill Sans MT" w:hAnsi="Gill Sans MT"/>
        </w:rPr>
        <w:t>, Accessed on: 19</w:t>
      </w:r>
      <w:r w:rsidRPr="00AF610F">
        <w:rPr>
          <w:rFonts w:ascii="Gill Sans MT" w:hAnsi="Gill Sans MT"/>
          <w:vertAlign w:val="superscript"/>
        </w:rPr>
        <w:t>th</w:t>
      </w:r>
      <w:r>
        <w:rPr>
          <w:rFonts w:ascii="Gill Sans MT" w:hAnsi="Gill Sans MT"/>
        </w:rPr>
        <w:t xml:space="preserve"> July 2018.</w:t>
      </w:r>
    </w:p>
    <w:p w14:paraId="312D2C1B" w14:textId="77777777" w:rsidR="008816CD" w:rsidRPr="00133CC2" w:rsidRDefault="008816CD" w:rsidP="008816CD">
      <w:pPr>
        <w:spacing w:after="0"/>
        <w:rPr>
          <w:rFonts w:ascii="Gill Sans MT" w:hAnsi="Gill Sans MT"/>
        </w:rPr>
      </w:pPr>
      <w:r w:rsidRPr="00133CC2">
        <w:rPr>
          <w:rFonts w:ascii="Gill Sans MT" w:hAnsi="Gill Sans MT"/>
        </w:rPr>
        <w:t xml:space="preserve">Minow, M., 1985, Learning to live with the dilemma of difference: bilingual and special education, </w:t>
      </w:r>
      <w:r w:rsidRPr="00133CC2">
        <w:rPr>
          <w:rFonts w:ascii="Gill Sans MT" w:hAnsi="Gill Sans MT"/>
          <w:i/>
        </w:rPr>
        <w:t>Law and Contemporary Society</w:t>
      </w:r>
      <w:r w:rsidRPr="00133CC2">
        <w:rPr>
          <w:rFonts w:ascii="Gill Sans MT" w:hAnsi="Gill Sans MT"/>
        </w:rPr>
        <w:t>, 48(2), 157-211.</w:t>
      </w:r>
    </w:p>
    <w:p w14:paraId="2D01C447" w14:textId="77777777" w:rsidR="008816CD" w:rsidRPr="00133CC2" w:rsidRDefault="008816CD" w:rsidP="008816CD">
      <w:pPr>
        <w:spacing w:after="0"/>
        <w:rPr>
          <w:rFonts w:ascii="Gill Sans MT" w:hAnsi="Gill Sans MT"/>
        </w:rPr>
      </w:pPr>
      <w:r w:rsidRPr="00133CC2">
        <w:rPr>
          <w:rFonts w:ascii="Gill Sans MT" w:hAnsi="Gill Sans MT"/>
        </w:rPr>
        <w:t xml:space="preserve">Minow, M., 1990, </w:t>
      </w:r>
      <w:r w:rsidRPr="00133CC2">
        <w:rPr>
          <w:rFonts w:ascii="Gill Sans MT" w:hAnsi="Gill Sans MT"/>
          <w:i/>
        </w:rPr>
        <w:t>Making all the difference: inclusion, exclusion and American law</w:t>
      </w:r>
      <w:r w:rsidRPr="00133CC2">
        <w:rPr>
          <w:rFonts w:ascii="Gill Sans MT" w:hAnsi="Gill Sans MT"/>
        </w:rPr>
        <w:t>, New York, Cornell University Press.</w:t>
      </w:r>
    </w:p>
    <w:p w14:paraId="37D3A1AC" w14:textId="77777777" w:rsidR="008816CD" w:rsidRPr="00133CC2" w:rsidRDefault="008816CD" w:rsidP="008816CD">
      <w:pPr>
        <w:spacing w:after="0"/>
        <w:rPr>
          <w:rFonts w:ascii="Gill Sans MT" w:hAnsi="Gill Sans MT"/>
        </w:rPr>
      </w:pPr>
      <w:r w:rsidRPr="00133CC2">
        <w:rPr>
          <w:rFonts w:ascii="Gill Sans MT" w:hAnsi="Gill Sans MT"/>
        </w:rPr>
        <w:t xml:space="preserve">Mirciouiu, C., Atkinson, J., 2017, A comparison of parametric and non-parametric methods applied to a Likert scale, </w:t>
      </w:r>
      <w:r w:rsidRPr="00133CC2">
        <w:rPr>
          <w:rFonts w:ascii="Gill Sans MT" w:hAnsi="Gill Sans MT"/>
          <w:i/>
        </w:rPr>
        <w:t>Pharmacy</w:t>
      </w:r>
      <w:r w:rsidRPr="00133CC2">
        <w:rPr>
          <w:rFonts w:ascii="Gill Sans MT" w:hAnsi="Gill Sans MT"/>
        </w:rPr>
        <w:t>, 5(2), 1-25. 371-384.</w:t>
      </w:r>
    </w:p>
    <w:p w14:paraId="4CEE2112" w14:textId="77777777" w:rsidR="008816CD" w:rsidRPr="00133CC2" w:rsidRDefault="008816CD" w:rsidP="008816CD">
      <w:pPr>
        <w:spacing w:after="0"/>
        <w:rPr>
          <w:rFonts w:ascii="Gill Sans MT" w:hAnsi="Gill Sans MT"/>
        </w:rPr>
      </w:pPr>
      <w:r w:rsidRPr="00133CC2">
        <w:rPr>
          <w:rFonts w:ascii="Gill Sans MT" w:hAnsi="Gill Sans MT"/>
        </w:rPr>
        <w:t xml:space="preserve">Miron, E., Ravid, G., 2015, Facebook groups as an academic teaching aid: Case study and recommendations for educators, </w:t>
      </w:r>
      <w:r w:rsidRPr="00133CC2">
        <w:rPr>
          <w:rFonts w:ascii="Gill Sans MT" w:hAnsi="Gill Sans MT"/>
          <w:i/>
        </w:rPr>
        <w:t>Journal of Educational Technology &amp; Study</w:t>
      </w:r>
      <w:r w:rsidRPr="00133CC2">
        <w:rPr>
          <w:rFonts w:ascii="Gill Sans MT" w:hAnsi="Gill Sans MT"/>
        </w:rPr>
        <w:t xml:space="preserve">, 18(4), </w:t>
      </w:r>
    </w:p>
    <w:p w14:paraId="6677845B" w14:textId="77777777" w:rsidR="008816CD" w:rsidRPr="00133CC2" w:rsidRDefault="008816CD" w:rsidP="008816CD">
      <w:pPr>
        <w:spacing w:after="0"/>
        <w:rPr>
          <w:rFonts w:ascii="Gill Sans MT" w:hAnsi="Gill Sans MT"/>
        </w:rPr>
      </w:pPr>
      <w:r w:rsidRPr="00133CC2">
        <w:rPr>
          <w:rFonts w:ascii="Gill Sans MT" w:hAnsi="Gill Sans MT"/>
        </w:rPr>
        <w:t xml:space="preserve">Moller, L., Huett, J., Holder, D., Young, J., Harvey, D., Godshalk, V., 2005, Examining the impact of learning communities on motivation, </w:t>
      </w:r>
      <w:r w:rsidRPr="00133CC2">
        <w:rPr>
          <w:rFonts w:ascii="Gill Sans MT" w:hAnsi="Gill Sans MT"/>
          <w:i/>
        </w:rPr>
        <w:t>The Quarterly Review of Distance Education</w:t>
      </w:r>
      <w:r w:rsidRPr="00133CC2">
        <w:rPr>
          <w:rFonts w:ascii="Gill Sans MT" w:hAnsi="Gill Sans MT"/>
        </w:rPr>
        <w:t>, 6(2), 137-143.</w:t>
      </w:r>
    </w:p>
    <w:p w14:paraId="121D8894" w14:textId="77777777" w:rsidR="008816CD" w:rsidRPr="00133CC2" w:rsidRDefault="008816CD" w:rsidP="008816CD">
      <w:pPr>
        <w:spacing w:after="0"/>
        <w:rPr>
          <w:rFonts w:ascii="Gill Sans MT" w:hAnsi="Gill Sans MT"/>
        </w:rPr>
      </w:pPr>
      <w:r w:rsidRPr="00133CC2">
        <w:rPr>
          <w:rFonts w:ascii="Gill Sans MT" w:hAnsi="Gill Sans MT"/>
        </w:rPr>
        <w:t xml:space="preserve">Money, J., Nixon, S., Tracy, F., Hennessy, C., Ball, E., Dining, T., 2017, Undergraduate student expectations of university in the United Kingdom: What really matters to them? </w:t>
      </w:r>
      <w:r w:rsidRPr="00133CC2">
        <w:rPr>
          <w:rFonts w:ascii="Gill Sans MT" w:hAnsi="Gill Sans MT"/>
          <w:i/>
        </w:rPr>
        <w:t>Cogent Education</w:t>
      </w:r>
      <w:r w:rsidRPr="00133CC2">
        <w:rPr>
          <w:rFonts w:ascii="Gill Sans MT" w:hAnsi="Gill Sans MT"/>
        </w:rPr>
        <w:t xml:space="preserve">, 4(1), </w:t>
      </w:r>
    </w:p>
    <w:p w14:paraId="120D505D" w14:textId="77777777" w:rsidR="008816CD" w:rsidRPr="00133CC2" w:rsidRDefault="008816CD" w:rsidP="008816CD">
      <w:pPr>
        <w:spacing w:after="0"/>
        <w:rPr>
          <w:rFonts w:ascii="Gill Sans MT" w:hAnsi="Gill Sans MT"/>
        </w:rPr>
      </w:pPr>
      <w:r w:rsidRPr="00133CC2">
        <w:rPr>
          <w:rFonts w:ascii="Gill Sans MT" w:hAnsi="Gill Sans MT"/>
        </w:rPr>
        <w:t xml:space="preserve">Moolenaar, N.M., Sleegers, P.J.C., Daly, A.J., 2012, Teaming up: linking collaboration networks, collective efficacy and student achievement, </w:t>
      </w:r>
      <w:r w:rsidRPr="00133CC2">
        <w:rPr>
          <w:rFonts w:ascii="Gill Sans MT" w:hAnsi="Gill Sans MT"/>
          <w:i/>
        </w:rPr>
        <w:t>Teaching and Teacher Education</w:t>
      </w:r>
      <w:r w:rsidRPr="00133CC2">
        <w:rPr>
          <w:rFonts w:ascii="Gill Sans MT" w:hAnsi="Gill Sans MT"/>
        </w:rPr>
        <w:t>, 28(2), 251-262.</w:t>
      </w:r>
    </w:p>
    <w:p w14:paraId="23D0B4E9" w14:textId="77777777" w:rsidR="008816CD" w:rsidRPr="00133CC2" w:rsidRDefault="008816CD" w:rsidP="008816CD">
      <w:pPr>
        <w:spacing w:after="0"/>
        <w:rPr>
          <w:rFonts w:ascii="Gill Sans MT" w:hAnsi="Gill Sans MT"/>
        </w:rPr>
      </w:pPr>
      <w:r w:rsidRPr="00133CC2">
        <w:rPr>
          <w:rFonts w:ascii="Gill Sans MT" w:hAnsi="Gill Sans MT"/>
        </w:rPr>
        <w:t xml:space="preserve">Moonen, J., 2001, Institutional perspectives for online learning: Policy and return-on-investment, IN: Taylor, H., Hogenbirk, P., (Eds) </w:t>
      </w:r>
      <w:r w:rsidRPr="00133CC2">
        <w:rPr>
          <w:rFonts w:ascii="Gill Sans MT" w:hAnsi="Gill Sans MT"/>
          <w:i/>
        </w:rPr>
        <w:t>Information and Communication Technologies in Education</w:t>
      </w:r>
      <w:r w:rsidRPr="00133CC2">
        <w:rPr>
          <w:rFonts w:ascii="Gill Sans MT" w:hAnsi="Gill Sans MT"/>
        </w:rPr>
        <w:t>, US, Springer.</w:t>
      </w:r>
    </w:p>
    <w:p w14:paraId="18B9202B" w14:textId="77777777" w:rsidR="008816CD" w:rsidRPr="00133CC2" w:rsidRDefault="008816CD" w:rsidP="008816CD">
      <w:pPr>
        <w:spacing w:after="0"/>
        <w:rPr>
          <w:rFonts w:ascii="Gill Sans MT" w:hAnsi="Gill Sans MT"/>
        </w:rPr>
      </w:pPr>
      <w:r w:rsidRPr="00133CC2">
        <w:rPr>
          <w:rFonts w:ascii="Gill Sans MT" w:hAnsi="Gill Sans MT"/>
        </w:rPr>
        <w:t xml:space="preserve">Moore, D.S., McCabe, G.P., 1999, </w:t>
      </w:r>
      <w:r w:rsidRPr="00133CC2">
        <w:rPr>
          <w:rFonts w:ascii="Gill Sans MT" w:hAnsi="Gill Sans MT"/>
          <w:i/>
        </w:rPr>
        <w:t>Introduction to the practice of statistics</w:t>
      </w:r>
      <w:r w:rsidRPr="00133CC2">
        <w:rPr>
          <w:rFonts w:ascii="Gill Sans MT" w:hAnsi="Gill Sans MT"/>
        </w:rPr>
        <w:t>, New York, W.H.Freeman &amp; Co.</w:t>
      </w:r>
    </w:p>
    <w:p w14:paraId="1113DD14" w14:textId="3BE2842D" w:rsidR="008816CD" w:rsidRDefault="008816CD" w:rsidP="008816CD">
      <w:pPr>
        <w:spacing w:after="0"/>
        <w:rPr>
          <w:rFonts w:ascii="Gill Sans MT" w:hAnsi="Gill Sans MT"/>
        </w:rPr>
      </w:pPr>
      <w:r w:rsidRPr="00133CC2">
        <w:rPr>
          <w:rFonts w:ascii="Gill Sans MT" w:hAnsi="Gill Sans MT"/>
        </w:rPr>
        <w:t>Moore, J., Sanders, J., Highham, L., 2013</w:t>
      </w:r>
      <w:r w:rsidRPr="00133CC2">
        <w:rPr>
          <w:rFonts w:ascii="Gill Sans MT" w:hAnsi="Gill Sans MT"/>
          <w:i/>
        </w:rPr>
        <w:t>, Literature review of research into widening participation to higher education</w:t>
      </w:r>
      <w:r w:rsidRPr="00133CC2">
        <w:rPr>
          <w:rFonts w:ascii="Gill Sans MT" w:hAnsi="Gill Sans MT"/>
        </w:rPr>
        <w:t>, Report to HEFCE and OFFA, London, Aim Higher Research and Consultancy.</w:t>
      </w:r>
    </w:p>
    <w:p w14:paraId="7BF57FD2" w14:textId="65A5121F" w:rsidR="00451907" w:rsidRPr="00133CC2" w:rsidRDefault="00451907" w:rsidP="008816CD">
      <w:pPr>
        <w:spacing w:after="0"/>
        <w:rPr>
          <w:rFonts w:ascii="Gill Sans MT" w:hAnsi="Gill Sans MT"/>
        </w:rPr>
      </w:pPr>
      <w:r w:rsidRPr="00451907">
        <w:rPr>
          <w:rFonts w:ascii="Gill Sans MT" w:hAnsi="Gill Sans MT"/>
        </w:rPr>
        <w:lastRenderedPageBreak/>
        <w:t xml:space="preserve">Morea, O.F., Stokes, S.M., 2016, Coefficient </w:t>
      </w:r>
      <w:r w:rsidRPr="00451907">
        <w:rPr>
          <w:rFonts w:ascii="Gill Sans MT" w:hAnsi="Gill Sans MT"/>
        </w:rPr>
        <w:t xml:space="preserve"> as a measure of test score reliability: Review of 3 popular misconceptions, </w:t>
      </w:r>
      <w:r w:rsidRPr="00451907">
        <w:rPr>
          <w:rFonts w:ascii="Gill Sans MT" w:hAnsi="Gill Sans MT"/>
          <w:i/>
          <w:iCs/>
        </w:rPr>
        <w:t>American Journal of Public Health</w:t>
      </w:r>
      <w:r w:rsidRPr="00451907">
        <w:rPr>
          <w:rFonts w:ascii="Gill Sans MT" w:hAnsi="Gill Sans MT"/>
        </w:rPr>
        <w:t>, 106(3), 458-461.</w:t>
      </w:r>
    </w:p>
    <w:p w14:paraId="4214F85F" w14:textId="77777777" w:rsidR="008816CD" w:rsidRDefault="008816CD" w:rsidP="008816CD">
      <w:pPr>
        <w:spacing w:after="0"/>
        <w:rPr>
          <w:rFonts w:ascii="Gill Sans MT" w:hAnsi="Gill Sans MT"/>
        </w:rPr>
      </w:pPr>
      <w:r w:rsidRPr="00133CC2">
        <w:rPr>
          <w:rFonts w:ascii="Gill Sans MT" w:hAnsi="Gill Sans MT"/>
        </w:rPr>
        <w:t xml:space="preserve">Morgan, E., Klein, C., 2000, </w:t>
      </w:r>
      <w:r w:rsidRPr="00133CC2">
        <w:rPr>
          <w:rFonts w:ascii="Gill Sans MT" w:hAnsi="Gill Sans MT"/>
          <w:i/>
        </w:rPr>
        <w:t>The Dyslexic Adult in a Non-Dyslexic World</w:t>
      </w:r>
      <w:r w:rsidRPr="00133CC2">
        <w:rPr>
          <w:rFonts w:ascii="Gill Sans MT" w:hAnsi="Gill Sans MT"/>
        </w:rPr>
        <w:t>, Florence KY, Talyor &amp; Francis Group.</w:t>
      </w:r>
    </w:p>
    <w:p w14:paraId="39891F84" w14:textId="77777777" w:rsidR="008816CD" w:rsidRPr="00133CC2" w:rsidRDefault="008816CD" w:rsidP="008816CD">
      <w:pPr>
        <w:spacing w:after="0"/>
        <w:rPr>
          <w:rFonts w:ascii="Gill Sans MT" w:hAnsi="Gill Sans MT"/>
        </w:rPr>
      </w:pPr>
      <w:r w:rsidRPr="00133CC2">
        <w:rPr>
          <w:rFonts w:ascii="Gill Sans MT" w:hAnsi="Gill Sans MT"/>
        </w:rPr>
        <w:t>Morisano, D., Locke, E.A., 2013, Goal setting and academic achievement, IN: Hattie, J., Anderman, E.M., (Eds</w:t>
      </w:r>
      <w:r w:rsidRPr="00133CC2">
        <w:rPr>
          <w:rFonts w:ascii="Gill Sans MT" w:hAnsi="Gill Sans MT"/>
          <w:i/>
        </w:rPr>
        <w:t>) International guide to student achievement</w:t>
      </w:r>
      <w:r w:rsidRPr="00133CC2">
        <w:rPr>
          <w:rFonts w:ascii="Gill Sans MT" w:hAnsi="Gill Sans MT"/>
        </w:rPr>
        <w:t>, New York, Routledge.</w:t>
      </w:r>
    </w:p>
    <w:p w14:paraId="5C8ADDF9" w14:textId="77777777" w:rsidR="008816CD" w:rsidRPr="00133CC2" w:rsidRDefault="008816CD" w:rsidP="008816CD">
      <w:pPr>
        <w:spacing w:after="0"/>
        <w:rPr>
          <w:rFonts w:ascii="Gill Sans MT" w:hAnsi="Gill Sans MT"/>
        </w:rPr>
      </w:pPr>
      <w:r w:rsidRPr="00133CC2">
        <w:rPr>
          <w:rFonts w:ascii="Gill Sans MT" w:hAnsi="Gill Sans MT"/>
        </w:rPr>
        <w:t xml:space="preserve">Morris, D.K., Turnbull, P.A., 2007, The disclosure of dyslexia in clinical practice: experiences of student nurses in the UK, </w:t>
      </w:r>
      <w:r w:rsidRPr="00133CC2">
        <w:rPr>
          <w:rFonts w:ascii="Gill Sans MT" w:hAnsi="Gill Sans MT"/>
          <w:i/>
        </w:rPr>
        <w:t>Nurse Education Today</w:t>
      </w:r>
      <w:r w:rsidRPr="00133CC2">
        <w:rPr>
          <w:rFonts w:ascii="Gill Sans MT" w:hAnsi="Gill Sans MT"/>
        </w:rPr>
        <w:t xml:space="preserve">, 27(1), 35-42. </w:t>
      </w:r>
    </w:p>
    <w:p w14:paraId="56727D2F" w14:textId="77777777" w:rsidR="008816CD" w:rsidRPr="00133CC2" w:rsidRDefault="008816CD" w:rsidP="008816CD">
      <w:pPr>
        <w:spacing w:after="0"/>
        <w:rPr>
          <w:rFonts w:ascii="Gill Sans MT" w:hAnsi="Gill Sans MT"/>
        </w:rPr>
      </w:pPr>
      <w:r w:rsidRPr="00133CC2">
        <w:rPr>
          <w:rFonts w:ascii="Gill Sans MT" w:hAnsi="Gill Sans MT"/>
        </w:rPr>
        <w:t xml:space="preserve">Morrow, J.W., 2017, Law students with dyslexia and their experience of academic assessment, </w:t>
      </w:r>
      <w:r w:rsidRPr="00133CC2">
        <w:rPr>
          <w:rFonts w:ascii="Gill Sans MT" w:hAnsi="Gill Sans MT"/>
          <w:i/>
        </w:rPr>
        <w:t>Unpublished Doctoral Thesis</w:t>
      </w:r>
      <w:r w:rsidRPr="00133CC2">
        <w:rPr>
          <w:rFonts w:ascii="Gill Sans MT" w:hAnsi="Gill Sans MT"/>
        </w:rPr>
        <w:t xml:space="preserve">, University of Chester. </w:t>
      </w:r>
    </w:p>
    <w:p w14:paraId="01396B37" w14:textId="77777777" w:rsidR="008816CD" w:rsidRPr="00133CC2" w:rsidRDefault="008816CD" w:rsidP="008816CD">
      <w:pPr>
        <w:spacing w:after="0"/>
        <w:rPr>
          <w:rFonts w:ascii="Gill Sans MT" w:hAnsi="Gill Sans MT"/>
        </w:rPr>
      </w:pPr>
      <w:r w:rsidRPr="00133CC2">
        <w:rPr>
          <w:rFonts w:ascii="Gill Sans MT" w:hAnsi="Gill Sans MT"/>
        </w:rPr>
        <w:t xml:space="preserve">Mortimore, T., 2003, An examination of the relationship between learning style, dyslexia and the experience of students in Higher Education, </w:t>
      </w:r>
      <w:r w:rsidRPr="00133CC2">
        <w:rPr>
          <w:rFonts w:ascii="Gill Sans MT" w:hAnsi="Gill Sans MT"/>
          <w:i/>
        </w:rPr>
        <w:t>Paper published in Bridging Theory &amp; Practice, the proceedings of the European Learning Style Information Network 8th Annual Learning Styles Conference</w:t>
      </w:r>
      <w:r w:rsidRPr="00133CC2">
        <w:rPr>
          <w:rFonts w:ascii="Gill Sans MT" w:hAnsi="Gill Sans MT"/>
        </w:rPr>
        <w:t>, University of Hull, June/July 2003.</w:t>
      </w:r>
    </w:p>
    <w:p w14:paraId="12D2C91E" w14:textId="77777777" w:rsidR="008816CD" w:rsidRPr="00133CC2" w:rsidRDefault="008816CD" w:rsidP="008816CD">
      <w:pPr>
        <w:spacing w:after="0"/>
        <w:rPr>
          <w:rFonts w:ascii="Gill Sans MT" w:hAnsi="Gill Sans MT"/>
        </w:rPr>
      </w:pPr>
      <w:r w:rsidRPr="00133CC2">
        <w:rPr>
          <w:rFonts w:ascii="Gill Sans MT" w:hAnsi="Gill Sans MT"/>
        </w:rPr>
        <w:t xml:space="preserve">Mortimore, T., 2005, Dyslexia and learning style: a note of caution, </w:t>
      </w:r>
      <w:r w:rsidRPr="00133CC2">
        <w:rPr>
          <w:rFonts w:ascii="Gill Sans MT" w:hAnsi="Gill Sans MT"/>
          <w:i/>
        </w:rPr>
        <w:t>British Journal of Special Education</w:t>
      </w:r>
      <w:r w:rsidRPr="00133CC2">
        <w:rPr>
          <w:rFonts w:ascii="Gill Sans MT" w:hAnsi="Gill Sans MT"/>
        </w:rPr>
        <w:t>, 32(3), 145-148.</w:t>
      </w:r>
    </w:p>
    <w:p w14:paraId="3B7A36DA" w14:textId="77777777" w:rsidR="008816CD" w:rsidRPr="00133CC2" w:rsidRDefault="008816CD" w:rsidP="008816CD">
      <w:pPr>
        <w:spacing w:after="0"/>
        <w:rPr>
          <w:rFonts w:ascii="Gill Sans MT" w:hAnsi="Gill Sans MT"/>
        </w:rPr>
      </w:pPr>
      <w:r w:rsidRPr="00133CC2">
        <w:rPr>
          <w:rFonts w:ascii="Gill Sans MT" w:hAnsi="Gill Sans MT"/>
        </w:rPr>
        <w:t xml:space="preserve">Mortimore, T., 2008, </w:t>
      </w:r>
      <w:r w:rsidRPr="00133CC2">
        <w:rPr>
          <w:rFonts w:ascii="Gill Sans MT" w:hAnsi="Gill Sans MT"/>
          <w:i/>
        </w:rPr>
        <w:t>Dyslexia and Learning Styles: A Practitioner's Handbook</w:t>
      </w:r>
      <w:r w:rsidRPr="00133CC2">
        <w:rPr>
          <w:rFonts w:ascii="Gill Sans MT" w:hAnsi="Gill Sans MT"/>
        </w:rPr>
        <w:t xml:space="preserve">, Chichester, Wiley. </w:t>
      </w:r>
    </w:p>
    <w:p w14:paraId="5A971BF4" w14:textId="77777777" w:rsidR="008816CD" w:rsidRPr="00133CC2" w:rsidRDefault="008816CD" w:rsidP="008816CD">
      <w:pPr>
        <w:spacing w:after="0"/>
        <w:rPr>
          <w:rFonts w:ascii="Gill Sans MT" w:hAnsi="Gill Sans MT"/>
        </w:rPr>
      </w:pPr>
      <w:r w:rsidRPr="00133CC2">
        <w:rPr>
          <w:rFonts w:ascii="Gill Sans MT" w:hAnsi="Gill Sans MT"/>
        </w:rPr>
        <w:t xml:space="preserve">Mortimore, T., 2013, Dyslexia in higher education: creating a fully inclusive institution, </w:t>
      </w:r>
      <w:r w:rsidRPr="00133CC2">
        <w:rPr>
          <w:rFonts w:ascii="Gill Sans MT" w:hAnsi="Gill Sans MT"/>
          <w:i/>
        </w:rPr>
        <w:t>Journal of Research in Special Education</w:t>
      </w:r>
      <w:r w:rsidRPr="00133CC2">
        <w:rPr>
          <w:rFonts w:ascii="Gill Sans MT" w:hAnsi="Gill Sans MT"/>
        </w:rPr>
        <w:t xml:space="preserve">, 13(1), 38-47. </w:t>
      </w:r>
    </w:p>
    <w:p w14:paraId="72183E33" w14:textId="77777777" w:rsidR="008816CD" w:rsidRPr="00133CC2" w:rsidRDefault="008816CD" w:rsidP="008816CD">
      <w:pPr>
        <w:spacing w:after="0"/>
        <w:rPr>
          <w:rFonts w:ascii="Gill Sans MT" w:hAnsi="Gill Sans MT"/>
        </w:rPr>
      </w:pPr>
      <w:r w:rsidRPr="00133CC2">
        <w:rPr>
          <w:rFonts w:ascii="Gill Sans MT" w:hAnsi="Gill Sans MT"/>
        </w:rPr>
        <w:t xml:space="preserve">Mortimore, T., Crozier, R., 2006, Dyslexia and difficulties with study skills in higher education, </w:t>
      </w:r>
      <w:r w:rsidRPr="00133CC2">
        <w:rPr>
          <w:rFonts w:ascii="Gill Sans MT" w:hAnsi="Gill Sans MT"/>
          <w:i/>
        </w:rPr>
        <w:t>Studies in Higher Education</w:t>
      </w:r>
      <w:r w:rsidRPr="00133CC2">
        <w:rPr>
          <w:rFonts w:ascii="Gill Sans MT" w:hAnsi="Gill Sans MT"/>
        </w:rPr>
        <w:t>, 31(2), 235-251.</w:t>
      </w:r>
    </w:p>
    <w:p w14:paraId="27170D36" w14:textId="77777777" w:rsidR="008816CD" w:rsidRPr="00870165" w:rsidRDefault="008816CD" w:rsidP="008816CD">
      <w:pPr>
        <w:spacing w:after="0"/>
        <w:rPr>
          <w:rFonts w:ascii="Gill Sans MT" w:hAnsi="Gill Sans MT"/>
        </w:rPr>
      </w:pPr>
      <w:r>
        <w:rPr>
          <w:rFonts w:ascii="Gill Sans MT" w:hAnsi="Gill Sans MT"/>
        </w:rPr>
        <w:t xml:space="preserve">Morton, J., Frith, U., 1995, Causal modelling: A structural approach to developmental psychopathology, IN: Cicchetti, D., Cohen, D.J., (eds), </w:t>
      </w:r>
      <w:r>
        <w:rPr>
          <w:rFonts w:ascii="Gill Sans MT" w:hAnsi="Gill Sans MT"/>
          <w:i/>
        </w:rPr>
        <w:t>Wiley series on personality processes: Developing psychopathology, Vol 1: Theory and methods</w:t>
      </w:r>
      <w:r>
        <w:rPr>
          <w:rFonts w:ascii="Gill Sans MT" w:hAnsi="Gill Sans MT"/>
        </w:rPr>
        <w:t>, 357-390, Oxford, J.Wiley &amp; Sons.</w:t>
      </w:r>
    </w:p>
    <w:p w14:paraId="3A628CA3" w14:textId="77777777" w:rsidR="008816CD" w:rsidRPr="00133CC2" w:rsidRDefault="008816CD" w:rsidP="008816CD">
      <w:pPr>
        <w:spacing w:after="0"/>
        <w:rPr>
          <w:rFonts w:ascii="Gill Sans MT" w:hAnsi="Gill Sans MT"/>
        </w:rPr>
      </w:pPr>
      <w:r w:rsidRPr="00133CC2">
        <w:rPr>
          <w:rFonts w:ascii="Gill Sans MT" w:hAnsi="Gill Sans MT"/>
        </w:rPr>
        <w:t xml:space="preserve">Mulkeen, J., Abdou, H.A., Leigh, J., Ward, P., 2017, Degree and Higher Level Apprenticeships: an empiricl investigation of stakeholder perceptions of challenges and opportunities, </w:t>
      </w:r>
      <w:r w:rsidRPr="00133CC2">
        <w:rPr>
          <w:rFonts w:ascii="Gill Sans MT" w:hAnsi="Gill Sans MT"/>
          <w:i/>
        </w:rPr>
        <w:t>Studies in Higher Education</w:t>
      </w:r>
      <w:r w:rsidRPr="00133CC2">
        <w:rPr>
          <w:rFonts w:ascii="Gill Sans MT" w:hAnsi="Gill Sans MT"/>
        </w:rPr>
        <w:t>, 43(6), 733-748.</w:t>
      </w:r>
    </w:p>
    <w:p w14:paraId="71BA0FA5" w14:textId="77777777" w:rsidR="008816CD" w:rsidRPr="004C0994" w:rsidRDefault="008816CD" w:rsidP="008816CD">
      <w:pPr>
        <w:spacing w:after="0"/>
        <w:rPr>
          <w:rFonts w:ascii="Gill Sans MT" w:hAnsi="Gill Sans MT"/>
        </w:rPr>
      </w:pPr>
      <w:r>
        <w:rPr>
          <w:rFonts w:ascii="Gill Sans MT" w:hAnsi="Gill Sans MT"/>
        </w:rPr>
        <w:t xml:space="preserve">Multon, K.D., Brown, S.D., Lent, R.W., 1991, Relation of self-efficacy beliefs to academic outcomes: A meta-analysis reiew, </w:t>
      </w:r>
      <w:r>
        <w:rPr>
          <w:rFonts w:ascii="Gill Sans MT" w:hAnsi="Gill Sans MT"/>
          <w:i/>
        </w:rPr>
        <w:t>Journal of Counseling Psychology</w:t>
      </w:r>
      <w:r>
        <w:rPr>
          <w:rFonts w:ascii="Gill Sans MT" w:hAnsi="Gill Sans MT"/>
        </w:rPr>
        <w:t>, 38(1), 30-38.</w:t>
      </w:r>
    </w:p>
    <w:p w14:paraId="09F72342" w14:textId="77777777" w:rsidR="008816CD" w:rsidRPr="00133CC2" w:rsidRDefault="008816CD" w:rsidP="008816CD">
      <w:pPr>
        <w:spacing w:after="0"/>
        <w:rPr>
          <w:rFonts w:ascii="Gill Sans MT" w:hAnsi="Gill Sans MT"/>
        </w:rPr>
      </w:pPr>
      <w:r w:rsidRPr="00133CC2">
        <w:rPr>
          <w:rFonts w:ascii="Gill Sans MT" w:hAnsi="Gill Sans MT"/>
        </w:rPr>
        <w:t xml:space="preserve">Murphy, F., 2009, The clinical experiences of dyslexic healthcare students, </w:t>
      </w:r>
      <w:r w:rsidRPr="00133CC2">
        <w:rPr>
          <w:rFonts w:ascii="Gill Sans MT" w:hAnsi="Gill Sans MT"/>
          <w:i/>
        </w:rPr>
        <w:t>Radiography</w:t>
      </w:r>
      <w:r w:rsidRPr="00133CC2">
        <w:rPr>
          <w:rFonts w:ascii="Gill Sans MT" w:hAnsi="Gill Sans MT"/>
        </w:rPr>
        <w:t>, 15(4), 341-344.</w:t>
      </w:r>
    </w:p>
    <w:p w14:paraId="69104742" w14:textId="77777777" w:rsidR="008816CD" w:rsidRDefault="008816CD" w:rsidP="008816CD">
      <w:pPr>
        <w:spacing w:after="0"/>
        <w:rPr>
          <w:rFonts w:ascii="Gill Sans MT" w:hAnsi="Gill Sans MT"/>
        </w:rPr>
      </w:pPr>
      <w:r w:rsidRPr="00133CC2">
        <w:rPr>
          <w:rFonts w:ascii="Gill Sans MT" w:hAnsi="Gill Sans MT"/>
        </w:rPr>
        <w:t xml:space="preserve">Murray, J., 2013, Likert data: what to use, parametric or non-parametric? International </w:t>
      </w:r>
      <w:r w:rsidRPr="00133CC2">
        <w:rPr>
          <w:rFonts w:ascii="Gill Sans MT" w:hAnsi="Gill Sans MT"/>
          <w:i/>
        </w:rPr>
        <w:t>Journal of Business and Social Science</w:t>
      </w:r>
      <w:r w:rsidRPr="00133CC2">
        <w:rPr>
          <w:rFonts w:ascii="Gill Sans MT" w:hAnsi="Gill Sans MT"/>
        </w:rPr>
        <w:t xml:space="preserve">, 4(11),258-264. </w:t>
      </w:r>
    </w:p>
    <w:p w14:paraId="308A963B" w14:textId="77777777" w:rsidR="008816CD" w:rsidRPr="00133CC2" w:rsidRDefault="008816CD" w:rsidP="008816CD">
      <w:pPr>
        <w:spacing w:after="0"/>
        <w:rPr>
          <w:rFonts w:ascii="Gill Sans MT" w:hAnsi="Gill Sans MT"/>
        </w:rPr>
      </w:pPr>
      <w:r w:rsidRPr="00133CC2">
        <w:rPr>
          <w:rFonts w:ascii="Gill Sans MT" w:hAnsi="Gill Sans MT"/>
        </w:rPr>
        <w:t xml:space="preserve">Nagarajan, R., Prabhu, R., 2015, Competence and capability - a new look, </w:t>
      </w:r>
      <w:r w:rsidRPr="009D152F">
        <w:rPr>
          <w:rFonts w:ascii="Gill Sans MT" w:hAnsi="Gill Sans MT"/>
          <w:i/>
        </w:rPr>
        <w:t>International Journal of Management</w:t>
      </w:r>
      <w:r w:rsidRPr="00133CC2">
        <w:rPr>
          <w:rFonts w:ascii="Gill Sans MT" w:hAnsi="Gill Sans MT"/>
        </w:rPr>
        <w:t>, 6(6), 7-11.</w:t>
      </w:r>
    </w:p>
    <w:p w14:paraId="4FB21473" w14:textId="77777777" w:rsidR="008816CD" w:rsidRPr="00133CC2" w:rsidRDefault="008816CD" w:rsidP="008816CD">
      <w:pPr>
        <w:spacing w:after="0"/>
        <w:rPr>
          <w:rFonts w:ascii="Gill Sans MT" w:hAnsi="Gill Sans MT"/>
        </w:rPr>
      </w:pPr>
      <w:r w:rsidRPr="00133CC2">
        <w:rPr>
          <w:rFonts w:ascii="Gill Sans MT" w:hAnsi="Gill Sans MT"/>
        </w:rPr>
        <w:t xml:space="preserve">Nalavany, B.A., Carawan, L.W., Rennick, R.A., 2011, Psychosocial experiences associated with a confirmed and self-identified dyslexia: a participant-driven concept map of adult perspectives, </w:t>
      </w:r>
      <w:r w:rsidRPr="009D152F">
        <w:rPr>
          <w:rFonts w:ascii="Gill Sans MT" w:hAnsi="Gill Sans MT"/>
          <w:i/>
        </w:rPr>
        <w:t>Journal of Learning Disabilities</w:t>
      </w:r>
      <w:r w:rsidRPr="00133CC2">
        <w:rPr>
          <w:rFonts w:ascii="Gill Sans MT" w:hAnsi="Gill Sans MT"/>
        </w:rPr>
        <w:t>, 44(1), 63-79.</w:t>
      </w:r>
    </w:p>
    <w:p w14:paraId="7DC75066" w14:textId="77777777" w:rsidR="008816CD" w:rsidRPr="00133CC2" w:rsidRDefault="008816CD" w:rsidP="008816CD">
      <w:pPr>
        <w:spacing w:after="0"/>
        <w:rPr>
          <w:rFonts w:ascii="Gill Sans MT" w:hAnsi="Gill Sans MT"/>
        </w:rPr>
      </w:pPr>
      <w:r w:rsidRPr="00133CC2">
        <w:rPr>
          <w:rFonts w:ascii="Gill Sans MT" w:hAnsi="Gill Sans MT"/>
        </w:rPr>
        <w:lastRenderedPageBreak/>
        <w:t xml:space="preserve">Nalavany, B.A., Carawan, L.W., Sauber, S., 2013, Adults with dyslexia, an invisible disability: the mediational role of concealment on perceived family support and self-esteem, </w:t>
      </w:r>
      <w:r w:rsidRPr="009D152F">
        <w:rPr>
          <w:rFonts w:ascii="Gill Sans MT" w:hAnsi="Gill Sans MT"/>
          <w:i/>
        </w:rPr>
        <w:t>The British Journal of Social Work</w:t>
      </w:r>
      <w:r w:rsidRPr="00133CC2">
        <w:rPr>
          <w:rFonts w:ascii="Gill Sans MT" w:hAnsi="Gill Sans MT"/>
        </w:rPr>
        <w:t xml:space="preserve">, 45(2), 568-586. </w:t>
      </w:r>
    </w:p>
    <w:p w14:paraId="626443FA" w14:textId="77777777" w:rsidR="008816CD" w:rsidRPr="00133CC2" w:rsidRDefault="008816CD" w:rsidP="008816CD">
      <w:pPr>
        <w:spacing w:after="0"/>
        <w:rPr>
          <w:rFonts w:ascii="Gill Sans MT" w:hAnsi="Gill Sans MT"/>
        </w:rPr>
      </w:pPr>
      <w:r w:rsidRPr="00133CC2">
        <w:rPr>
          <w:rFonts w:ascii="Gill Sans MT" w:hAnsi="Gill Sans MT"/>
        </w:rPr>
        <w:t xml:space="preserve">Nario-Redmond, M.R., Noel, J.G., Fern, E., 2013, Redefining disability, re-imagining the self: Disability identification predicts self-esteem and strategic responses to stigma, </w:t>
      </w:r>
      <w:r w:rsidRPr="009D152F">
        <w:rPr>
          <w:rFonts w:ascii="Gill Sans MT" w:hAnsi="Gill Sans MT"/>
          <w:i/>
        </w:rPr>
        <w:t>Self and Identity</w:t>
      </w:r>
      <w:r w:rsidRPr="00133CC2">
        <w:rPr>
          <w:rFonts w:ascii="Gill Sans MT" w:hAnsi="Gill Sans MT"/>
        </w:rPr>
        <w:t>, 12(5), 468-488.</w:t>
      </w:r>
    </w:p>
    <w:p w14:paraId="3B90AF74" w14:textId="77777777" w:rsidR="008816CD" w:rsidRPr="00133CC2" w:rsidRDefault="008816CD" w:rsidP="008816CD">
      <w:pPr>
        <w:spacing w:after="0"/>
        <w:rPr>
          <w:rFonts w:ascii="Gill Sans MT" w:hAnsi="Gill Sans MT"/>
        </w:rPr>
      </w:pPr>
      <w:r w:rsidRPr="00133CC2">
        <w:rPr>
          <w:rFonts w:ascii="Gill Sans MT" w:hAnsi="Gill Sans MT"/>
        </w:rPr>
        <w:t xml:space="preserve">National Working Party on Dyslexia in Higher Education, 1999, </w:t>
      </w:r>
      <w:r w:rsidRPr="009D152F">
        <w:rPr>
          <w:rFonts w:ascii="Gill Sans MT" w:hAnsi="Gill Sans MT"/>
          <w:i/>
        </w:rPr>
        <w:t>Dyslexia in Higher Education, Policy, Provision and Practice</w:t>
      </w:r>
      <w:r w:rsidRPr="00133CC2">
        <w:rPr>
          <w:rFonts w:ascii="Gill Sans MT" w:hAnsi="Gill Sans MT"/>
        </w:rPr>
        <w:t>, Hull, University of Hull.</w:t>
      </w:r>
    </w:p>
    <w:p w14:paraId="38A7C29E" w14:textId="77777777" w:rsidR="008816CD" w:rsidRDefault="008816CD" w:rsidP="008816CD">
      <w:pPr>
        <w:spacing w:after="0"/>
        <w:rPr>
          <w:rFonts w:ascii="Gill Sans MT" w:hAnsi="Gill Sans MT"/>
        </w:rPr>
      </w:pPr>
      <w:r w:rsidRPr="00133CC2">
        <w:rPr>
          <w:rFonts w:ascii="Gill Sans MT" w:hAnsi="Gill Sans MT"/>
        </w:rPr>
        <w:t xml:space="preserve">Nesbitt, J., Adescope, O., 2006, Learning with concept and knowledge maps: a meta-analysis, </w:t>
      </w:r>
      <w:r w:rsidRPr="009D152F">
        <w:rPr>
          <w:rFonts w:ascii="Gill Sans MT" w:hAnsi="Gill Sans MT"/>
          <w:i/>
        </w:rPr>
        <w:t>Review of Educational Research</w:t>
      </w:r>
      <w:r w:rsidRPr="00133CC2">
        <w:rPr>
          <w:rFonts w:ascii="Gill Sans MT" w:hAnsi="Gill Sans MT"/>
        </w:rPr>
        <w:t>, 76(3), 413-448.</w:t>
      </w:r>
    </w:p>
    <w:p w14:paraId="16E1FA32" w14:textId="77777777" w:rsidR="008816CD" w:rsidRPr="00133CC2" w:rsidRDefault="008816CD" w:rsidP="008816CD">
      <w:pPr>
        <w:spacing w:after="0"/>
        <w:rPr>
          <w:rFonts w:ascii="Gill Sans MT" w:hAnsi="Gill Sans MT"/>
        </w:rPr>
      </w:pPr>
      <w:r w:rsidRPr="001E0882">
        <w:rPr>
          <w:rFonts w:ascii="Gill Sans MT" w:hAnsi="Gill Sans MT"/>
        </w:rPr>
        <w:t xml:space="preserve">Nichols, S.A., McLeod, J.S., Holder, R.L., Mc Leod, H.S.T., 2009, Screening for dyslexia, dyspraxia and Meares-Irlen syndrome in higher education, </w:t>
      </w:r>
      <w:r w:rsidRPr="00A908B5">
        <w:rPr>
          <w:rFonts w:ascii="Gill Sans MT" w:hAnsi="Gill Sans MT"/>
          <w:i/>
        </w:rPr>
        <w:t>Dyslexia</w:t>
      </w:r>
      <w:r w:rsidRPr="001E0882">
        <w:rPr>
          <w:rFonts w:ascii="Gill Sans MT" w:hAnsi="Gill Sans MT"/>
        </w:rPr>
        <w:t>, 15(1), 42-60.</w:t>
      </w:r>
      <w:r w:rsidRPr="00133CC2">
        <w:rPr>
          <w:rFonts w:ascii="Gill Sans MT" w:hAnsi="Gill Sans MT"/>
        </w:rPr>
        <w:t xml:space="preserve"> </w:t>
      </w:r>
    </w:p>
    <w:p w14:paraId="76481EFC" w14:textId="77777777" w:rsidR="008816CD" w:rsidRDefault="008816CD" w:rsidP="008816CD">
      <w:pPr>
        <w:spacing w:after="0"/>
        <w:rPr>
          <w:rFonts w:ascii="Gill Sans MT" w:hAnsi="Gill Sans MT"/>
        </w:rPr>
      </w:pPr>
      <w:r w:rsidRPr="00133CC2">
        <w:rPr>
          <w:rFonts w:ascii="Gill Sans MT" w:hAnsi="Gill Sans MT"/>
        </w:rPr>
        <w:t xml:space="preserve">Nicholson, L., Putwain, D., Connors, L., Hornby-Atkinson, P., 2013, The key to successful achievement as an undergraduate students: confidence and realistic expectation? </w:t>
      </w:r>
      <w:r w:rsidRPr="00C259C2">
        <w:rPr>
          <w:rFonts w:ascii="Gill Sans MT" w:hAnsi="Gill Sans MT"/>
          <w:i/>
        </w:rPr>
        <w:t>Studies in Higher Education</w:t>
      </w:r>
      <w:r>
        <w:rPr>
          <w:rFonts w:ascii="Gill Sans MT" w:hAnsi="Gill Sans MT"/>
        </w:rPr>
        <w:t>, 38(2), 285-298.</w:t>
      </w:r>
    </w:p>
    <w:p w14:paraId="47D9AD0C" w14:textId="77777777" w:rsidR="008816CD" w:rsidRDefault="008816CD" w:rsidP="008816CD">
      <w:pPr>
        <w:spacing w:after="0"/>
        <w:rPr>
          <w:rFonts w:ascii="Gill Sans MT" w:hAnsi="Gill Sans MT"/>
        </w:rPr>
      </w:pPr>
      <w:r w:rsidRPr="00C259C2">
        <w:rPr>
          <w:rFonts w:ascii="Gill Sans MT" w:hAnsi="Gill Sans MT"/>
        </w:rPr>
        <w:t xml:space="preserve">Nicholson, R.I., Fawcett, A.J., 1990, Automaticity: A new framework for dyslexia, </w:t>
      </w:r>
      <w:r w:rsidRPr="00C259C2">
        <w:rPr>
          <w:rFonts w:ascii="Gill Sans MT" w:hAnsi="Gill Sans MT"/>
          <w:i/>
        </w:rPr>
        <w:t>Cognition</w:t>
      </w:r>
      <w:r w:rsidRPr="00C259C2">
        <w:rPr>
          <w:rFonts w:ascii="Gill Sans MT" w:hAnsi="Gill Sans MT"/>
        </w:rPr>
        <w:t>, 35, 159-182.</w:t>
      </w:r>
    </w:p>
    <w:p w14:paraId="04D076CF" w14:textId="77777777" w:rsidR="008816CD" w:rsidRPr="00C259C2" w:rsidRDefault="008816CD" w:rsidP="008816CD">
      <w:pPr>
        <w:spacing w:after="0"/>
        <w:rPr>
          <w:rFonts w:ascii="Gill Sans MT" w:hAnsi="Gill Sans MT"/>
        </w:rPr>
      </w:pPr>
      <w:r w:rsidRPr="00C259C2">
        <w:rPr>
          <w:rFonts w:ascii="Gill Sans MT" w:hAnsi="Gill Sans MT"/>
        </w:rPr>
        <w:t xml:space="preserve">Nicholson, R.I., Fawcett, A.J., 1997, Developing objective procedures for screening and assessment of dyslexic students in higher education, </w:t>
      </w:r>
      <w:r w:rsidRPr="00C259C2">
        <w:rPr>
          <w:rFonts w:ascii="Gill Sans MT" w:hAnsi="Gill Sans MT"/>
          <w:i/>
        </w:rPr>
        <w:t>Journal of Review in Reading</w:t>
      </w:r>
      <w:r w:rsidRPr="00C259C2">
        <w:rPr>
          <w:rFonts w:ascii="Gill Sans MT" w:hAnsi="Gill Sans MT"/>
        </w:rPr>
        <w:t>, 20(1), 77-83.</w:t>
      </w:r>
    </w:p>
    <w:p w14:paraId="4C6AA7AF" w14:textId="77777777" w:rsidR="008816CD" w:rsidRPr="00C259C2" w:rsidRDefault="008816CD" w:rsidP="008816CD">
      <w:pPr>
        <w:spacing w:after="0"/>
        <w:rPr>
          <w:rFonts w:ascii="Gill Sans MT" w:hAnsi="Gill Sans MT"/>
        </w:rPr>
      </w:pPr>
      <w:r w:rsidRPr="00C259C2">
        <w:rPr>
          <w:rFonts w:ascii="Gill Sans MT" w:hAnsi="Gill Sans MT"/>
        </w:rPr>
        <w:t xml:space="preserve">Nicholson, R.I., Fawcett, A.J., Dean, P., 1995, Time estimation deficits in developmental dyslexia: evidence of cerebellar involvement, </w:t>
      </w:r>
      <w:r w:rsidRPr="00C259C2">
        <w:rPr>
          <w:rFonts w:ascii="Gill Sans MT" w:hAnsi="Gill Sans MT"/>
          <w:i/>
        </w:rPr>
        <w:t>Proceedings of the Royal Society B (Biological Sciences),</w:t>
      </w:r>
      <w:r w:rsidRPr="00C259C2">
        <w:rPr>
          <w:rFonts w:ascii="Gill Sans MT" w:hAnsi="Gill Sans MT"/>
        </w:rPr>
        <w:t xml:space="preserve"> 259(1354), 43-47.</w:t>
      </w:r>
    </w:p>
    <w:p w14:paraId="32AFBF2A" w14:textId="7E334437" w:rsidR="008816CD" w:rsidRDefault="008816CD" w:rsidP="008816CD">
      <w:pPr>
        <w:spacing w:after="0"/>
        <w:rPr>
          <w:rFonts w:ascii="Gill Sans MT" w:hAnsi="Gill Sans MT"/>
        </w:rPr>
      </w:pPr>
      <w:r w:rsidRPr="00C259C2">
        <w:rPr>
          <w:rFonts w:ascii="Gill Sans MT" w:hAnsi="Gill Sans MT"/>
        </w:rPr>
        <w:t xml:space="preserve">Nicholson, R.I., Fawcett, A.J., Dean, P., 2001, Developmental dyslexia: the cerebellar deficit theory, </w:t>
      </w:r>
      <w:r w:rsidRPr="00C259C2">
        <w:rPr>
          <w:rFonts w:ascii="Gill Sans MT" w:hAnsi="Gill Sans MT"/>
          <w:i/>
        </w:rPr>
        <w:t>Trends in Neuroscience</w:t>
      </w:r>
      <w:r w:rsidRPr="00C259C2">
        <w:rPr>
          <w:rFonts w:ascii="Gill Sans MT" w:hAnsi="Gill Sans MT"/>
        </w:rPr>
        <w:t>, 24(9), 508-511.</w:t>
      </w:r>
    </w:p>
    <w:p w14:paraId="0FCCECF1" w14:textId="0DCF38A5" w:rsidR="00C75B3D" w:rsidRPr="004E3AC9" w:rsidRDefault="00C75B3D" w:rsidP="008816CD">
      <w:pPr>
        <w:spacing w:after="0"/>
        <w:rPr>
          <w:rFonts w:ascii="Gill Sans MT" w:hAnsi="Gill Sans MT"/>
        </w:rPr>
      </w:pPr>
      <w:r>
        <w:rPr>
          <w:rFonts w:ascii="Gill Sans MT" w:hAnsi="Gill Sans MT"/>
        </w:rPr>
        <w:t xml:space="preserve">Nicholson, R.I., Fawcett, A.J., 2017, </w:t>
      </w:r>
      <w:r w:rsidR="004E3AC9">
        <w:rPr>
          <w:rFonts w:ascii="Gill Sans MT" w:hAnsi="Gill Sans MT"/>
        </w:rPr>
        <w:t xml:space="preserve">Comparison of deficit severity across skills: Towards a taxonomy for dyslexia, IN: Nicholson, R.I., Fawcett, A.J (Eds),  </w:t>
      </w:r>
      <w:r w:rsidR="004E3AC9">
        <w:rPr>
          <w:rFonts w:ascii="Gill Sans MT" w:hAnsi="Gill Sans MT"/>
          <w:i/>
          <w:iCs/>
        </w:rPr>
        <w:t>Dyslexia in Children</w:t>
      </w:r>
      <w:r w:rsidR="004E3AC9">
        <w:rPr>
          <w:rFonts w:ascii="Gill Sans MT" w:hAnsi="Gill Sans MT"/>
        </w:rPr>
        <w:t>, Routledge, London.</w:t>
      </w:r>
    </w:p>
    <w:p w14:paraId="1B4578E4" w14:textId="77777777" w:rsidR="008816CD" w:rsidRPr="00133CC2" w:rsidRDefault="008816CD" w:rsidP="008816CD">
      <w:pPr>
        <w:spacing w:after="0"/>
        <w:rPr>
          <w:rFonts w:ascii="Gill Sans MT" w:hAnsi="Gill Sans MT"/>
        </w:rPr>
      </w:pPr>
      <w:r w:rsidRPr="00133CC2">
        <w:rPr>
          <w:rFonts w:ascii="Gill Sans MT" w:hAnsi="Gill Sans MT"/>
        </w:rPr>
        <w:t xml:space="preserve">Norgate, R., Osborne, C., Warhurst, A., 2013, Change in Myself-As-A-Learner Scale (MALS) scores as pupils transfer to and progress through secondary school, </w:t>
      </w:r>
      <w:r w:rsidRPr="009D152F">
        <w:rPr>
          <w:rFonts w:ascii="Gill Sans MT" w:hAnsi="Gill Sans MT"/>
          <w:i/>
        </w:rPr>
        <w:t>Educational Psychology in Practice</w:t>
      </w:r>
      <w:r w:rsidRPr="00133CC2">
        <w:rPr>
          <w:rFonts w:ascii="Gill Sans MT" w:hAnsi="Gill Sans MT"/>
        </w:rPr>
        <w:t>, 29(2), 122-137.</w:t>
      </w:r>
    </w:p>
    <w:p w14:paraId="533B7302" w14:textId="77777777" w:rsidR="008816CD" w:rsidRPr="00133CC2" w:rsidRDefault="008816CD" w:rsidP="008816CD">
      <w:pPr>
        <w:spacing w:after="0"/>
        <w:rPr>
          <w:rFonts w:ascii="Gill Sans MT" w:hAnsi="Gill Sans MT"/>
        </w:rPr>
      </w:pPr>
      <w:r w:rsidRPr="00133CC2">
        <w:rPr>
          <w:rFonts w:ascii="Gill Sans MT" w:hAnsi="Gill Sans MT"/>
        </w:rPr>
        <w:t>Norman, G., 2010, Likert scales, levels of measur</w:t>
      </w:r>
      <w:r>
        <w:rPr>
          <w:rFonts w:ascii="Gill Sans MT" w:hAnsi="Gill Sans MT"/>
        </w:rPr>
        <w:t>e</w:t>
      </w:r>
      <w:r w:rsidRPr="00133CC2">
        <w:rPr>
          <w:rFonts w:ascii="Gill Sans MT" w:hAnsi="Gill Sans MT"/>
        </w:rPr>
        <w:t>ment and the "la</w:t>
      </w:r>
      <w:r>
        <w:rPr>
          <w:rFonts w:ascii="Gill Sans MT" w:hAnsi="Gill Sans MT"/>
        </w:rPr>
        <w:t xml:space="preserve">ws" of statistics, </w:t>
      </w:r>
      <w:r w:rsidRPr="009D152F">
        <w:rPr>
          <w:rFonts w:ascii="Gill Sans MT" w:hAnsi="Gill Sans MT"/>
          <w:i/>
        </w:rPr>
        <w:t>Advances in Health Sciences Education</w:t>
      </w:r>
      <w:r w:rsidRPr="00133CC2">
        <w:rPr>
          <w:rFonts w:ascii="Gill Sans MT" w:hAnsi="Gill Sans MT"/>
        </w:rPr>
        <w:t xml:space="preserve">, 15(5), 625-632. </w:t>
      </w:r>
    </w:p>
    <w:p w14:paraId="2AB7E5B3" w14:textId="77777777" w:rsidR="008816CD" w:rsidRPr="00133CC2" w:rsidRDefault="008816CD" w:rsidP="008816CD">
      <w:pPr>
        <w:spacing w:after="0"/>
        <w:rPr>
          <w:rFonts w:ascii="Gill Sans MT" w:hAnsi="Gill Sans MT"/>
        </w:rPr>
      </w:pPr>
      <w:r w:rsidRPr="00133CC2">
        <w:rPr>
          <w:rFonts w:ascii="Gill Sans MT" w:hAnsi="Gill Sans MT"/>
        </w:rPr>
        <w:t xml:space="preserve">Norwich, B., 1999, The connotation of special education labels for professional in the field, </w:t>
      </w:r>
      <w:r w:rsidRPr="009D152F">
        <w:rPr>
          <w:rFonts w:ascii="Gill Sans MT" w:hAnsi="Gill Sans MT"/>
          <w:i/>
        </w:rPr>
        <w:t>British Journal of Special Education</w:t>
      </w:r>
      <w:r w:rsidRPr="00133CC2">
        <w:rPr>
          <w:rFonts w:ascii="Gill Sans MT" w:hAnsi="Gill Sans MT"/>
        </w:rPr>
        <w:t>, 26(4), 179-183.</w:t>
      </w:r>
    </w:p>
    <w:p w14:paraId="6BF3D2ED" w14:textId="77777777" w:rsidR="008816CD" w:rsidRPr="00133CC2" w:rsidRDefault="008816CD" w:rsidP="008816CD">
      <w:pPr>
        <w:spacing w:after="0"/>
        <w:rPr>
          <w:rFonts w:ascii="Gill Sans MT" w:hAnsi="Gill Sans MT"/>
        </w:rPr>
      </w:pPr>
      <w:r w:rsidRPr="00133CC2">
        <w:rPr>
          <w:rFonts w:ascii="Gill Sans MT" w:hAnsi="Gill Sans MT"/>
        </w:rPr>
        <w:t xml:space="preserve">Norwich, B., 2008, What future for special schools and inclusion? Conceptual and professional perspectives, </w:t>
      </w:r>
      <w:r w:rsidRPr="009D152F">
        <w:rPr>
          <w:rFonts w:ascii="Gill Sans MT" w:hAnsi="Gill Sans MT"/>
          <w:i/>
        </w:rPr>
        <w:t>British Journal of Special Education</w:t>
      </w:r>
      <w:r w:rsidRPr="00133CC2">
        <w:rPr>
          <w:rFonts w:ascii="Gill Sans MT" w:hAnsi="Gill Sans MT"/>
        </w:rPr>
        <w:t>, 35(3), 136-143.</w:t>
      </w:r>
    </w:p>
    <w:p w14:paraId="03EFB235" w14:textId="77777777" w:rsidR="008816CD" w:rsidRDefault="008816CD" w:rsidP="008816CD">
      <w:pPr>
        <w:spacing w:after="0"/>
        <w:rPr>
          <w:rFonts w:ascii="Gill Sans MT" w:hAnsi="Gill Sans MT"/>
        </w:rPr>
      </w:pPr>
      <w:r w:rsidRPr="00133CC2">
        <w:rPr>
          <w:rFonts w:ascii="Gill Sans MT" w:hAnsi="Gill Sans MT"/>
        </w:rPr>
        <w:t xml:space="preserve">Norwich, B., 2010, Dilemmas of difference, curriculum and disability: international perspectives, </w:t>
      </w:r>
      <w:r w:rsidRPr="009D152F">
        <w:rPr>
          <w:rFonts w:ascii="Gill Sans MT" w:hAnsi="Gill Sans MT"/>
          <w:i/>
        </w:rPr>
        <w:t>Comparative Education</w:t>
      </w:r>
      <w:r w:rsidRPr="00133CC2">
        <w:rPr>
          <w:rFonts w:ascii="Gill Sans MT" w:hAnsi="Gill Sans MT"/>
        </w:rPr>
        <w:t>, 46(2), 113-135.</w:t>
      </w:r>
    </w:p>
    <w:p w14:paraId="1D944225" w14:textId="2932C22E" w:rsidR="008816CD" w:rsidRDefault="008816CD" w:rsidP="008816CD">
      <w:pPr>
        <w:spacing w:after="0"/>
        <w:rPr>
          <w:rFonts w:ascii="Gill Sans MT" w:hAnsi="Gill Sans MT"/>
        </w:rPr>
      </w:pPr>
      <w:r>
        <w:rPr>
          <w:rFonts w:ascii="Gill Sans MT" w:hAnsi="Gill Sans MT"/>
        </w:rPr>
        <w:t xml:space="preserve">Norwich, B., 2013, </w:t>
      </w:r>
      <w:r>
        <w:rPr>
          <w:rFonts w:ascii="Gill Sans MT" w:hAnsi="Gill Sans MT"/>
          <w:i/>
        </w:rPr>
        <w:t>Addressing tensions and dilemmas in inclusive education: Living with uncertainty</w:t>
      </w:r>
      <w:r>
        <w:rPr>
          <w:rFonts w:ascii="Gill Sans MT" w:hAnsi="Gill Sans MT"/>
        </w:rPr>
        <w:t>, London, Routledge.</w:t>
      </w:r>
    </w:p>
    <w:p w14:paraId="1B50334F" w14:textId="148303EC" w:rsidR="00451907" w:rsidRDefault="00451907" w:rsidP="008816CD">
      <w:pPr>
        <w:spacing w:after="0"/>
        <w:rPr>
          <w:rFonts w:ascii="Gill Sans MT" w:hAnsi="Gill Sans MT"/>
        </w:rPr>
      </w:pPr>
      <w:r w:rsidRPr="00451907">
        <w:rPr>
          <w:rFonts w:ascii="Gill Sans MT" w:hAnsi="Gill Sans MT"/>
        </w:rPr>
        <w:t xml:space="preserve">Nunnally, J.C., Bernstein, I.H., 1994, </w:t>
      </w:r>
      <w:r w:rsidRPr="00451907">
        <w:rPr>
          <w:rFonts w:ascii="Gill Sans MT" w:hAnsi="Gill Sans MT"/>
          <w:i/>
          <w:iCs/>
        </w:rPr>
        <w:t>Psychometric Theory</w:t>
      </w:r>
      <w:r w:rsidRPr="00451907">
        <w:rPr>
          <w:rFonts w:ascii="Gill Sans MT" w:hAnsi="Gill Sans MT"/>
        </w:rPr>
        <w:t xml:space="preserve"> (3rd ed.), New York, McGraw-Hill.</w:t>
      </w:r>
    </w:p>
    <w:p w14:paraId="7288D847" w14:textId="1D76380E" w:rsidR="00B969C7" w:rsidRPr="00B969C7" w:rsidRDefault="00B969C7" w:rsidP="008816CD">
      <w:pPr>
        <w:spacing w:after="0"/>
        <w:rPr>
          <w:rFonts w:ascii="Gill Sans MT" w:hAnsi="Gill Sans MT"/>
        </w:rPr>
      </w:pPr>
      <w:r>
        <w:rPr>
          <w:rFonts w:ascii="Gill Sans MT" w:hAnsi="Gill Sans MT"/>
        </w:rPr>
        <w:t xml:space="preserve">O'Connor, B.P., 2000, SPSS and SAS programs for determining the number of components using parallel analysis and Velicer's MAP test, </w:t>
      </w:r>
      <w:r>
        <w:rPr>
          <w:rFonts w:ascii="Gill Sans MT" w:hAnsi="Gill Sans MT"/>
          <w:i/>
          <w:iCs/>
        </w:rPr>
        <w:t>Behavior Research Methods, Instruments and Computers</w:t>
      </w:r>
      <w:r>
        <w:rPr>
          <w:rFonts w:ascii="Gill Sans MT" w:hAnsi="Gill Sans MT"/>
        </w:rPr>
        <w:t>, 32(3), 396-402.</w:t>
      </w:r>
    </w:p>
    <w:p w14:paraId="5BBA4355" w14:textId="77777777" w:rsidR="008816CD" w:rsidRPr="00401570" w:rsidRDefault="008816CD" w:rsidP="008816CD">
      <w:pPr>
        <w:spacing w:after="0"/>
        <w:rPr>
          <w:rFonts w:ascii="Gill Sans MT" w:hAnsi="Gill Sans MT"/>
        </w:rPr>
      </w:pPr>
      <w:r>
        <w:rPr>
          <w:rFonts w:ascii="Gill Sans MT" w:hAnsi="Gill Sans MT"/>
        </w:rPr>
        <w:lastRenderedPageBreak/>
        <w:t xml:space="preserve">O’Neill, G., McMahon, T., 2005, Student-centred learning: What does it mean for students and lecturers? IN: O’Neill, G., Moores, S., McMullin, D., (eds), </w:t>
      </w:r>
      <w:r>
        <w:rPr>
          <w:rFonts w:ascii="Gill Sans MT" w:hAnsi="Gill Sans MT"/>
          <w:i/>
        </w:rPr>
        <w:t>Emerging issues in the practice of university learning and teaching</w:t>
      </w:r>
      <w:r>
        <w:rPr>
          <w:rFonts w:ascii="Gill Sans MT" w:hAnsi="Gill Sans MT"/>
        </w:rPr>
        <w:t>, Dublin, AISHE.</w:t>
      </w:r>
    </w:p>
    <w:p w14:paraId="13B5EF12" w14:textId="77777777" w:rsidR="008816CD" w:rsidRPr="00133CC2" w:rsidRDefault="008816CD" w:rsidP="008816CD">
      <w:pPr>
        <w:spacing w:after="0"/>
        <w:rPr>
          <w:rFonts w:ascii="Gill Sans MT" w:hAnsi="Gill Sans MT"/>
        </w:rPr>
      </w:pPr>
      <w:r w:rsidRPr="00133CC2">
        <w:rPr>
          <w:rFonts w:ascii="Gill Sans MT" w:hAnsi="Gill Sans MT"/>
        </w:rPr>
        <w:t xml:space="preserve">Oei, T.P.S., Morawsk, A., 2004, A cognitive model of binge drinking: the influence of alcohol expectancies and drinking refusal self-efficacy, </w:t>
      </w:r>
      <w:r w:rsidRPr="009D152F">
        <w:rPr>
          <w:rFonts w:ascii="Gill Sans MT" w:hAnsi="Gill Sans MT"/>
          <w:i/>
        </w:rPr>
        <w:t>Addictive Behaviors</w:t>
      </w:r>
      <w:r w:rsidRPr="00133CC2">
        <w:rPr>
          <w:rFonts w:ascii="Gill Sans MT" w:hAnsi="Gill Sans MT"/>
        </w:rPr>
        <w:t>, 29(1), 159-179.</w:t>
      </w:r>
    </w:p>
    <w:p w14:paraId="45A13B30" w14:textId="77777777" w:rsidR="008816CD" w:rsidRDefault="008816CD" w:rsidP="008816CD">
      <w:pPr>
        <w:spacing w:after="0"/>
        <w:rPr>
          <w:rFonts w:ascii="Gill Sans MT" w:hAnsi="Gill Sans MT"/>
        </w:rPr>
      </w:pPr>
      <w:r w:rsidRPr="00133CC2">
        <w:rPr>
          <w:rFonts w:ascii="Gill Sans MT" w:hAnsi="Gill Sans MT"/>
        </w:rPr>
        <w:t xml:space="preserve">Office for Disability Issues (ODI), 2011, </w:t>
      </w:r>
      <w:r w:rsidRPr="009D152F">
        <w:rPr>
          <w:rFonts w:ascii="Gill Sans MT" w:hAnsi="Gill Sans MT"/>
          <w:i/>
        </w:rPr>
        <w:t>Equality Act 2010: Guidance</w:t>
      </w:r>
      <w:r w:rsidRPr="00133CC2">
        <w:rPr>
          <w:rFonts w:ascii="Gill Sans MT" w:hAnsi="Gill Sans MT"/>
        </w:rPr>
        <w:t>, London, ODI.</w:t>
      </w:r>
    </w:p>
    <w:p w14:paraId="55687C60" w14:textId="77777777" w:rsidR="008816CD" w:rsidRDefault="008816CD" w:rsidP="008816CD">
      <w:pPr>
        <w:spacing w:after="0"/>
        <w:rPr>
          <w:rFonts w:ascii="Gill Sans MT" w:hAnsi="Gill Sans MT"/>
        </w:rPr>
      </w:pPr>
      <w:r w:rsidRPr="00133CC2">
        <w:rPr>
          <w:rFonts w:ascii="Gill Sans MT" w:hAnsi="Gill Sans MT"/>
        </w:rPr>
        <w:t>Oh, S., 2010, The sources that influence studen</w:t>
      </w:r>
      <w:r>
        <w:rPr>
          <w:rFonts w:ascii="Gill Sans MT" w:hAnsi="Gill Sans MT"/>
        </w:rPr>
        <w:t xml:space="preserve">t teachers' sense of efficacy, </w:t>
      </w:r>
      <w:r w:rsidRPr="009D152F">
        <w:rPr>
          <w:rFonts w:ascii="Gill Sans MT" w:hAnsi="Gill Sans MT"/>
          <w:i/>
        </w:rPr>
        <w:t>Unpublished doctoral thesis</w:t>
      </w:r>
      <w:r w:rsidRPr="00133CC2">
        <w:rPr>
          <w:rFonts w:ascii="Gill Sans MT" w:hAnsi="Gill Sans MT"/>
        </w:rPr>
        <w:t>, University of Iowa.</w:t>
      </w:r>
    </w:p>
    <w:p w14:paraId="247843D8" w14:textId="77777777" w:rsidR="008816CD" w:rsidRPr="00133CC2" w:rsidRDefault="008816CD" w:rsidP="008816CD">
      <w:pPr>
        <w:spacing w:before="240" w:after="0"/>
        <w:rPr>
          <w:rFonts w:ascii="Gill Sans MT" w:hAnsi="Gill Sans MT"/>
        </w:rPr>
      </w:pPr>
      <w:r w:rsidRPr="009015A1">
        <w:rPr>
          <w:rFonts w:ascii="Gill Sans MT" w:hAnsi="Gill Sans MT"/>
        </w:rPr>
        <w:t xml:space="preserve">Ohlson, R.K., Keenan, J.M., Byrne, B., Samuelsson, S., 2014, Why do children differ in their development of reading and related skills? </w:t>
      </w:r>
      <w:r w:rsidRPr="009015A1">
        <w:rPr>
          <w:rFonts w:ascii="Gill Sans MT" w:hAnsi="Gill Sans MT"/>
          <w:i/>
        </w:rPr>
        <w:t>Scientific Studies of Reading</w:t>
      </w:r>
      <w:r w:rsidRPr="009015A1">
        <w:rPr>
          <w:rFonts w:ascii="Gill Sans MT" w:hAnsi="Gill Sans MT"/>
        </w:rPr>
        <w:t>, 18(1), 38-54.</w:t>
      </w:r>
    </w:p>
    <w:p w14:paraId="34CF8E8F" w14:textId="77777777" w:rsidR="008816CD" w:rsidRPr="00133CC2" w:rsidRDefault="008816CD" w:rsidP="008816CD">
      <w:pPr>
        <w:spacing w:after="0"/>
        <w:rPr>
          <w:rFonts w:ascii="Gill Sans MT" w:hAnsi="Gill Sans MT"/>
        </w:rPr>
      </w:pPr>
      <w:r w:rsidRPr="00133CC2">
        <w:rPr>
          <w:rFonts w:ascii="Gill Sans MT" w:hAnsi="Gill Sans MT"/>
        </w:rPr>
        <w:t xml:space="preserve">Olofsson, A., Ahl, A., Taube, K., 2012, Learning and study strategies in university students with dyslexia: implications for teaching, </w:t>
      </w:r>
      <w:r w:rsidRPr="009D152F">
        <w:rPr>
          <w:rFonts w:ascii="Gill Sans MT" w:hAnsi="Gill Sans MT"/>
          <w:i/>
        </w:rPr>
        <w:t>Procedia - Social and Behavioural Sciences</w:t>
      </w:r>
      <w:r w:rsidRPr="00133CC2">
        <w:rPr>
          <w:rFonts w:ascii="Gill Sans MT" w:hAnsi="Gill Sans MT"/>
        </w:rPr>
        <w:t xml:space="preserve">, 47, 1184-1193. </w:t>
      </w:r>
    </w:p>
    <w:p w14:paraId="199CDCAB" w14:textId="77777777" w:rsidR="008816CD" w:rsidRDefault="008816CD" w:rsidP="008816CD">
      <w:pPr>
        <w:spacing w:after="0"/>
        <w:rPr>
          <w:rFonts w:ascii="Gill Sans MT" w:hAnsi="Gill Sans MT"/>
        </w:rPr>
      </w:pPr>
      <w:r>
        <w:rPr>
          <w:rFonts w:ascii="Gill Sans MT" w:hAnsi="Gill Sans MT"/>
        </w:rPr>
        <w:t xml:space="preserve">Omniplex (Group) Ltd., 2018, </w:t>
      </w:r>
      <w:r>
        <w:rPr>
          <w:rFonts w:ascii="Gill Sans MT" w:hAnsi="Gill Sans MT"/>
          <w:i/>
        </w:rPr>
        <w:t>Articulate 360</w:t>
      </w:r>
      <w:r>
        <w:rPr>
          <w:rFonts w:ascii="Gill Sans MT" w:hAnsi="Gill Sans MT"/>
        </w:rPr>
        <w:t>, New York, Omniplex.</w:t>
      </w:r>
    </w:p>
    <w:p w14:paraId="31CA41FF" w14:textId="77777777" w:rsidR="008816CD" w:rsidRPr="00133CC2" w:rsidRDefault="008816CD" w:rsidP="008816CD">
      <w:pPr>
        <w:spacing w:after="0"/>
        <w:rPr>
          <w:rFonts w:ascii="Gill Sans MT" w:hAnsi="Gill Sans MT"/>
        </w:rPr>
      </w:pPr>
      <w:r w:rsidRPr="00133CC2">
        <w:rPr>
          <w:rFonts w:ascii="Gill Sans MT" w:hAnsi="Gill Sans MT"/>
        </w:rPr>
        <w:t xml:space="preserve">Onwuegbuzie, A.J., Daniel, L.G., 2000, Reliability generalization: The importance of considering sample specificity, confidence intervals and subgroup differences. </w:t>
      </w:r>
      <w:r w:rsidRPr="009D152F">
        <w:rPr>
          <w:rFonts w:ascii="Gill Sans MT" w:hAnsi="Gill Sans MT"/>
          <w:i/>
        </w:rPr>
        <w:t>Paper presented at the Annual Meeting of the Mid-South Educational Research Association (MSERA) 17-19 November 2000</w:t>
      </w:r>
      <w:r w:rsidRPr="00133CC2">
        <w:rPr>
          <w:rFonts w:ascii="Gill Sans MT" w:hAnsi="Gill Sans MT"/>
        </w:rPr>
        <w:t>, Bowling Green Kentucky, MSERA.</w:t>
      </w:r>
    </w:p>
    <w:p w14:paraId="37529E1E" w14:textId="77777777" w:rsidR="008816CD" w:rsidRDefault="008816CD" w:rsidP="008816CD">
      <w:pPr>
        <w:spacing w:after="0"/>
        <w:rPr>
          <w:rFonts w:ascii="Gill Sans MT" w:hAnsi="Gill Sans MT"/>
        </w:rPr>
      </w:pPr>
      <w:r w:rsidRPr="00133CC2">
        <w:rPr>
          <w:rFonts w:ascii="Gill Sans MT" w:hAnsi="Gill Sans MT"/>
        </w:rPr>
        <w:t xml:space="preserve">Onwuegbuzie, A.J., Daniel, L.G., 2002, A framework for reporting and interpreting internal consistency reliability estimates, </w:t>
      </w:r>
      <w:r w:rsidRPr="009D152F">
        <w:rPr>
          <w:rFonts w:ascii="Gill Sans MT" w:hAnsi="Gill Sans MT"/>
          <w:i/>
        </w:rPr>
        <w:t>Measurement and Evaluation in Counselling and Development</w:t>
      </w:r>
      <w:r w:rsidRPr="00133CC2">
        <w:rPr>
          <w:rFonts w:ascii="Gill Sans MT" w:hAnsi="Gill Sans MT"/>
        </w:rPr>
        <w:t xml:space="preserve">, 35, 89-103. </w:t>
      </w:r>
    </w:p>
    <w:p w14:paraId="7788AD80" w14:textId="77777777" w:rsidR="008816CD" w:rsidRDefault="008816CD" w:rsidP="008816CD">
      <w:pPr>
        <w:spacing w:after="0"/>
        <w:rPr>
          <w:rFonts w:ascii="Gill Sans MT" w:hAnsi="Gill Sans MT"/>
        </w:rPr>
      </w:pPr>
      <w:r>
        <w:rPr>
          <w:rFonts w:ascii="Gill Sans MT" w:hAnsi="Gill Sans MT"/>
        </w:rPr>
        <w:t xml:space="preserve">Open University, 2018, </w:t>
      </w:r>
      <w:r>
        <w:rPr>
          <w:rFonts w:ascii="Gill Sans MT" w:hAnsi="Gill Sans MT"/>
          <w:i/>
        </w:rPr>
        <w:t>FutureLearn online courses</w:t>
      </w:r>
      <w:r>
        <w:rPr>
          <w:rFonts w:ascii="Gill Sans MT" w:hAnsi="Gill Sans MT"/>
        </w:rPr>
        <w:t xml:space="preserve">, Available at: </w:t>
      </w:r>
      <w:hyperlink r:id="rId66" w:history="1">
        <w:r w:rsidRPr="00977F08">
          <w:rPr>
            <w:rStyle w:val="Hyperlink"/>
            <w:rFonts w:ascii="Gill Sans MT" w:hAnsi="Gill Sans MT"/>
          </w:rPr>
          <w:t>http://www.futurelearn.com</w:t>
        </w:r>
      </w:hyperlink>
      <w:r>
        <w:rPr>
          <w:rFonts w:ascii="Gill Sans MT" w:hAnsi="Gill Sans MT"/>
        </w:rPr>
        <w:t>, Accessed on: 15</w:t>
      </w:r>
      <w:r w:rsidRPr="00841A03">
        <w:rPr>
          <w:rFonts w:ascii="Gill Sans MT" w:hAnsi="Gill Sans MT"/>
          <w:vertAlign w:val="superscript"/>
        </w:rPr>
        <w:t>th</w:t>
      </w:r>
      <w:r>
        <w:rPr>
          <w:rFonts w:ascii="Gill Sans MT" w:hAnsi="Gill Sans MT"/>
        </w:rPr>
        <w:t xml:space="preserve"> June 2018.</w:t>
      </w:r>
    </w:p>
    <w:p w14:paraId="51750814" w14:textId="77777777" w:rsidR="008816CD" w:rsidRPr="00D70B75" w:rsidRDefault="008816CD" w:rsidP="008816CD">
      <w:pPr>
        <w:spacing w:after="0"/>
        <w:rPr>
          <w:rFonts w:ascii="Gill Sans MT" w:hAnsi="Gill Sans MT"/>
        </w:rPr>
      </w:pPr>
      <w:r>
        <w:rPr>
          <w:rFonts w:ascii="Gill Sans MT" w:hAnsi="Gill Sans MT"/>
        </w:rPr>
        <w:t xml:space="preserve">Orton, S.T., 1928, Specific reading disability – Strephosymbolia, </w:t>
      </w:r>
      <w:r>
        <w:rPr>
          <w:rFonts w:ascii="Gill Sans MT" w:hAnsi="Gill Sans MT"/>
          <w:i/>
        </w:rPr>
        <w:t>Journal of the American Medical Association</w:t>
      </w:r>
      <w:r>
        <w:rPr>
          <w:rFonts w:ascii="Gill Sans MT" w:hAnsi="Gill Sans MT"/>
        </w:rPr>
        <w:t>, 90(14), 1095-1099.</w:t>
      </w:r>
    </w:p>
    <w:p w14:paraId="11C3B56B" w14:textId="40C5EED8" w:rsidR="008816CD" w:rsidRDefault="008816CD" w:rsidP="008816CD">
      <w:pPr>
        <w:spacing w:after="0"/>
        <w:rPr>
          <w:rFonts w:ascii="Gill Sans MT" w:hAnsi="Gill Sans MT"/>
        </w:rPr>
      </w:pPr>
      <w:r>
        <w:rPr>
          <w:rFonts w:ascii="Gill Sans MT" w:hAnsi="Gill Sans MT"/>
        </w:rPr>
        <w:t xml:space="preserve">Orton, S.T., 1937, </w:t>
      </w:r>
      <w:r>
        <w:rPr>
          <w:rFonts w:ascii="Gill Sans MT" w:hAnsi="Gill Sans MT"/>
          <w:i/>
        </w:rPr>
        <w:t>Reading, writing and speech problems in children</w:t>
      </w:r>
      <w:r>
        <w:rPr>
          <w:rFonts w:ascii="Gill Sans MT" w:hAnsi="Gill Sans MT"/>
        </w:rPr>
        <w:t>, New York, Norton.</w:t>
      </w:r>
    </w:p>
    <w:p w14:paraId="0468A9BE" w14:textId="68E40ADD" w:rsidR="00F148C4" w:rsidRPr="00057004" w:rsidRDefault="00F148C4" w:rsidP="008816CD">
      <w:pPr>
        <w:spacing w:after="0"/>
        <w:rPr>
          <w:rFonts w:ascii="Gill Sans MT" w:hAnsi="Gill Sans MT"/>
        </w:rPr>
      </w:pPr>
      <w:r>
        <w:rPr>
          <w:rFonts w:ascii="Gill Sans MT" w:hAnsi="Gill Sans MT"/>
        </w:rPr>
        <w:t>Osterholm</w:t>
      </w:r>
      <w:r w:rsidR="00057004">
        <w:rPr>
          <w:rFonts w:ascii="Gill Sans MT" w:hAnsi="Gill Sans MT"/>
        </w:rPr>
        <w:t xml:space="preserve">, K., Nash, W.H., Kritsonis, W.A., 2007, Effects of labelling students 'learning disabled': Emergent themes in the research literature 1970 through 2000, </w:t>
      </w:r>
      <w:r w:rsidR="00057004">
        <w:rPr>
          <w:rFonts w:ascii="Gill Sans MT" w:hAnsi="Gill Sans MT"/>
          <w:i/>
          <w:iCs/>
        </w:rPr>
        <w:t>Focus on Colleges, Universities and Schools</w:t>
      </w:r>
      <w:r w:rsidR="00057004">
        <w:rPr>
          <w:rFonts w:ascii="Gill Sans MT" w:hAnsi="Gill Sans MT"/>
        </w:rPr>
        <w:t>, 1(1), 1-11.</w:t>
      </w:r>
    </w:p>
    <w:p w14:paraId="1C138EA8" w14:textId="77777777" w:rsidR="008816CD" w:rsidRPr="00133CC2" w:rsidRDefault="008816CD" w:rsidP="008816CD">
      <w:pPr>
        <w:spacing w:after="0"/>
        <w:rPr>
          <w:rFonts w:ascii="Gill Sans MT" w:hAnsi="Gill Sans MT"/>
        </w:rPr>
      </w:pPr>
      <w:r w:rsidRPr="00133CC2">
        <w:rPr>
          <w:rFonts w:ascii="Gill Sans MT" w:hAnsi="Gill Sans MT"/>
        </w:rPr>
        <w:t xml:space="preserve">Pajares, F., 1992, Teachers' beliefs and educational research: cleaning up a messy construct, </w:t>
      </w:r>
      <w:r w:rsidRPr="009D152F">
        <w:rPr>
          <w:rFonts w:ascii="Gill Sans MT" w:hAnsi="Gill Sans MT"/>
          <w:i/>
        </w:rPr>
        <w:t>Review of Educational Research</w:t>
      </w:r>
      <w:r w:rsidRPr="00133CC2">
        <w:rPr>
          <w:rFonts w:ascii="Gill Sans MT" w:hAnsi="Gill Sans MT"/>
        </w:rPr>
        <w:t>, 62(3), 307-332.</w:t>
      </w:r>
    </w:p>
    <w:p w14:paraId="35549321" w14:textId="77777777" w:rsidR="008816CD" w:rsidRPr="00133CC2" w:rsidRDefault="008816CD" w:rsidP="008816CD">
      <w:pPr>
        <w:spacing w:after="0"/>
        <w:rPr>
          <w:rFonts w:ascii="Gill Sans MT" w:hAnsi="Gill Sans MT"/>
        </w:rPr>
      </w:pPr>
      <w:r w:rsidRPr="00133CC2">
        <w:rPr>
          <w:rFonts w:ascii="Gill Sans MT" w:hAnsi="Gill Sans MT"/>
        </w:rPr>
        <w:t xml:space="preserve">Pajares, F., 1996, Self-efficacy beliefs in academic settings, </w:t>
      </w:r>
      <w:r w:rsidRPr="009D152F">
        <w:rPr>
          <w:rFonts w:ascii="Gill Sans MT" w:hAnsi="Gill Sans MT"/>
          <w:i/>
        </w:rPr>
        <w:t>Review of Educational Research</w:t>
      </w:r>
      <w:r w:rsidRPr="00133CC2">
        <w:rPr>
          <w:rFonts w:ascii="Gill Sans MT" w:hAnsi="Gill Sans MT"/>
        </w:rPr>
        <w:t>, 66(4), 543-578.</w:t>
      </w:r>
    </w:p>
    <w:p w14:paraId="089D3980" w14:textId="77777777" w:rsidR="008816CD" w:rsidRPr="00133CC2" w:rsidRDefault="008816CD" w:rsidP="008816CD">
      <w:pPr>
        <w:spacing w:after="0"/>
        <w:rPr>
          <w:rFonts w:ascii="Gill Sans MT" w:hAnsi="Gill Sans MT"/>
        </w:rPr>
      </w:pPr>
      <w:r w:rsidRPr="00133CC2">
        <w:rPr>
          <w:rFonts w:ascii="Gill Sans MT" w:hAnsi="Gill Sans MT"/>
        </w:rPr>
        <w:t xml:space="preserve">Pajares, F., 2008, Motivational role of self-efficacy beliefs in self-regulated learning, IN: Schunk, D.H., Zimmerman, B.J., (Eds), </w:t>
      </w:r>
      <w:r w:rsidRPr="009D152F">
        <w:rPr>
          <w:rFonts w:ascii="Gill Sans MT" w:hAnsi="Gill Sans MT"/>
          <w:i/>
        </w:rPr>
        <w:t>Motivation and Self-Regulated Learning: Theory, Research and Applications</w:t>
      </w:r>
      <w:r w:rsidRPr="00133CC2">
        <w:rPr>
          <w:rFonts w:ascii="Gill Sans MT" w:hAnsi="Gill Sans MT"/>
        </w:rPr>
        <w:t>, New York, Lawrence Erlbaum Associates.</w:t>
      </w:r>
    </w:p>
    <w:p w14:paraId="12B3952E" w14:textId="77777777" w:rsidR="008816CD" w:rsidRPr="00133CC2" w:rsidRDefault="008816CD" w:rsidP="008816CD">
      <w:pPr>
        <w:spacing w:after="0"/>
        <w:rPr>
          <w:rFonts w:ascii="Gill Sans MT" w:hAnsi="Gill Sans MT"/>
        </w:rPr>
      </w:pPr>
      <w:r w:rsidRPr="00133CC2">
        <w:rPr>
          <w:rFonts w:ascii="Gill Sans MT" w:hAnsi="Gill Sans MT"/>
        </w:rPr>
        <w:t xml:space="preserve">Pajares, F., Johnson, M.J., Usher, E.L., 2007, Sources of writing self-efficacy beliefs of elementary, middle, and high school students, </w:t>
      </w:r>
      <w:r w:rsidRPr="009D152F">
        <w:rPr>
          <w:rFonts w:ascii="Gill Sans MT" w:hAnsi="Gill Sans MT"/>
          <w:i/>
        </w:rPr>
        <w:t>Research in the Teaching of English</w:t>
      </w:r>
      <w:r w:rsidRPr="00133CC2">
        <w:rPr>
          <w:rFonts w:ascii="Gill Sans MT" w:hAnsi="Gill Sans MT"/>
        </w:rPr>
        <w:t>, 42(1), 104-120.</w:t>
      </w:r>
    </w:p>
    <w:p w14:paraId="0E6EC999" w14:textId="77777777" w:rsidR="008816CD" w:rsidRPr="00133CC2" w:rsidRDefault="008816CD" w:rsidP="008816CD">
      <w:pPr>
        <w:spacing w:after="0"/>
        <w:rPr>
          <w:rFonts w:ascii="Gill Sans MT" w:hAnsi="Gill Sans MT"/>
        </w:rPr>
      </w:pPr>
      <w:r w:rsidRPr="00133CC2">
        <w:rPr>
          <w:rFonts w:ascii="Gill Sans MT" w:hAnsi="Gill Sans MT"/>
        </w:rPr>
        <w:t xml:space="preserve">Pajares, F., Kranzler, J., 1995, Self-efficacy beliefs and general mental ability in mathematical problem-solving, </w:t>
      </w:r>
      <w:r w:rsidRPr="009D152F">
        <w:rPr>
          <w:rFonts w:ascii="Gill Sans MT" w:hAnsi="Gill Sans MT"/>
          <w:i/>
        </w:rPr>
        <w:t>Contemporary Educational Psychology</w:t>
      </w:r>
      <w:r w:rsidRPr="00133CC2">
        <w:rPr>
          <w:rFonts w:ascii="Gill Sans MT" w:hAnsi="Gill Sans MT"/>
        </w:rPr>
        <w:t>, 20(4), 426-443.</w:t>
      </w:r>
    </w:p>
    <w:p w14:paraId="4B38BBC9" w14:textId="77777777" w:rsidR="008816CD" w:rsidRPr="00133CC2" w:rsidRDefault="008816CD" w:rsidP="008816CD">
      <w:pPr>
        <w:spacing w:after="0"/>
        <w:rPr>
          <w:rFonts w:ascii="Gill Sans MT" w:hAnsi="Gill Sans MT"/>
        </w:rPr>
      </w:pPr>
      <w:r w:rsidRPr="00133CC2">
        <w:rPr>
          <w:rFonts w:ascii="Gill Sans MT" w:hAnsi="Gill Sans MT"/>
        </w:rPr>
        <w:t xml:space="preserve">Pajares, F., Miller, M.D., 1994, Role of self-efficacy and self-concept beliefs in mathematical problem-solving: A path analysis, </w:t>
      </w:r>
      <w:r w:rsidRPr="009D152F">
        <w:rPr>
          <w:rFonts w:ascii="Gill Sans MT" w:hAnsi="Gill Sans MT"/>
          <w:i/>
        </w:rPr>
        <w:t>Journal of Educational Psychology</w:t>
      </w:r>
      <w:r w:rsidRPr="00133CC2">
        <w:rPr>
          <w:rFonts w:ascii="Gill Sans MT" w:hAnsi="Gill Sans MT"/>
        </w:rPr>
        <w:t>, 86(2), 193-203.</w:t>
      </w:r>
    </w:p>
    <w:p w14:paraId="5A88F99E" w14:textId="77777777" w:rsidR="008816CD" w:rsidRPr="00133CC2" w:rsidRDefault="008816CD" w:rsidP="008816CD">
      <w:pPr>
        <w:spacing w:after="0"/>
        <w:rPr>
          <w:rFonts w:ascii="Gill Sans MT" w:hAnsi="Gill Sans MT"/>
        </w:rPr>
      </w:pPr>
      <w:r w:rsidRPr="00133CC2">
        <w:rPr>
          <w:rFonts w:ascii="Gill Sans MT" w:hAnsi="Gill Sans MT"/>
        </w:rPr>
        <w:lastRenderedPageBreak/>
        <w:t>Pajares, F., Miller, M.D., 1995, Mathematics self-efficacy and mathematics outcomes. The need for specificity of assessment</w:t>
      </w:r>
      <w:r w:rsidRPr="009D152F">
        <w:rPr>
          <w:rFonts w:ascii="Gill Sans MT" w:hAnsi="Gill Sans MT"/>
          <w:i/>
        </w:rPr>
        <w:t>, Journal of Counseling Psychology</w:t>
      </w:r>
      <w:r w:rsidRPr="00133CC2">
        <w:rPr>
          <w:rFonts w:ascii="Gill Sans MT" w:hAnsi="Gill Sans MT"/>
        </w:rPr>
        <w:t>, 42, 190-198.</w:t>
      </w:r>
    </w:p>
    <w:p w14:paraId="53DCF5F1" w14:textId="50790A76" w:rsidR="008816CD" w:rsidRDefault="008816CD" w:rsidP="008816CD">
      <w:pPr>
        <w:spacing w:after="0"/>
        <w:rPr>
          <w:rFonts w:ascii="Gill Sans MT" w:hAnsi="Gill Sans MT"/>
        </w:rPr>
      </w:pPr>
      <w:r w:rsidRPr="00133CC2">
        <w:rPr>
          <w:rFonts w:ascii="Gill Sans MT" w:hAnsi="Gill Sans MT"/>
        </w:rPr>
        <w:t xml:space="preserve">Pajares, F., Schunk, D.H., 2002, Self and self-belief in psychology and education: an historical perspective, IN: Aronson, J., (Ed.), </w:t>
      </w:r>
      <w:r w:rsidRPr="009D152F">
        <w:rPr>
          <w:rFonts w:ascii="Gill Sans MT" w:hAnsi="Gill Sans MT"/>
          <w:i/>
        </w:rPr>
        <w:t>Improving academic achievement</w:t>
      </w:r>
      <w:r w:rsidRPr="00133CC2">
        <w:rPr>
          <w:rFonts w:ascii="Gill Sans MT" w:hAnsi="Gill Sans MT"/>
        </w:rPr>
        <w:t>, New York, Academic Press.</w:t>
      </w:r>
    </w:p>
    <w:p w14:paraId="4E932BFB" w14:textId="1E608D39" w:rsidR="00A31DE7" w:rsidRPr="00A31DE7" w:rsidRDefault="00A31DE7" w:rsidP="008816CD">
      <w:pPr>
        <w:spacing w:after="0"/>
        <w:rPr>
          <w:rFonts w:ascii="Gill Sans MT" w:hAnsi="Gill Sans MT"/>
        </w:rPr>
      </w:pPr>
      <w:r>
        <w:rPr>
          <w:rFonts w:ascii="Gill Sans MT" w:hAnsi="Gill Sans MT"/>
        </w:rPr>
        <w:t xml:space="preserve">Pajares, F., Schunk, D.H., 2005, Self-efficacy and self-concept beliefs, IN: Marsh, H.W., Craven, R.G., McInerney, D.M., (Eds), </w:t>
      </w:r>
      <w:r>
        <w:rPr>
          <w:rFonts w:ascii="Gill Sans MT" w:hAnsi="Gill Sans MT"/>
          <w:i/>
          <w:iCs/>
        </w:rPr>
        <w:t>New Frontiers for Self Research (Vol 2: International Advances in Self Research)</w:t>
      </w:r>
      <w:r>
        <w:rPr>
          <w:rFonts w:ascii="Gill Sans MT" w:hAnsi="Gill Sans MT"/>
        </w:rPr>
        <w:t>, Greenwich CT, Information Age Publishing.</w:t>
      </w:r>
    </w:p>
    <w:p w14:paraId="5ED40CB2" w14:textId="31E2D1BC" w:rsidR="008816CD" w:rsidRDefault="008816CD" w:rsidP="008816CD">
      <w:pPr>
        <w:spacing w:after="0"/>
        <w:rPr>
          <w:rFonts w:ascii="Gill Sans MT" w:hAnsi="Gill Sans MT"/>
        </w:rPr>
      </w:pPr>
      <w:r w:rsidRPr="00133CC2">
        <w:rPr>
          <w:rFonts w:ascii="Gill Sans MT" w:hAnsi="Gill Sans MT"/>
        </w:rPr>
        <w:t xml:space="preserve">Pajares, F., Valiente, G., </w:t>
      </w:r>
      <w:r w:rsidR="00A31DE7">
        <w:rPr>
          <w:rFonts w:ascii="Gill Sans MT" w:hAnsi="Gill Sans MT"/>
        </w:rPr>
        <w:t xml:space="preserve">1997, </w:t>
      </w:r>
      <w:r w:rsidRPr="00133CC2">
        <w:rPr>
          <w:rFonts w:ascii="Gill Sans MT" w:hAnsi="Gill Sans MT"/>
        </w:rPr>
        <w:t xml:space="preserve">Influence of self-efficacy on elementary students' writing, </w:t>
      </w:r>
      <w:r w:rsidRPr="009D152F">
        <w:rPr>
          <w:rFonts w:ascii="Gill Sans MT" w:hAnsi="Gill Sans MT"/>
          <w:i/>
        </w:rPr>
        <w:t>The Journal of Educational Research</w:t>
      </w:r>
      <w:r w:rsidRPr="00133CC2">
        <w:rPr>
          <w:rFonts w:ascii="Gill Sans MT" w:hAnsi="Gill Sans MT"/>
        </w:rPr>
        <w:t>, 90(6), 353-360.</w:t>
      </w:r>
    </w:p>
    <w:p w14:paraId="6594EA98" w14:textId="6D05B01A" w:rsidR="00451907" w:rsidRPr="00133CC2" w:rsidRDefault="00451907" w:rsidP="008816CD">
      <w:pPr>
        <w:spacing w:after="0"/>
        <w:rPr>
          <w:rFonts w:ascii="Gill Sans MT" w:hAnsi="Gill Sans MT"/>
        </w:rPr>
      </w:pPr>
      <w:r w:rsidRPr="00451907">
        <w:rPr>
          <w:rFonts w:ascii="Gill Sans MT" w:hAnsi="Gill Sans MT"/>
        </w:rPr>
        <w:t xml:space="preserve">Panayides, P., 2013, Coefficient alpha: interpret with caution, </w:t>
      </w:r>
      <w:r w:rsidRPr="00451907">
        <w:rPr>
          <w:rFonts w:ascii="Gill Sans MT" w:hAnsi="Gill Sans MT"/>
          <w:i/>
          <w:iCs/>
        </w:rPr>
        <w:t>Europe's Journal of Psychology</w:t>
      </w:r>
      <w:r w:rsidRPr="00451907">
        <w:rPr>
          <w:rFonts w:ascii="Gill Sans MT" w:hAnsi="Gill Sans MT"/>
        </w:rPr>
        <w:t>, 9(4), 687-696.</w:t>
      </w:r>
    </w:p>
    <w:p w14:paraId="07F7E2F5" w14:textId="77777777" w:rsidR="008816CD" w:rsidRDefault="008816CD" w:rsidP="008816CD">
      <w:pPr>
        <w:spacing w:after="0"/>
        <w:rPr>
          <w:rFonts w:ascii="Gill Sans MT" w:hAnsi="Gill Sans MT"/>
        </w:rPr>
      </w:pPr>
      <w:r w:rsidRPr="00133CC2">
        <w:rPr>
          <w:rFonts w:ascii="Gill Sans MT" w:hAnsi="Gill Sans MT"/>
        </w:rPr>
        <w:t xml:space="preserve">Parilla, R., Georgiou, G., Corkett, J., 2007, University students with a significant history of dearing difficulties: What is, and is not compensated? </w:t>
      </w:r>
      <w:r w:rsidRPr="009D152F">
        <w:rPr>
          <w:rFonts w:ascii="Gill Sans MT" w:hAnsi="Gill Sans MT"/>
          <w:i/>
        </w:rPr>
        <w:t>Exceptionality Education International</w:t>
      </w:r>
      <w:r w:rsidRPr="00133CC2">
        <w:rPr>
          <w:rFonts w:ascii="Gill Sans MT" w:hAnsi="Gill Sans MT"/>
        </w:rPr>
        <w:t xml:space="preserve">, 17(2), 195-220. </w:t>
      </w:r>
    </w:p>
    <w:p w14:paraId="4BCA7FC2" w14:textId="77777777" w:rsidR="008816CD" w:rsidRPr="00133CC2" w:rsidRDefault="008816CD" w:rsidP="008816CD">
      <w:pPr>
        <w:spacing w:after="0"/>
        <w:rPr>
          <w:rFonts w:ascii="Gill Sans MT" w:hAnsi="Gill Sans MT"/>
        </w:rPr>
      </w:pPr>
      <w:r w:rsidRPr="00F468A6">
        <w:rPr>
          <w:rFonts w:ascii="Gill Sans MT" w:hAnsi="Gill Sans MT"/>
        </w:rPr>
        <w:t xml:space="preserve">Pasquini, E.S., Corriveau, K.H., Goswami, U., 2007, Auditory processing of amplitude envelope rise time in adults diagnosed with developmental dyslexia, </w:t>
      </w:r>
      <w:r w:rsidRPr="009533E1">
        <w:rPr>
          <w:rFonts w:ascii="Gill Sans MT" w:hAnsi="Gill Sans MT"/>
          <w:i/>
        </w:rPr>
        <w:t>Scientific Studies of Reading</w:t>
      </w:r>
      <w:r w:rsidRPr="00F468A6">
        <w:rPr>
          <w:rFonts w:ascii="Gill Sans MT" w:hAnsi="Gill Sans MT"/>
        </w:rPr>
        <w:t>, 11(3), 259-286.</w:t>
      </w:r>
    </w:p>
    <w:p w14:paraId="32941C81" w14:textId="77777777" w:rsidR="008816CD" w:rsidRPr="00133CC2" w:rsidRDefault="008816CD" w:rsidP="008816CD">
      <w:pPr>
        <w:spacing w:after="0"/>
        <w:rPr>
          <w:rFonts w:ascii="Gill Sans MT" w:hAnsi="Gill Sans MT"/>
        </w:rPr>
      </w:pPr>
      <w:r w:rsidRPr="00133CC2">
        <w:rPr>
          <w:rFonts w:ascii="Gill Sans MT" w:hAnsi="Gill Sans MT"/>
        </w:rPr>
        <w:t>Passman, T., Green, R.A., 2009, Start with the Syllabus: Universal Design from the Top</w:t>
      </w:r>
      <w:r w:rsidRPr="009D152F">
        <w:rPr>
          <w:rFonts w:ascii="Gill Sans MT" w:hAnsi="Gill Sans MT"/>
          <w:i/>
        </w:rPr>
        <w:t>, Journal of Access Services</w:t>
      </w:r>
      <w:r w:rsidRPr="00133CC2">
        <w:rPr>
          <w:rFonts w:ascii="Gill Sans MT" w:hAnsi="Gill Sans MT"/>
        </w:rPr>
        <w:t>, 6(1-2), 48-58.</w:t>
      </w:r>
    </w:p>
    <w:p w14:paraId="77165155" w14:textId="77777777" w:rsidR="008816CD" w:rsidRPr="00133CC2" w:rsidRDefault="008816CD" w:rsidP="008816CD">
      <w:pPr>
        <w:spacing w:after="0"/>
        <w:rPr>
          <w:rFonts w:ascii="Gill Sans MT" w:hAnsi="Gill Sans MT"/>
        </w:rPr>
      </w:pPr>
      <w:r w:rsidRPr="00133CC2">
        <w:rPr>
          <w:rFonts w:ascii="Gill Sans MT" w:hAnsi="Gill Sans MT"/>
        </w:rPr>
        <w:t xml:space="preserve">Paulhaus, D.L., 1991, Measurement and control of response bias, IN: Robinson, J.P., Shaver, P.R., Wrightsman, L.S. (Eds), </w:t>
      </w:r>
      <w:r w:rsidRPr="009D152F">
        <w:rPr>
          <w:rFonts w:ascii="Gill Sans MT" w:hAnsi="Gill Sans MT"/>
          <w:i/>
        </w:rPr>
        <w:t>Measures of personality and social psychological attitudes: Vol 1</w:t>
      </w:r>
      <w:r w:rsidRPr="00133CC2">
        <w:rPr>
          <w:rFonts w:ascii="Gill Sans MT" w:hAnsi="Gill Sans MT"/>
        </w:rPr>
        <w:t xml:space="preserve">, San Diego CA, Academic Press. </w:t>
      </w:r>
    </w:p>
    <w:p w14:paraId="2E3B2D3B" w14:textId="77777777" w:rsidR="008816CD" w:rsidRPr="00133CC2" w:rsidRDefault="008816CD" w:rsidP="008816CD">
      <w:pPr>
        <w:spacing w:after="0"/>
        <w:rPr>
          <w:rFonts w:ascii="Gill Sans MT" w:hAnsi="Gill Sans MT"/>
        </w:rPr>
      </w:pPr>
      <w:r w:rsidRPr="00133CC2">
        <w:rPr>
          <w:rFonts w:ascii="Gill Sans MT" w:hAnsi="Gill Sans MT"/>
        </w:rPr>
        <w:t xml:space="preserve">Peacock, M., 2001, Match or mismatch? Learning styles and teaching styles in EFL, </w:t>
      </w:r>
      <w:r w:rsidRPr="009D152F">
        <w:rPr>
          <w:rFonts w:ascii="Gill Sans MT" w:hAnsi="Gill Sans MT"/>
          <w:i/>
        </w:rPr>
        <w:t>International Journal of Applied Linguistics</w:t>
      </w:r>
      <w:r w:rsidRPr="00133CC2">
        <w:rPr>
          <w:rFonts w:ascii="Gill Sans MT" w:hAnsi="Gill Sans MT"/>
        </w:rPr>
        <w:t xml:space="preserve">, 11(1), 1-20. </w:t>
      </w:r>
    </w:p>
    <w:p w14:paraId="2F42F3F2" w14:textId="77777777" w:rsidR="008816CD" w:rsidRPr="00133CC2" w:rsidRDefault="008816CD" w:rsidP="008816CD">
      <w:pPr>
        <w:spacing w:after="0"/>
        <w:rPr>
          <w:rFonts w:ascii="Gill Sans MT" w:hAnsi="Gill Sans MT"/>
        </w:rPr>
      </w:pPr>
      <w:r w:rsidRPr="00133CC2">
        <w:rPr>
          <w:rFonts w:ascii="Gill Sans MT" w:hAnsi="Gill Sans MT"/>
        </w:rPr>
        <w:t xml:space="preserve">Pell, G., 2005, Use and misuse of Likert scales, </w:t>
      </w:r>
      <w:r w:rsidRPr="009D152F">
        <w:rPr>
          <w:rFonts w:ascii="Gill Sans MT" w:hAnsi="Gill Sans MT"/>
          <w:i/>
        </w:rPr>
        <w:t>Medical Education</w:t>
      </w:r>
      <w:r w:rsidRPr="00133CC2">
        <w:rPr>
          <w:rFonts w:ascii="Gill Sans MT" w:hAnsi="Gill Sans MT"/>
        </w:rPr>
        <w:t>, 39(9), 970.</w:t>
      </w:r>
    </w:p>
    <w:p w14:paraId="369557A4" w14:textId="77777777" w:rsidR="008816CD" w:rsidRPr="00133CC2" w:rsidRDefault="008816CD" w:rsidP="008816CD">
      <w:pPr>
        <w:spacing w:after="0"/>
        <w:rPr>
          <w:rFonts w:ascii="Gill Sans MT" w:hAnsi="Gill Sans MT"/>
        </w:rPr>
      </w:pPr>
      <w:r w:rsidRPr="00133CC2">
        <w:rPr>
          <w:rFonts w:ascii="Gill Sans MT" w:hAnsi="Gill Sans MT"/>
        </w:rPr>
        <w:t xml:space="preserve">Pelliccione, L., Raison, G., 2009, Promoting the scholarship of teaching through reflective e-portfolios in teacher education, </w:t>
      </w:r>
      <w:r w:rsidRPr="009D152F">
        <w:rPr>
          <w:rFonts w:ascii="Gill Sans MT" w:hAnsi="Gill Sans MT"/>
          <w:i/>
        </w:rPr>
        <w:t>Journal of Education for Teaching</w:t>
      </w:r>
      <w:r w:rsidRPr="00133CC2">
        <w:rPr>
          <w:rFonts w:ascii="Gill Sans MT" w:hAnsi="Gill Sans MT"/>
        </w:rPr>
        <w:t>, 35(3), 271-281.</w:t>
      </w:r>
    </w:p>
    <w:p w14:paraId="1A50086B" w14:textId="77777777" w:rsidR="008816CD" w:rsidRDefault="008816CD" w:rsidP="008816CD">
      <w:pPr>
        <w:spacing w:after="0"/>
        <w:rPr>
          <w:rFonts w:ascii="Gill Sans MT" w:hAnsi="Gill Sans MT"/>
        </w:rPr>
      </w:pPr>
      <w:r w:rsidRPr="00133CC2">
        <w:rPr>
          <w:rFonts w:ascii="Gill Sans MT" w:hAnsi="Gill Sans MT"/>
        </w:rPr>
        <w:t xml:space="preserve">Pennel, H., West, A., 2005, The impact of increased fees on participation in Higher Education in England, </w:t>
      </w:r>
      <w:r w:rsidRPr="009D152F">
        <w:rPr>
          <w:rFonts w:ascii="Gill Sans MT" w:hAnsi="Gill Sans MT"/>
          <w:i/>
        </w:rPr>
        <w:t>Higher Education Quarterly</w:t>
      </w:r>
      <w:r w:rsidRPr="00133CC2">
        <w:rPr>
          <w:rFonts w:ascii="Gill Sans MT" w:hAnsi="Gill Sans MT"/>
        </w:rPr>
        <w:t>, 59(2), 127-137.</w:t>
      </w:r>
    </w:p>
    <w:p w14:paraId="0B5FC28C" w14:textId="77777777" w:rsidR="008816CD" w:rsidRPr="00133CC2" w:rsidRDefault="008816CD" w:rsidP="008816CD">
      <w:pPr>
        <w:spacing w:before="240" w:after="0"/>
        <w:rPr>
          <w:rFonts w:ascii="Gill Sans MT" w:hAnsi="Gill Sans MT"/>
        </w:rPr>
      </w:pPr>
      <w:r w:rsidRPr="009015A1">
        <w:rPr>
          <w:rFonts w:ascii="Gill Sans MT" w:hAnsi="Gill Sans MT"/>
        </w:rPr>
        <w:t>Pennington, B., 1990, The genetics of dyslexia</w:t>
      </w:r>
      <w:r w:rsidRPr="009015A1">
        <w:rPr>
          <w:rFonts w:ascii="Gill Sans MT" w:hAnsi="Gill Sans MT"/>
          <w:i/>
        </w:rPr>
        <w:t>, Journal of Child Psychology and Psychiatry</w:t>
      </w:r>
      <w:r w:rsidRPr="009015A1">
        <w:rPr>
          <w:rFonts w:ascii="Gill Sans MT" w:hAnsi="Gill Sans MT"/>
        </w:rPr>
        <w:t>, 13(2), 193-201.</w:t>
      </w:r>
    </w:p>
    <w:p w14:paraId="73B727E2" w14:textId="77777777" w:rsidR="008816CD" w:rsidRDefault="008816CD" w:rsidP="008816CD">
      <w:pPr>
        <w:spacing w:after="0"/>
        <w:rPr>
          <w:rFonts w:ascii="Gill Sans MT" w:hAnsi="Gill Sans MT"/>
        </w:rPr>
      </w:pPr>
      <w:r w:rsidRPr="00133CC2">
        <w:rPr>
          <w:rFonts w:ascii="Gill Sans MT" w:hAnsi="Gill Sans MT"/>
        </w:rPr>
        <w:t xml:space="preserve">Pennington, B., 2006, From single to multiple deficit models of developmental disorders, </w:t>
      </w:r>
      <w:r w:rsidRPr="009D152F">
        <w:rPr>
          <w:rFonts w:ascii="Gill Sans MT" w:hAnsi="Gill Sans MT"/>
          <w:i/>
        </w:rPr>
        <w:t>Cognition</w:t>
      </w:r>
      <w:r w:rsidRPr="00133CC2">
        <w:rPr>
          <w:rFonts w:ascii="Gill Sans MT" w:hAnsi="Gill Sans MT"/>
        </w:rPr>
        <w:t xml:space="preserve">, 101, 385-413. </w:t>
      </w:r>
    </w:p>
    <w:p w14:paraId="5481FDB0" w14:textId="77777777" w:rsidR="008816CD" w:rsidRPr="009351C0" w:rsidRDefault="008816CD" w:rsidP="008816CD">
      <w:pPr>
        <w:spacing w:after="0"/>
        <w:rPr>
          <w:rFonts w:ascii="Gill Sans MT" w:hAnsi="Gill Sans MT"/>
        </w:rPr>
      </w:pPr>
      <w:r>
        <w:rPr>
          <w:rFonts w:ascii="Gill Sans MT" w:hAnsi="Gill Sans MT"/>
        </w:rPr>
        <w:t>Perkin, G., Croft, T., 2007, The dyslexic student and mathematics in higher education,</w:t>
      </w:r>
      <w:r>
        <w:rPr>
          <w:rFonts w:ascii="Gill Sans MT" w:hAnsi="Gill Sans MT"/>
          <w:i/>
        </w:rPr>
        <w:t xml:space="preserve"> Dyslexia</w:t>
      </w:r>
      <w:r>
        <w:rPr>
          <w:rFonts w:ascii="Gill Sans MT" w:hAnsi="Gill Sans MT"/>
        </w:rPr>
        <w:t xml:space="preserve"> 13(3), 193-210.</w:t>
      </w:r>
    </w:p>
    <w:p w14:paraId="19EE3B0E" w14:textId="77777777" w:rsidR="008816CD" w:rsidRDefault="008816CD" w:rsidP="008816CD">
      <w:pPr>
        <w:spacing w:after="0"/>
        <w:rPr>
          <w:rFonts w:ascii="Gill Sans MT" w:hAnsi="Gill Sans MT"/>
        </w:rPr>
      </w:pPr>
      <w:r w:rsidRPr="00133CC2">
        <w:rPr>
          <w:rFonts w:ascii="Gill Sans MT" w:hAnsi="Gill Sans MT"/>
        </w:rPr>
        <w:t xml:space="preserve">Peterson, R.L., Pennington, B.F., 2015, Developmental dyslexia, </w:t>
      </w:r>
      <w:r w:rsidRPr="009D152F">
        <w:rPr>
          <w:rFonts w:ascii="Gill Sans MT" w:hAnsi="Gill Sans MT"/>
          <w:i/>
        </w:rPr>
        <w:t>Annual Review of Clinical Psychology</w:t>
      </w:r>
      <w:r w:rsidRPr="00133CC2">
        <w:rPr>
          <w:rFonts w:ascii="Gill Sans MT" w:hAnsi="Gill Sans MT"/>
        </w:rPr>
        <w:t xml:space="preserve">, 11, 283-307. </w:t>
      </w:r>
    </w:p>
    <w:p w14:paraId="635C5410" w14:textId="77777777" w:rsidR="008816CD" w:rsidRPr="006A5C3E" w:rsidRDefault="008816CD" w:rsidP="008816CD">
      <w:pPr>
        <w:spacing w:after="0"/>
        <w:rPr>
          <w:rFonts w:ascii="Gill Sans MT" w:hAnsi="Gill Sans MT"/>
        </w:rPr>
      </w:pPr>
      <w:r>
        <w:rPr>
          <w:rFonts w:ascii="Gill Sans MT" w:hAnsi="Gill Sans MT"/>
        </w:rPr>
        <w:t xml:space="preserve">Pickering, S.J., 2012, Working memory in dyslexia, IN: Alloway, T.P., Gathercole, S.E. (eds), </w:t>
      </w:r>
      <w:r>
        <w:rPr>
          <w:rFonts w:ascii="Gill Sans MT" w:hAnsi="Gill Sans MT"/>
          <w:i/>
        </w:rPr>
        <w:t>Working memory and neurodevelopmental disorders,</w:t>
      </w:r>
      <w:r>
        <w:rPr>
          <w:rFonts w:ascii="Gill Sans MT" w:hAnsi="Gill Sans MT"/>
        </w:rPr>
        <w:t xml:space="preserve"> Hove, Psychology Press.</w:t>
      </w:r>
    </w:p>
    <w:p w14:paraId="6811CAB1" w14:textId="633573DC" w:rsidR="008816CD" w:rsidRDefault="008816CD" w:rsidP="008816CD">
      <w:pPr>
        <w:spacing w:after="0"/>
        <w:rPr>
          <w:rFonts w:ascii="Gill Sans MT" w:hAnsi="Gill Sans MT"/>
        </w:rPr>
      </w:pPr>
      <w:r>
        <w:rPr>
          <w:rFonts w:ascii="Gill Sans MT" w:hAnsi="Gill Sans MT"/>
        </w:rPr>
        <w:t xml:space="preserve">Pico Educational Systems Ltd, 2011, </w:t>
      </w:r>
      <w:r>
        <w:rPr>
          <w:rFonts w:ascii="Gill Sans MT" w:hAnsi="Gill Sans MT"/>
          <w:i/>
        </w:rPr>
        <w:t>QS Dyslexia Tests</w:t>
      </w:r>
      <w:r>
        <w:rPr>
          <w:rFonts w:ascii="Gill Sans MT" w:hAnsi="Gill Sans MT"/>
        </w:rPr>
        <w:t xml:space="preserve">, Available online at: </w:t>
      </w:r>
      <w:hyperlink r:id="rId67" w:history="1">
        <w:r w:rsidRPr="007612E0">
          <w:rPr>
            <w:rStyle w:val="Hyperlink"/>
            <w:rFonts w:ascii="Gill Sans MT" w:hAnsi="Gill Sans MT"/>
          </w:rPr>
          <w:t>http://studyscan.com</w:t>
        </w:r>
      </w:hyperlink>
      <w:r>
        <w:rPr>
          <w:rFonts w:ascii="Gill Sans MT" w:hAnsi="Gill Sans MT"/>
        </w:rPr>
        <w:t>, accessed on: 14</w:t>
      </w:r>
      <w:r w:rsidRPr="002E5169">
        <w:rPr>
          <w:rFonts w:ascii="Gill Sans MT" w:hAnsi="Gill Sans MT"/>
          <w:vertAlign w:val="superscript"/>
        </w:rPr>
        <w:t>th</w:t>
      </w:r>
      <w:r>
        <w:rPr>
          <w:rFonts w:ascii="Gill Sans MT" w:hAnsi="Gill Sans MT"/>
        </w:rPr>
        <w:t xml:space="preserve"> June 2017.</w:t>
      </w:r>
    </w:p>
    <w:p w14:paraId="14AABD67" w14:textId="6B196C0A" w:rsidR="003A1F7D" w:rsidRPr="00882646" w:rsidRDefault="003A1F7D" w:rsidP="008816CD">
      <w:pPr>
        <w:spacing w:after="0"/>
        <w:rPr>
          <w:rFonts w:ascii="Gill Sans MT" w:hAnsi="Gill Sans MT"/>
        </w:rPr>
      </w:pPr>
      <w:r>
        <w:rPr>
          <w:rFonts w:ascii="Gill Sans MT" w:hAnsi="Gill Sans MT"/>
        </w:rPr>
        <w:lastRenderedPageBreak/>
        <w:t>Pino, M., Mortari,</w:t>
      </w:r>
      <w:r w:rsidR="00882646">
        <w:rPr>
          <w:rFonts w:ascii="Gill Sans MT" w:hAnsi="Gill Sans MT"/>
        </w:rPr>
        <w:t xml:space="preserve"> </w:t>
      </w:r>
      <w:r>
        <w:rPr>
          <w:rFonts w:ascii="Gill Sans MT" w:hAnsi="Gill Sans MT"/>
        </w:rPr>
        <w:t xml:space="preserve">L., </w:t>
      </w:r>
      <w:r w:rsidR="00882646">
        <w:rPr>
          <w:rFonts w:ascii="Gill Sans MT" w:hAnsi="Gill Sans MT"/>
        </w:rPr>
        <w:t xml:space="preserve">2014, The inclusion of students with dyslexia in Higher Education: A systematic review using narrative synthesis, </w:t>
      </w:r>
      <w:r w:rsidR="00882646">
        <w:rPr>
          <w:rFonts w:ascii="Gill Sans MT" w:hAnsi="Gill Sans MT"/>
          <w:i/>
          <w:iCs/>
        </w:rPr>
        <w:t>Dyslexia</w:t>
      </w:r>
      <w:r w:rsidR="00882646">
        <w:rPr>
          <w:rFonts w:ascii="Gill Sans MT" w:hAnsi="Gill Sans MT"/>
        </w:rPr>
        <w:t>, 20, 346-369.</w:t>
      </w:r>
    </w:p>
    <w:p w14:paraId="0D99E330" w14:textId="77777777" w:rsidR="008816CD" w:rsidRPr="00133CC2" w:rsidRDefault="008816CD" w:rsidP="008816CD">
      <w:pPr>
        <w:spacing w:after="0"/>
        <w:rPr>
          <w:rFonts w:ascii="Gill Sans MT" w:hAnsi="Gill Sans MT"/>
        </w:rPr>
      </w:pPr>
      <w:r w:rsidRPr="00133CC2">
        <w:rPr>
          <w:rFonts w:ascii="Gill Sans MT" w:hAnsi="Gill Sans MT"/>
        </w:rPr>
        <w:t xml:space="preserve">Pollak, D., 2005, </w:t>
      </w:r>
      <w:r w:rsidRPr="009D152F">
        <w:rPr>
          <w:rFonts w:ascii="Gill Sans MT" w:hAnsi="Gill Sans MT"/>
          <w:i/>
        </w:rPr>
        <w:t>Dyslexia, the self and higher education: Learning life histories of students identified as dyslexic</w:t>
      </w:r>
      <w:r w:rsidRPr="00133CC2">
        <w:rPr>
          <w:rFonts w:ascii="Gill Sans MT" w:hAnsi="Gill Sans MT"/>
        </w:rPr>
        <w:t>, Stoke-on-Trent, Trentham Books.</w:t>
      </w:r>
    </w:p>
    <w:p w14:paraId="63AD57B7" w14:textId="77777777" w:rsidR="008816CD" w:rsidRDefault="008816CD" w:rsidP="008816CD">
      <w:pPr>
        <w:spacing w:after="0"/>
        <w:rPr>
          <w:rFonts w:ascii="Gill Sans MT" w:hAnsi="Gill Sans MT"/>
        </w:rPr>
      </w:pPr>
      <w:r w:rsidRPr="00133CC2">
        <w:rPr>
          <w:rFonts w:ascii="Gill Sans MT" w:hAnsi="Gill Sans MT"/>
        </w:rPr>
        <w:t xml:space="preserve">Pollak, D.(Ed), 2009, </w:t>
      </w:r>
      <w:r w:rsidRPr="009D152F">
        <w:rPr>
          <w:rFonts w:ascii="Gill Sans MT" w:hAnsi="Gill Sans MT"/>
          <w:i/>
        </w:rPr>
        <w:t>Neurodiversity in higher education: positive responses to specific learning differences</w:t>
      </w:r>
      <w:r>
        <w:rPr>
          <w:rFonts w:ascii="Gill Sans MT" w:hAnsi="Gill Sans MT"/>
        </w:rPr>
        <w:t>, Oxford, Wiley-Blackwell.</w:t>
      </w:r>
    </w:p>
    <w:p w14:paraId="0C0AF8ED" w14:textId="77777777" w:rsidR="008816CD" w:rsidRPr="00350934" w:rsidRDefault="008816CD" w:rsidP="008816CD">
      <w:pPr>
        <w:spacing w:after="0"/>
        <w:rPr>
          <w:rFonts w:ascii="Gill Sans MT" w:hAnsi="Gill Sans MT"/>
        </w:rPr>
      </w:pPr>
      <w:r>
        <w:rPr>
          <w:rFonts w:ascii="Gill Sans MT" w:hAnsi="Gill Sans MT"/>
        </w:rPr>
        <w:t xml:space="preserve">Pressley, M., McCormick, C., 1995, </w:t>
      </w:r>
      <w:r>
        <w:rPr>
          <w:rFonts w:ascii="Gill Sans MT" w:hAnsi="Gill Sans MT"/>
          <w:i/>
        </w:rPr>
        <w:t>Cognition, Teaching and Assessment</w:t>
      </w:r>
      <w:r>
        <w:rPr>
          <w:rFonts w:ascii="Gill Sans MT" w:hAnsi="Gill Sans MT"/>
        </w:rPr>
        <w:t>, New York, Harper Collins.</w:t>
      </w:r>
    </w:p>
    <w:p w14:paraId="1BFC4FBA" w14:textId="77777777" w:rsidR="008816CD" w:rsidRPr="00107292" w:rsidRDefault="008816CD" w:rsidP="008816CD">
      <w:pPr>
        <w:spacing w:after="0"/>
        <w:rPr>
          <w:rFonts w:ascii="Gill Sans MT" w:hAnsi="Gill Sans MT"/>
        </w:rPr>
      </w:pPr>
      <w:r>
        <w:rPr>
          <w:rFonts w:ascii="Gill Sans MT" w:hAnsi="Gill Sans MT"/>
        </w:rPr>
        <w:t xml:space="preserve">Pringle Morgan, W., 1896, A case of congenital word-blindness, </w:t>
      </w:r>
      <w:r>
        <w:rPr>
          <w:rFonts w:ascii="Gill Sans MT" w:hAnsi="Gill Sans MT"/>
          <w:i/>
        </w:rPr>
        <w:t>British Medical Journal</w:t>
      </w:r>
      <w:r>
        <w:rPr>
          <w:rFonts w:ascii="Gill Sans MT" w:hAnsi="Gill Sans MT"/>
        </w:rPr>
        <w:t>, 7(2), 1378.</w:t>
      </w:r>
    </w:p>
    <w:p w14:paraId="398B4BD1" w14:textId="77777777" w:rsidR="008816CD" w:rsidRPr="00133CC2" w:rsidRDefault="008816CD" w:rsidP="008816CD">
      <w:pPr>
        <w:spacing w:after="0"/>
        <w:rPr>
          <w:rFonts w:ascii="Gill Sans MT" w:hAnsi="Gill Sans MT"/>
        </w:rPr>
      </w:pPr>
      <w:r w:rsidRPr="00133CC2">
        <w:rPr>
          <w:rFonts w:ascii="Gill Sans MT" w:hAnsi="Gill Sans MT"/>
        </w:rPr>
        <w:t xml:space="preserve">Proctor, C.M., Mather, N., Stephens-Pisecco, T.L., Jaffe, L.E., 2017, Assessment of dyslexia, </w:t>
      </w:r>
      <w:r w:rsidRPr="00957860">
        <w:rPr>
          <w:rFonts w:ascii="Gill Sans MT" w:hAnsi="Gill Sans MT"/>
          <w:i/>
        </w:rPr>
        <w:t>Communiqué</w:t>
      </w:r>
      <w:r w:rsidRPr="00133CC2">
        <w:rPr>
          <w:rFonts w:ascii="Gill Sans MT" w:hAnsi="Gill Sans MT"/>
        </w:rPr>
        <w:t>, 46(3), 1/20-23.</w:t>
      </w:r>
    </w:p>
    <w:p w14:paraId="2FE86213" w14:textId="77777777" w:rsidR="008816CD" w:rsidRDefault="008816CD" w:rsidP="008816CD">
      <w:pPr>
        <w:spacing w:after="0"/>
        <w:rPr>
          <w:rFonts w:ascii="Gill Sans MT" w:hAnsi="Gill Sans MT"/>
        </w:rPr>
      </w:pPr>
      <w:r w:rsidRPr="00133CC2">
        <w:rPr>
          <w:rFonts w:ascii="Gill Sans MT" w:hAnsi="Gill Sans MT"/>
        </w:rPr>
        <w:t xml:space="preserve">Putwain, D., Sander, P., 2016, Does the confidence of first-eary undergraduate students change of time according to achievement goal profile? </w:t>
      </w:r>
      <w:r w:rsidRPr="00957860">
        <w:rPr>
          <w:rFonts w:ascii="Gill Sans MT" w:hAnsi="Gill Sans MT"/>
          <w:i/>
        </w:rPr>
        <w:t>Studies in Higher Education</w:t>
      </w:r>
      <w:r w:rsidRPr="00133CC2">
        <w:rPr>
          <w:rFonts w:ascii="Gill Sans MT" w:hAnsi="Gill Sans MT"/>
        </w:rPr>
        <w:t>, 41(2), 381-398.</w:t>
      </w:r>
      <w:r w:rsidRPr="00B05769">
        <w:rPr>
          <w:rFonts w:ascii="Gill Sans MT" w:hAnsi="Gill Sans MT"/>
        </w:rPr>
        <w:t xml:space="preserve"> </w:t>
      </w:r>
    </w:p>
    <w:p w14:paraId="010741E2" w14:textId="77777777" w:rsidR="008816CD" w:rsidRPr="00133CC2" w:rsidRDefault="008816CD" w:rsidP="008816CD">
      <w:pPr>
        <w:spacing w:after="0"/>
        <w:rPr>
          <w:rFonts w:ascii="Gill Sans MT" w:hAnsi="Gill Sans MT"/>
        </w:rPr>
      </w:pPr>
      <w:r w:rsidRPr="00133CC2">
        <w:rPr>
          <w:rFonts w:ascii="Gill Sans MT" w:hAnsi="Gill Sans MT"/>
        </w:rPr>
        <w:t xml:space="preserve">Putwain, D., Sander, P., Larkin, D., 2013, Academic self-efficacy in study-related skills and behaviours: Relations with learning-related emotions and academic success, </w:t>
      </w:r>
      <w:r w:rsidRPr="00957860">
        <w:rPr>
          <w:rFonts w:ascii="Gill Sans MT" w:hAnsi="Gill Sans MT"/>
          <w:i/>
        </w:rPr>
        <w:t>British Journal of Educational Psychology</w:t>
      </w:r>
      <w:r w:rsidRPr="00133CC2">
        <w:rPr>
          <w:rFonts w:ascii="Gill Sans MT" w:hAnsi="Gill Sans MT"/>
        </w:rPr>
        <w:t>, 83(4), 633-650.</w:t>
      </w:r>
    </w:p>
    <w:p w14:paraId="0E771973" w14:textId="77777777" w:rsidR="008816CD" w:rsidRPr="00133CC2" w:rsidRDefault="008816CD" w:rsidP="008816CD">
      <w:pPr>
        <w:spacing w:after="0"/>
        <w:rPr>
          <w:rFonts w:ascii="Gill Sans MT" w:hAnsi="Gill Sans MT"/>
        </w:rPr>
      </w:pPr>
      <w:r w:rsidRPr="00133CC2">
        <w:rPr>
          <w:rFonts w:ascii="Gill Sans MT" w:hAnsi="Gill Sans MT"/>
        </w:rPr>
        <w:t xml:space="preserve">QAA, 2014, </w:t>
      </w:r>
      <w:r w:rsidRPr="00957860">
        <w:rPr>
          <w:rFonts w:ascii="Gill Sans MT" w:hAnsi="Gill Sans MT"/>
          <w:i/>
        </w:rPr>
        <w:t>UK Quality Code for Higher Education Part A: Setting and Maintaining Standards; The Frameworks for Higher Education Qualifications of UK Degree-awarding Bodies</w:t>
      </w:r>
      <w:r w:rsidRPr="00133CC2">
        <w:rPr>
          <w:rFonts w:ascii="Gill Sans MT" w:hAnsi="Gill Sans MT"/>
        </w:rPr>
        <w:t>, Gloucester, Qualifica</w:t>
      </w:r>
      <w:r>
        <w:rPr>
          <w:rFonts w:ascii="Gill Sans MT" w:hAnsi="Gill Sans MT"/>
        </w:rPr>
        <w:t>tions and Assessment Authority.</w:t>
      </w:r>
    </w:p>
    <w:p w14:paraId="0A1819EA" w14:textId="77777777" w:rsidR="008816CD" w:rsidRPr="009015A1" w:rsidRDefault="008816CD" w:rsidP="008816CD">
      <w:pPr>
        <w:spacing w:before="240" w:after="0"/>
        <w:rPr>
          <w:rFonts w:ascii="Gill Sans MT" w:hAnsi="Gill Sans MT"/>
        </w:rPr>
      </w:pPr>
      <w:r w:rsidRPr="009015A1">
        <w:rPr>
          <w:rFonts w:ascii="Gill Sans MT" w:hAnsi="Gill Sans MT"/>
        </w:rPr>
        <w:t xml:space="preserve">Rack, J., 2017, Dyslexia: The phonological deficit hypothesis, IN: Fawcett, A., Nicholson, R., </w:t>
      </w:r>
      <w:r w:rsidRPr="009015A1">
        <w:rPr>
          <w:rFonts w:ascii="Gill Sans MT" w:hAnsi="Gill Sans MT"/>
          <w:i/>
        </w:rPr>
        <w:t>Dyslexia in Children</w:t>
      </w:r>
      <w:r w:rsidRPr="009015A1">
        <w:rPr>
          <w:rFonts w:ascii="Gill Sans MT" w:hAnsi="Gill Sans MT"/>
        </w:rPr>
        <w:t>, London, Routledge.</w:t>
      </w:r>
    </w:p>
    <w:p w14:paraId="59A6C969" w14:textId="77777777" w:rsidR="008816CD" w:rsidRDefault="008816CD" w:rsidP="008816CD">
      <w:pPr>
        <w:spacing w:after="0"/>
        <w:rPr>
          <w:rFonts w:ascii="Gill Sans MT" w:hAnsi="Gill Sans MT"/>
        </w:rPr>
      </w:pPr>
      <w:r w:rsidRPr="00133CC2">
        <w:rPr>
          <w:rFonts w:ascii="Gill Sans MT" w:hAnsi="Gill Sans MT"/>
        </w:rPr>
        <w:t xml:space="preserve">Ramus, F., 2004, Neurobiology of dyslexia: a reinterpretation of the data, </w:t>
      </w:r>
      <w:r w:rsidRPr="00957860">
        <w:rPr>
          <w:rFonts w:ascii="Gill Sans MT" w:hAnsi="Gill Sans MT"/>
          <w:i/>
        </w:rPr>
        <w:t>Trends in Neuroscience</w:t>
      </w:r>
      <w:r w:rsidRPr="00133CC2">
        <w:rPr>
          <w:rFonts w:ascii="Gill Sans MT" w:hAnsi="Gill Sans MT"/>
        </w:rPr>
        <w:t>, 27(12), 720-726.</w:t>
      </w:r>
    </w:p>
    <w:p w14:paraId="6E89A775" w14:textId="77777777" w:rsidR="008816CD" w:rsidRPr="00133CC2" w:rsidRDefault="008816CD" w:rsidP="008816CD">
      <w:pPr>
        <w:spacing w:after="0"/>
        <w:rPr>
          <w:rFonts w:ascii="Gill Sans MT" w:hAnsi="Gill Sans MT"/>
        </w:rPr>
      </w:pPr>
      <w:r w:rsidRPr="00133CC2">
        <w:rPr>
          <w:rFonts w:ascii="Gill Sans MT" w:hAnsi="Gill Sans MT"/>
        </w:rPr>
        <w:t xml:space="preserve">Ramus, F., Marshall, C.R., Rosen, S., van der Lely, H.K., 2013, Phonological deficits in specific language impairment and developmental dyslexia: towards a multidimensional model, </w:t>
      </w:r>
      <w:r w:rsidRPr="00957860">
        <w:rPr>
          <w:rFonts w:ascii="Gill Sans MT" w:hAnsi="Gill Sans MT"/>
          <w:i/>
        </w:rPr>
        <w:t>Brain</w:t>
      </w:r>
      <w:r w:rsidRPr="00133CC2">
        <w:rPr>
          <w:rFonts w:ascii="Gill Sans MT" w:hAnsi="Gill Sans MT"/>
        </w:rPr>
        <w:t xml:space="preserve">, 136(2), 630-645. </w:t>
      </w:r>
    </w:p>
    <w:p w14:paraId="31EA21A6" w14:textId="77777777" w:rsidR="008816CD" w:rsidRDefault="008816CD" w:rsidP="008816CD">
      <w:pPr>
        <w:spacing w:after="0"/>
        <w:rPr>
          <w:rFonts w:ascii="Gill Sans MT" w:hAnsi="Gill Sans MT"/>
        </w:rPr>
      </w:pPr>
      <w:r w:rsidRPr="00C41FB8">
        <w:rPr>
          <w:rFonts w:ascii="Gill Sans MT" w:hAnsi="Gill Sans MT"/>
        </w:rPr>
        <w:t>Ramus, F., Pidgeon, E., Frith, U., 2003, The relationship between motor control and phonology in dyslexic children</w:t>
      </w:r>
      <w:r w:rsidRPr="00C41FB8">
        <w:rPr>
          <w:rFonts w:ascii="Gill Sans MT" w:hAnsi="Gill Sans MT"/>
          <w:i/>
        </w:rPr>
        <w:t>, Journal of Child Psychology and Psychiatry</w:t>
      </w:r>
      <w:r w:rsidRPr="00C41FB8">
        <w:rPr>
          <w:rFonts w:ascii="Gill Sans MT" w:hAnsi="Gill Sans MT"/>
        </w:rPr>
        <w:t>, 44(5), 712-722.</w:t>
      </w:r>
    </w:p>
    <w:p w14:paraId="7E19B7BD" w14:textId="77777777" w:rsidR="008816CD" w:rsidRDefault="008816CD" w:rsidP="008816CD">
      <w:pPr>
        <w:spacing w:after="0"/>
        <w:rPr>
          <w:rFonts w:ascii="Gill Sans MT" w:hAnsi="Gill Sans MT"/>
        </w:rPr>
      </w:pPr>
      <w:r w:rsidRPr="007A6436">
        <w:rPr>
          <w:rFonts w:ascii="Gill Sans MT" w:hAnsi="Gill Sans MT"/>
        </w:rPr>
        <w:t xml:space="preserve">Ramus, F., Rosen, S., Dakin, S., Day, B.L., Castollote, J.M., White, S., Frith, U., 2003, Theories of developmental dyslexia: insights from a multiple case study of dyslexic adults, </w:t>
      </w:r>
      <w:r w:rsidRPr="007A6436">
        <w:rPr>
          <w:rFonts w:ascii="Gill Sans MT" w:hAnsi="Gill Sans MT"/>
          <w:i/>
        </w:rPr>
        <w:t>Brain</w:t>
      </w:r>
      <w:r w:rsidRPr="007A6436">
        <w:rPr>
          <w:rFonts w:ascii="Gill Sans MT" w:hAnsi="Gill Sans MT"/>
        </w:rPr>
        <w:t>, 126(4), 841-865.</w:t>
      </w:r>
    </w:p>
    <w:p w14:paraId="3BAAD714" w14:textId="77777777" w:rsidR="008816CD" w:rsidRPr="00133CC2" w:rsidRDefault="008816CD" w:rsidP="008816CD">
      <w:pPr>
        <w:spacing w:after="0"/>
        <w:rPr>
          <w:rFonts w:ascii="Gill Sans MT" w:hAnsi="Gill Sans MT"/>
        </w:rPr>
      </w:pPr>
      <w:r w:rsidRPr="007A6436">
        <w:rPr>
          <w:rFonts w:ascii="Gill Sans MT" w:hAnsi="Gill Sans MT"/>
        </w:rPr>
        <w:t xml:space="preserve">Ramus, F., Szenkovits, G., 2008, What phonological deficit? </w:t>
      </w:r>
      <w:r w:rsidRPr="007A6436">
        <w:rPr>
          <w:rFonts w:ascii="Gill Sans MT" w:hAnsi="Gill Sans MT"/>
          <w:i/>
        </w:rPr>
        <w:t>The Quarterly Journal of Experimental Psychology</w:t>
      </w:r>
      <w:r w:rsidRPr="007A6436">
        <w:rPr>
          <w:rFonts w:ascii="Gill Sans MT" w:hAnsi="Gill Sans MT"/>
        </w:rPr>
        <w:t>, 61(1), 129-141.</w:t>
      </w:r>
    </w:p>
    <w:p w14:paraId="2409F934" w14:textId="77777777" w:rsidR="008816CD" w:rsidRPr="00D12A01" w:rsidRDefault="008816CD" w:rsidP="008816CD">
      <w:pPr>
        <w:spacing w:after="0"/>
        <w:rPr>
          <w:rFonts w:ascii="Gill Sans MT" w:hAnsi="Gill Sans MT"/>
        </w:rPr>
      </w:pPr>
      <w:r>
        <w:rPr>
          <w:rFonts w:ascii="Gill Sans MT" w:hAnsi="Gill Sans MT"/>
        </w:rPr>
        <w:t xml:space="preserve">Rao, K., Eldin-Smith, P., Wailehua, C-U., 2015, Universal design for online courses: applying principles to pedagogy, </w:t>
      </w:r>
      <w:r>
        <w:rPr>
          <w:rFonts w:ascii="Gill Sans MT" w:hAnsi="Gill Sans MT"/>
          <w:i/>
        </w:rPr>
        <w:t>Online Learning</w:t>
      </w:r>
      <w:r>
        <w:rPr>
          <w:rFonts w:ascii="Gill Sans MT" w:hAnsi="Gill Sans MT"/>
        </w:rPr>
        <w:t>, 30(1), 35-52.</w:t>
      </w:r>
    </w:p>
    <w:p w14:paraId="2DA9F8B0" w14:textId="77777777" w:rsidR="008816CD" w:rsidRPr="00133CC2" w:rsidRDefault="008816CD" w:rsidP="008816CD">
      <w:pPr>
        <w:spacing w:after="0"/>
        <w:rPr>
          <w:rFonts w:ascii="Gill Sans MT" w:hAnsi="Gill Sans MT"/>
        </w:rPr>
      </w:pPr>
      <w:r w:rsidRPr="00133CC2">
        <w:rPr>
          <w:rFonts w:ascii="Gill Sans MT" w:hAnsi="Gill Sans MT"/>
        </w:rPr>
        <w:t xml:space="preserve">Rasinski, K.A., Visser, P.S., Zagatsky, M., Ricket, E.M., </w:t>
      </w:r>
      <w:r>
        <w:rPr>
          <w:rFonts w:ascii="Gill Sans MT" w:hAnsi="Gill Sans MT"/>
        </w:rPr>
        <w:t xml:space="preserve">2004, </w:t>
      </w:r>
      <w:r w:rsidRPr="00133CC2">
        <w:rPr>
          <w:rFonts w:ascii="Gill Sans MT" w:hAnsi="Gill Sans MT"/>
        </w:rPr>
        <w:t xml:space="preserve">Using implicit goal priming to improve quality of self-report data, </w:t>
      </w:r>
      <w:r w:rsidRPr="00957860">
        <w:rPr>
          <w:rFonts w:ascii="Gill Sans MT" w:hAnsi="Gill Sans MT"/>
          <w:i/>
        </w:rPr>
        <w:t>Journal of Experimental Social Psychology</w:t>
      </w:r>
      <w:r w:rsidRPr="00133CC2">
        <w:rPr>
          <w:rFonts w:ascii="Gill Sans MT" w:hAnsi="Gill Sans MT"/>
        </w:rPr>
        <w:t>, 41(3), 321-327.</w:t>
      </w:r>
    </w:p>
    <w:p w14:paraId="6CB645A3" w14:textId="77777777" w:rsidR="008816CD" w:rsidRPr="00133CC2" w:rsidRDefault="008816CD" w:rsidP="008816CD">
      <w:pPr>
        <w:spacing w:after="0"/>
        <w:rPr>
          <w:rFonts w:ascii="Gill Sans MT" w:hAnsi="Gill Sans MT"/>
        </w:rPr>
      </w:pPr>
      <w:r w:rsidRPr="00133CC2">
        <w:rPr>
          <w:rFonts w:ascii="Gill Sans MT" w:hAnsi="Gill Sans MT"/>
        </w:rPr>
        <w:t xml:space="preserve">Rattray J., Jones, M.C., 2007, Essential elements of questionnaire design and development, </w:t>
      </w:r>
      <w:r w:rsidRPr="00957860">
        <w:rPr>
          <w:rFonts w:ascii="Gill Sans MT" w:hAnsi="Gill Sans MT"/>
          <w:i/>
        </w:rPr>
        <w:t>Journal of Clinical Nursing,</w:t>
      </w:r>
      <w:r w:rsidRPr="00133CC2">
        <w:rPr>
          <w:rFonts w:ascii="Gill Sans MT" w:hAnsi="Gill Sans MT"/>
        </w:rPr>
        <w:t xml:space="preserve"> 16(2), 234-243.</w:t>
      </w:r>
    </w:p>
    <w:p w14:paraId="279A65EB" w14:textId="77777777" w:rsidR="008816CD" w:rsidRPr="00133CC2" w:rsidRDefault="008816CD" w:rsidP="008816CD">
      <w:pPr>
        <w:spacing w:after="0"/>
        <w:rPr>
          <w:rFonts w:ascii="Gill Sans MT" w:hAnsi="Gill Sans MT"/>
        </w:rPr>
      </w:pPr>
      <w:r w:rsidRPr="00133CC2">
        <w:rPr>
          <w:rFonts w:ascii="Gill Sans MT" w:hAnsi="Gill Sans MT"/>
        </w:rPr>
        <w:t>Reay, D., Crozier, G., Clayton, J., 2010, 'Fitting in' or 'standing out': Working-class students in UK higher education, British Educational Research Journal, 36(1), 107-124.</w:t>
      </w:r>
    </w:p>
    <w:p w14:paraId="6944AAD5" w14:textId="0AE6E397" w:rsidR="008816CD" w:rsidRDefault="008816CD" w:rsidP="008816CD">
      <w:pPr>
        <w:spacing w:after="0"/>
        <w:rPr>
          <w:rFonts w:ascii="Gill Sans MT" w:hAnsi="Gill Sans MT"/>
        </w:rPr>
      </w:pPr>
      <w:r w:rsidRPr="00133CC2">
        <w:rPr>
          <w:rFonts w:ascii="Gill Sans MT" w:hAnsi="Gill Sans MT"/>
        </w:rPr>
        <w:lastRenderedPageBreak/>
        <w:t xml:space="preserve">Redfield, R.J., 2012, "Why do we have to learn this stuff?" - a new genetics for 21st century students, </w:t>
      </w:r>
      <w:r w:rsidRPr="00957860">
        <w:rPr>
          <w:rFonts w:ascii="Gill Sans MT" w:hAnsi="Gill Sans MT"/>
          <w:i/>
        </w:rPr>
        <w:t>PLOS-Biology</w:t>
      </w:r>
      <w:r>
        <w:rPr>
          <w:rFonts w:ascii="Gill Sans MT" w:hAnsi="Gill Sans MT"/>
        </w:rPr>
        <w:t>, 10(7), e100136.</w:t>
      </w:r>
    </w:p>
    <w:p w14:paraId="56B5BF44" w14:textId="29B11E0F" w:rsidR="000C0B22" w:rsidRPr="00060593" w:rsidRDefault="000C0B22" w:rsidP="00060593">
      <w:pPr>
        <w:spacing w:after="0"/>
        <w:rPr>
          <w:rFonts w:eastAsia="Times New Roman"/>
          <w:lang w:eastAsia="en-GB"/>
        </w:rPr>
      </w:pPr>
      <w:r w:rsidRPr="00060593">
        <w:rPr>
          <w:rFonts w:ascii="Gill Sans MT" w:eastAsia="Times New Roman" w:hAnsi="Gill Sans MT"/>
          <w:lang w:eastAsia="en-GB"/>
        </w:rPr>
        <w:t>Reid, G., 2016, Dyslexia and inclusion: Five signposts for inclusion, Education Consultants, Available at: http://www.drgavinreid.com/free-resources/dyslexia-and-inclusion/, accessed on 19 April 2019.</w:t>
      </w:r>
    </w:p>
    <w:p w14:paraId="0A5A8BA4" w14:textId="77777777" w:rsidR="008816CD" w:rsidRPr="00133CC2" w:rsidRDefault="008816CD" w:rsidP="008816CD">
      <w:pPr>
        <w:spacing w:after="0"/>
        <w:rPr>
          <w:rFonts w:ascii="Gill Sans MT" w:hAnsi="Gill Sans MT"/>
        </w:rPr>
      </w:pPr>
      <w:r w:rsidRPr="00133CC2">
        <w:rPr>
          <w:rFonts w:ascii="Gill Sans MT" w:hAnsi="Gill Sans MT"/>
        </w:rPr>
        <w:t xml:space="preserve">Reid, J.M., 1987, The learning style preferences of ESL students, </w:t>
      </w:r>
      <w:r w:rsidRPr="00957860">
        <w:rPr>
          <w:rFonts w:ascii="Gill Sans MT" w:hAnsi="Gill Sans MT"/>
          <w:i/>
        </w:rPr>
        <w:t>TESOL Quarterly</w:t>
      </w:r>
      <w:r w:rsidRPr="00133CC2">
        <w:rPr>
          <w:rFonts w:ascii="Gill Sans MT" w:hAnsi="Gill Sans MT"/>
        </w:rPr>
        <w:t>, 21(1), 87-111.</w:t>
      </w:r>
    </w:p>
    <w:p w14:paraId="4EABD963" w14:textId="77777777" w:rsidR="008816CD" w:rsidRPr="0071229F" w:rsidRDefault="008816CD" w:rsidP="008816CD">
      <w:pPr>
        <w:spacing w:after="0"/>
        <w:rPr>
          <w:rFonts w:ascii="Gill Sans MT" w:hAnsi="Gill Sans MT"/>
        </w:rPr>
      </w:pPr>
      <w:r>
        <w:rPr>
          <w:rFonts w:ascii="Gill Sans MT" w:hAnsi="Gill Sans MT"/>
        </w:rPr>
        <w:t xml:space="preserve">Reid, K., Flowers, P., Larkin, M., 2005, Exploring lived experience: An introduction to interpretative phenomenological interpretative analysis, </w:t>
      </w:r>
      <w:r>
        <w:rPr>
          <w:rFonts w:ascii="Gill Sans MT" w:hAnsi="Gill Sans MT"/>
          <w:i/>
        </w:rPr>
        <w:t>The Psychologist</w:t>
      </w:r>
      <w:r>
        <w:rPr>
          <w:rFonts w:ascii="Gill Sans MT" w:hAnsi="Gill Sans MT"/>
        </w:rPr>
        <w:t>, 18(1), 20-23.</w:t>
      </w:r>
    </w:p>
    <w:p w14:paraId="31BF7765" w14:textId="378B0474" w:rsidR="008816CD" w:rsidRDefault="008816CD" w:rsidP="008816CD">
      <w:pPr>
        <w:spacing w:after="0"/>
        <w:rPr>
          <w:rFonts w:ascii="Gill Sans MT" w:hAnsi="Gill Sans MT"/>
        </w:rPr>
      </w:pPr>
      <w:r w:rsidRPr="00133CC2">
        <w:rPr>
          <w:rFonts w:ascii="Gill Sans MT" w:hAnsi="Gill Sans MT"/>
        </w:rPr>
        <w:t>Rello, L., Kanvinde, G., Baeza-Yates, R., 2012, Layout guidelines for web text and a web service to improve accessibility for dyslexics, Paper presented at the 2011 International Cross-Disciplinary Conference on Web Accessibility, Lyon, France.</w:t>
      </w:r>
    </w:p>
    <w:p w14:paraId="19541BA9" w14:textId="77777777" w:rsidR="008816CD" w:rsidRPr="00133CC2" w:rsidRDefault="008816CD" w:rsidP="008816CD">
      <w:pPr>
        <w:spacing w:after="0"/>
        <w:rPr>
          <w:rFonts w:ascii="Gill Sans MT" w:hAnsi="Gill Sans MT"/>
        </w:rPr>
      </w:pPr>
      <w:r w:rsidRPr="00133CC2">
        <w:rPr>
          <w:rFonts w:ascii="Gill Sans MT" w:hAnsi="Gill Sans MT"/>
        </w:rPr>
        <w:t xml:space="preserve">Rice, M., Brooks, G., 2004, </w:t>
      </w:r>
      <w:r w:rsidRPr="00957860">
        <w:rPr>
          <w:rFonts w:ascii="Gill Sans MT" w:hAnsi="Gill Sans MT"/>
          <w:i/>
        </w:rPr>
        <w:t>Developmental dyslexia in adults: a research review</w:t>
      </w:r>
      <w:r w:rsidRPr="00133CC2">
        <w:rPr>
          <w:rFonts w:ascii="Gill Sans MT" w:hAnsi="Gill Sans MT"/>
        </w:rPr>
        <w:t>, London, National Research and Development Centre for Adult Literacy and Numeracy.</w:t>
      </w:r>
    </w:p>
    <w:p w14:paraId="4AB5DE30" w14:textId="77777777" w:rsidR="008816CD" w:rsidRDefault="008816CD" w:rsidP="008816CD">
      <w:pPr>
        <w:spacing w:after="0"/>
        <w:rPr>
          <w:rFonts w:ascii="Gill Sans MT" w:hAnsi="Gill Sans MT"/>
        </w:rPr>
      </w:pPr>
      <w:r w:rsidRPr="00133CC2">
        <w:rPr>
          <w:rFonts w:ascii="Gill Sans MT" w:hAnsi="Gill Sans MT"/>
        </w:rPr>
        <w:t xml:space="preserve">Richardson, J.T.E., 2009, The academic attainment of students with disabilities in UK Higher Education, </w:t>
      </w:r>
      <w:r w:rsidRPr="00957860">
        <w:rPr>
          <w:rFonts w:ascii="Gill Sans MT" w:hAnsi="Gill Sans MT"/>
          <w:i/>
        </w:rPr>
        <w:t>Studies in Higher Education</w:t>
      </w:r>
      <w:r w:rsidRPr="00133CC2">
        <w:rPr>
          <w:rFonts w:ascii="Gill Sans MT" w:hAnsi="Gill Sans MT"/>
        </w:rPr>
        <w:t>, 34(2), 123-137.</w:t>
      </w:r>
    </w:p>
    <w:p w14:paraId="3E19AF54" w14:textId="77777777" w:rsidR="008816CD" w:rsidRPr="00DB17D3" w:rsidRDefault="008816CD" w:rsidP="008816CD">
      <w:pPr>
        <w:spacing w:after="0"/>
        <w:rPr>
          <w:rFonts w:ascii="Gill Sans MT" w:hAnsi="Gill Sans MT"/>
        </w:rPr>
      </w:pPr>
      <w:r>
        <w:rPr>
          <w:rFonts w:ascii="Gill Sans MT" w:hAnsi="Gill Sans MT"/>
        </w:rPr>
        <w:t xml:space="preserve">Richardson, J.T., Wydell, T.N., 2003, The representation and attainment of students with dyslexia in UK higher education, </w:t>
      </w:r>
      <w:r>
        <w:rPr>
          <w:rFonts w:ascii="Gill Sans MT" w:hAnsi="Gill Sans MT"/>
          <w:i/>
        </w:rPr>
        <w:t>Reading and Writing</w:t>
      </w:r>
      <w:r>
        <w:rPr>
          <w:rFonts w:ascii="Gill Sans MT" w:hAnsi="Gill Sans MT"/>
        </w:rPr>
        <w:t>, 16(5), 475-503.</w:t>
      </w:r>
    </w:p>
    <w:p w14:paraId="7A6805D3" w14:textId="77777777" w:rsidR="008816CD" w:rsidRPr="00133CC2" w:rsidRDefault="008816CD" w:rsidP="008816CD">
      <w:pPr>
        <w:spacing w:after="0"/>
        <w:rPr>
          <w:rFonts w:ascii="Gill Sans MT" w:hAnsi="Gill Sans MT"/>
        </w:rPr>
      </w:pPr>
      <w:r w:rsidRPr="00357DDC">
        <w:rPr>
          <w:rFonts w:ascii="Gill Sans MT" w:hAnsi="Gill Sans MT"/>
        </w:rPr>
        <w:t>Riddell, S., Weedon, E., 2006, What counts as a reasonable adjustment? Dyslexic students and the concept of fair assessment,</w:t>
      </w:r>
      <w:r>
        <w:rPr>
          <w:rFonts w:ascii="Gill Sans MT" w:hAnsi="Gill Sans MT"/>
        </w:rPr>
        <w:t xml:space="preserve"> </w:t>
      </w:r>
      <w:r w:rsidRPr="00357DDC">
        <w:rPr>
          <w:rFonts w:ascii="Gill Sans MT" w:hAnsi="Gill Sans MT"/>
          <w:i/>
        </w:rPr>
        <w:t>International Studies in Sociology of Education</w:t>
      </w:r>
      <w:r w:rsidRPr="00357DDC">
        <w:rPr>
          <w:rFonts w:ascii="Gill Sans MT" w:hAnsi="Gill Sans MT"/>
        </w:rPr>
        <w:t>, 16(1), 57-73.</w:t>
      </w:r>
    </w:p>
    <w:p w14:paraId="03B46777" w14:textId="77777777" w:rsidR="008816CD" w:rsidRPr="00133CC2" w:rsidRDefault="008816CD" w:rsidP="008816CD">
      <w:pPr>
        <w:spacing w:after="0"/>
        <w:rPr>
          <w:rFonts w:ascii="Gill Sans MT" w:hAnsi="Gill Sans MT"/>
        </w:rPr>
      </w:pPr>
      <w:r w:rsidRPr="00133CC2">
        <w:rPr>
          <w:rFonts w:ascii="Gill Sans MT" w:hAnsi="Gill Sans MT"/>
        </w:rPr>
        <w:t xml:space="preserve">Riddick, B., 2000, An examination of the relationship between labelling and stigmatization with special reference to dyslexia, </w:t>
      </w:r>
      <w:r w:rsidRPr="00957860">
        <w:rPr>
          <w:rFonts w:ascii="Gill Sans MT" w:hAnsi="Gill Sans MT"/>
          <w:i/>
        </w:rPr>
        <w:t>Disability and Society</w:t>
      </w:r>
      <w:r w:rsidRPr="00133CC2">
        <w:rPr>
          <w:rFonts w:ascii="Gill Sans MT" w:hAnsi="Gill Sans MT"/>
        </w:rPr>
        <w:t>, 15(4), 653-667.</w:t>
      </w:r>
    </w:p>
    <w:p w14:paraId="3AF204CA" w14:textId="77777777" w:rsidR="008816CD" w:rsidRDefault="008816CD" w:rsidP="008816CD">
      <w:pPr>
        <w:spacing w:after="0"/>
        <w:rPr>
          <w:rFonts w:ascii="Gill Sans MT" w:hAnsi="Gill Sans MT"/>
        </w:rPr>
      </w:pPr>
      <w:r w:rsidRPr="00133CC2">
        <w:rPr>
          <w:rFonts w:ascii="Gill Sans MT" w:hAnsi="Gill Sans MT"/>
        </w:rPr>
        <w:t xml:space="preserve">Riddick, B., Sterling, C., Farmer, M., Morgan, S., 1999, Self-esteem and anxiety in the educational histories of adult dyslexic students, </w:t>
      </w:r>
      <w:r w:rsidRPr="00957860">
        <w:rPr>
          <w:rFonts w:ascii="Gill Sans MT" w:hAnsi="Gill Sans MT"/>
          <w:i/>
        </w:rPr>
        <w:t>Dyslexia</w:t>
      </w:r>
      <w:r w:rsidRPr="00133CC2">
        <w:rPr>
          <w:rFonts w:ascii="Gill Sans MT" w:hAnsi="Gill Sans MT"/>
        </w:rPr>
        <w:t>, 5(4), 227-248</w:t>
      </w:r>
      <w:r>
        <w:rPr>
          <w:rFonts w:ascii="Gill Sans MT" w:hAnsi="Gill Sans MT"/>
        </w:rPr>
        <w:t>.</w:t>
      </w:r>
    </w:p>
    <w:p w14:paraId="71AE9AF0" w14:textId="77777777" w:rsidR="008816CD" w:rsidRPr="004B5A3E" w:rsidRDefault="008816CD" w:rsidP="008816CD">
      <w:pPr>
        <w:spacing w:after="0"/>
        <w:rPr>
          <w:rFonts w:ascii="Gill Sans MT" w:hAnsi="Gill Sans MT"/>
        </w:rPr>
      </w:pPr>
      <w:r w:rsidRPr="004B5A3E">
        <w:rPr>
          <w:rFonts w:ascii="Gill Sans MT" w:hAnsi="Gill Sans MT"/>
        </w:rPr>
        <w:t xml:space="preserve">Ridley, C., 2011, The experiences of nursing students with dyslexia, </w:t>
      </w:r>
      <w:r w:rsidRPr="004B5A3E">
        <w:rPr>
          <w:rFonts w:ascii="Gill Sans MT" w:hAnsi="Gill Sans MT"/>
          <w:i/>
          <w:iCs/>
        </w:rPr>
        <w:t>Nursing Standard</w:t>
      </w:r>
      <w:r w:rsidRPr="004B5A3E">
        <w:rPr>
          <w:rFonts w:ascii="Gill Sans MT" w:hAnsi="Gill Sans MT"/>
        </w:rPr>
        <w:t>, 25(4), 35-42.</w:t>
      </w:r>
    </w:p>
    <w:p w14:paraId="527AD60F" w14:textId="77777777" w:rsidR="008816CD" w:rsidRPr="00133CC2" w:rsidRDefault="008816CD" w:rsidP="008816CD">
      <w:pPr>
        <w:spacing w:after="0"/>
        <w:rPr>
          <w:rFonts w:ascii="Gill Sans MT" w:hAnsi="Gill Sans MT"/>
        </w:rPr>
      </w:pPr>
      <w:r w:rsidRPr="00133CC2">
        <w:rPr>
          <w:rFonts w:ascii="Gill Sans MT" w:hAnsi="Gill Sans MT"/>
        </w:rPr>
        <w:t xml:space="preserve">Riggs, M.L., Warka, J., Babasa, B., Betancourt, R., Hooker, S., 1994, Development and validation of self-efficacy and outcome expectancy scales for job-related applications, </w:t>
      </w:r>
      <w:r w:rsidRPr="00957860">
        <w:rPr>
          <w:rFonts w:ascii="Gill Sans MT" w:hAnsi="Gill Sans MT"/>
          <w:i/>
        </w:rPr>
        <w:t>Educational and Psychological Measurement</w:t>
      </w:r>
      <w:r w:rsidRPr="00133CC2">
        <w:rPr>
          <w:rFonts w:ascii="Gill Sans MT" w:hAnsi="Gill Sans MT"/>
        </w:rPr>
        <w:t>, 54(3), 793-801.</w:t>
      </w:r>
    </w:p>
    <w:p w14:paraId="4D72D471" w14:textId="77777777" w:rsidR="008816CD" w:rsidRPr="00133CC2" w:rsidRDefault="008816CD" w:rsidP="008816CD">
      <w:pPr>
        <w:spacing w:after="0"/>
        <w:rPr>
          <w:rFonts w:ascii="Gill Sans MT" w:hAnsi="Gill Sans MT"/>
        </w:rPr>
      </w:pPr>
      <w:r w:rsidRPr="00133CC2">
        <w:rPr>
          <w:rFonts w:ascii="Gill Sans MT" w:hAnsi="Gill Sans MT"/>
        </w:rPr>
        <w:t xml:space="preserve">Riley-Huff, D.A., 2012, Web accessibility and universal design, </w:t>
      </w:r>
      <w:r w:rsidRPr="00957860">
        <w:rPr>
          <w:rFonts w:ascii="Gill Sans MT" w:hAnsi="Gill Sans MT"/>
          <w:i/>
        </w:rPr>
        <w:t>Library Technology Reports</w:t>
      </w:r>
      <w:r w:rsidRPr="00133CC2">
        <w:rPr>
          <w:rFonts w:ascii="Gill Sans MT" w:hAnsi="Gill Sans MT"/>
        </w:rPr>
        <w:t>, 48(7), 29-35.</w:t>
      </w:r>
    </w:p>
    <w:p w14:paraId="494CC878" w14:textId="77777777" w:rsidR="008816CD" w:rsidRPr="00133CC2" w:rsidRDefault="008816CD" w:rsidP="008816CD">
      <w:pPr>
        <w:spacing w:after="0"/>
        <w:rPr>
          <w:rFonts w:ascii="Gill Sans MT" w:hAnsi="Gill Sans MT"/>
        </w:rPr>
      </w:pPr>
      <w:r w:rsidRPr="00133CC2">
        <w:rPr>
          <w:rFonts w:ascii="Gill Sans MT" w:hAnsi="Gill Sans MT"/>
        </w:rPr>
        <w:t>Riley-Huff, D.A., 2015, Supporting web accessibility with HTML5 and accessible rich internet applications: Insights for libraries, IN: Wentz, B., Jaeger, P.T., Carlo Bertot, J., (Eds), Accessibility for Persons with Disabilities and the</w:t>
      </w:r>
      <w:r>
        <w:rPr>
          <w:rFonts w:ascii="Gill Sans MT" w:hAnsi="Gill Sans MT"/>
        </w:rPr>
        <w:t xml:space="preserve"> Inclusive Future of Libraries, </w:t>
      </w:r>
      <w:r w:rsidRPr="00957860">
        <w:rPr>
          <w:rFonts w:ascii="Gill Sans MT" w:hAnsi="Gill Sans MT"/>
          <w:i/>
        </w:rPr>
        <w:t>Advances in Librarianship</w:t>
      </w:r>
      <w:r>
        <w:rPr>
          <w:rFonts w:ascii="Gill Sans MT" w:hAnsi="Gill Sans MT"/>
        </w:rPr>
        <w:t xml:space="preserve"> 40, 143-167</w:t>
      </w:r>
      <w:r w:rsidRPr="00133CC2">
        <w:rPr>
          <w:rFonts w:ascii="Gill Sans MT" w:hAnsi="Gill Sans MT"/>
        </w:rPr>
        <w:t>.</w:t>
      </w:r>
    </w:p>
    <w:p w14:paraId="21B38022" w14:textId="77777777" w:rsidR="008816CD" w:rsidRDefault="008816CD" w:rsidP="008816CD">
      <w:pPr>
        <w:spacing w:after="0"/>
        <w:rPr>
          <w:rFonts w:ascii="Gill Sans MT" w:hAnsi="Gill Sans MT"/>
        </w:rPr>
      </w:pPr>
      <w:r w:rsidRPr="00133CC2">
        <w:rPr>
          <w:rFonts w:ascii="Gill Sans MT" w:hAnsi="Gill Sans MT"/>
        </w:rPr>
        <w:t xml:space="preserve">Risdale, J., 2005, Dyslexia and self-esteem, IN: Turner, M., Rack, J., (Eds), </w:t>
      </w:r>
      <w:r w:rsidRPr="00957860">
        <w:rPr>
          <w:rFonts w:ascii="Gill Sans MT" w:hAnsi="Gill Sans MT"/>
          <w:i/>
        </w:rPr>
        <w:t>The Study of Dyslexia</w:t>
      </w:r>
      <w:r w:rsidRPr="00133CC2">
        <w:rPr>
          <w:rFonts w:ascii="Gill Sans MT" w:hAnsi="Gill Sans MT"/>
        </w:rPr>
        <w:t>, New York, Kluwer Academic Publishers.</w:t>
      </w:r>
    </w:p>
    <w:p w14:paraId="7E475856" w14:textId="77777777" w:rsidR="008816CD" w:rsidRPr="00133CC2" w:rsidRDefault="008816CD" w:rsidP="008816CD">
      <w:pPr>
        <w:spacing w:after="0"/>
        <w:rPr>
          <w:rFonts w:ascii="Gill Sans MT" w:hAnsi="Gill Sans MT"/>
        </w:rPr>
      </w:pPr>
      <w:r w:rsidRPr="00C31DB7">
        <w:rPr>
          <w:rFonts w:ascii="Gill Sans MT" w:hAnsi="Gill Sans MT"/>
        </w:rPr>
        <w:t xml:space="preserve">Ritchie, S.J., Della Sala, S., McIntosh, R.D., 2011, Irlen colored overlays do not alleviate reading difficulties, </w:t>
      </w:r>
      <w:r w:rsidRPr="00C31DB7">
        <w:rPr>
          <w:rFonts w:ascii="Gill Sans MT" w:hAnsi="Gill Sans MT"/>
          <w:i/>
        </w:rPr>
        <w:t>Pediatrics</w:t>
      </w:r>
      <w:r w:rsidRPr="00C31DB7">
        <w:rPr>
          <w:rFonts w:ascii="Gill Sans MT" w:hAnsi="Gill Sans MT"/>
        </w:rPr>
        <w:t>, 128(4), e932-e938.</w:t>
      </w:r>
    </w:p>
    <w:p w14:paraId="1214E018" w14:textId="77777777" w:rsidR="008816CD" w:rsidRPr="00133CC2" w:rsidRDefault="008816CD" w:rsidP="008816CD">
      <w:pPr>
        <w:spacing w:after="0"/>
        <w:rPr>
          <w:rFonts w:ascii="Gill Sans MT" w:hAnsi="Gill Sans MT"/>
        </w:rPr>
      </w:pPr>
      <w:r w:rsidRPr="00133CC2">
        <w:rPr>
          <w:rFonts w:ascii="Gill Sans MT" w:hAnsi="Gill Sans MT"/>
        </w:rPr>
        <w:t xml:space="preserve">Ritter, L.A., Sue, V.M., 2007, Introduction to using online surveys, </w:t>
      </w:r>
      <w:r w:rsidRPr="00957860">
        <w:rPr>
          <w:rFonts w:ascii="Gill Sans MT" w:hAnsi="Gill Sans MT"/>
          <w:i/>
        </w:rPr>
        <w:t>New Directions for Evaluation</w:t>
      </w:r>
      <w:r w:rsidRPr="00133CC2">
        <w:rPr>
          <w:rFonts w:ascii="Gill Sans MT" w:hAnsi="Gill Sans MT"/>
        </w:rPr>
        <w:t>, 2007(115), 5-14.</w:t>
      </w:r>
    </w:p>
    <w:p w14:paraId="45E5AE25" w14:textId="77777777" w:rsidR="008816CD" w:rsidRPr="00133CC2" w:rsidRDefault="008816CD" w:rsidP="008816CD">
      <w:pPr>
        <w:spacing w:after="0"/>
        <w:rPr>
          <w:rFonts w:ascii="Gill Sans MT" w:hAnsi="Gill Sans MT"/>
        </w:rPr>
      </w:pPr>
      <w:r w:rsidRPr="00133CC2">
        <w:rPr>
          <w:rFonts w:ascii="Gill Sans MT" w:hAnsi="Gill Sans MT"/>
        </w:rPr>
        <w:t xml:space="preserve">Robson, C., 2000, </w:t>
      </w:r>
      <w:r w:rsidRPr="00957860">
        <w:rPr>
          <w:rFonts w:ascii="Gill Sans MT" w:hAnsi="Gill Sans MT"/>
          <w:i/>
        </w:rPr>
        <w:t>Real World Research: A Resource for Social Scientists and Practitioner-Researchers</w:t>
      </w:r>
      <w:r w:rsidRPr="00133CC2">
        <w:rPr>
          <w:rFonts w:ascii="Gill Sans MT" w:hAnsi="Gill Sans MT"/>
        </w:rPr>
        <w:t xml:space="preserve">, Oxford, Blackwell. </w:t>
      </w:r>
    </w:p>
    <w:p w14:paraId="1756887A" w14:textId="77777777" w:rsidR="008816CD" w:rsidRPr="00133CC2" w:rsidRDefault="008816CD" w:rsidP="008816CD">
      <w:pPr>
        <w:spacing w:after="0"/>
        <w:rPr>
          <w:rFonts w:ascii="Gill Sans MT" w:hAnsi="Gill Sans MT"/>
        </w:rPr>
      </w:pPr>
      <w:r w:rsidRPr="00133CC2">
        <w:rPr>
          <w:rFonts w:ascii="Gill Sans MT" w:hAnsi="Gill Sans MT"/>
        </w:rPr>
        <w:lastRenderedPageBreak/>
        <w:t xml:space="preserve">Rogers, C., 1959, A theory of therapy, personality and interpersonal relationships as developed in the client-centered framework, IN: Kock, S., (Ed), </w:t>
      </w:r>
      <w:r w:rsidRPr="00957860">
        <w:rPr>
          <w:rFonts w:ascii="Gill Sans MT" w:hAnsi="Gill Sans MT"/>
          <w:i/>
        </w:rPr>
        <w:t>Psychology: A study of science, volume 3: formulations of the person and the social context</w:t>
      </w:r>
      <w:r w:rsidRPr="00133CC2">
        <w:rPr>
          <w:rFonts w:ascii="Gill Sans MT" w:hAnsi="Gill Sans MT"/>
        </w:rPr>
        <w:t>, New York, McGraw-Hill.</w:t>
      </w:r>
    </w:p>
    <w:p w14:paraId="6DBE6B49" w14:textId="77777777" w:rsidR="008816CD" w:rsidRDefault="008816CD" w:rsidP="008816CD">
      <w:pPr>
        <w:spacing w:after="0"/>
        <w:rPr>
          <w:rFonts w:ascii="Gill Sans MT" w:hAnsi="Gill Sans MT"/>
        </w:rPr>
      </w:pPr>
      <w:r w:rsidRPr="00133CC2">
        <w:rPr>
          <w:rFonts w:ascii="Gill Sans MT" w:hAnsi="Gill Sans MT"/>
        </w:rPr>
        <w:t xml:space="preserve">Rogers, H., Saflofske, D.H., 1985, Self-concepts, locus of control and performance expectations of learning disabled children, </w:t>
      </w:r>
      <w:r w:rsidRPr="00957860">
        <w:rPr>
          <w:rFonts w:ascii="Gill Sans MT" w:hAnsi="Gill Sans MT"/>
          <w:i/>
        </w:rPr>
        <w:t>Journal of Learning Disabilities</w:t>
      </w:r>
      <w:r w:rsidRPr="00133CC2">
        <w:rPr>
          <w:rFonts w:ascii="Gill Sans MT" w:hAnsi="Gill Sans MT"/>
        </w:rPr>
        <w:t>, 18(5), 273-278.</w:t>
      </w:r>
    </w:p>
    <w:p w14:paraId="3D26CDD9" w14:textId="77777777" w:rsidR="008816CD" w:rsidRPr="00133CC2" w:rsidRDefault="008816CD" w:rsidP="008816CD">
      <w:pPr>
        <w:spacing w:after="0"/>
        <w:rPr>
          <w:rFonts w:ascii="Gill Sans MT" w:hAnsi="Gill Sans MT"/>
        </w:rPr>
      </w:pPr>
      <w:r>
        <w:rPr>
          <w:rFonts w:ascii="Gill Sans MT" w:hAnsi="Gill Sans MT"/>
        </w:rPr>
        <w:t xml:space="preserve">Rollins, A., Oslund, E.L., Wallace, K., Li, D., 2019, Statistical methods and reporting practices in the study of dyslexia, </w:t>
      </w:r>
      <w:r>
        <w:rPr>
          <w:rFonts w:ascii="Gill Sans MT" w:hAnsi="Gill Sans MT"/>
          <w:i/>
        </w:rPr>
        <w:t>Dyslexia</w:t>
      </w:r>
      <w:r>
        <w:rPr>
          <w:rFonts w:ascii="Gill Sans MT" w:hAnsi="Gill Sans MT"/>
        </w:rPr>
        <w:t>, 25(1), 103-112.</w:t>
      </w:r>
      <w:r w:rsidRPr="00133CC2">
        <w:rPr>
          <w:rFonts w:ascii="Gill Sans MT" w:hAnsi="Gill Sans MT"/>
        </w:rPr>
        <w:t xml:space="preserve"> </w:t>
      </w:r>
    </w:p>
    <w:p w14:paraId="14B3E144" w14:textId="77777777" w:rsidR="008816CD" w:rsidRPr="00133CC2" w:rsidRDefault="008816CD" w:rsidP="008816CD">
      <w:pPr>
        <w:spacing w:after="0"/>
        <w:rPr>
          <w:rFonts w:ascii="Gill Sans MT" w:hAnsi="Gill Sans MT"/>
        </w:rPr>
      </w:pPr>
      <w:r w:rsidRPr="00133CC2">
        <w:rPr>
          <w:rFonts w:ascii="Gill Sans MT" w:hAnsi="Gill Sans MT"/>
        </w:rPr>
        <w:t xml:space="preserve">Rooney, R.A., Osipow, S.H., 1992, Task-specific occupational self-efficacy scale: the development and validation of a prototype, </w:t>
      </w:r>
      <w:r w:rsidRPr="00957860">
        <w:rPr>
          <w:rFonts w:ascii="Gill Sans MT" w:hAnsi="Gill Sans MT"/>
          <w:i/>
        </w:rPr>
        <w:t>Journal of Vocational Behavio</w:t>
      </w:r>
      <w:r>
        <w:rPr>
          <w:rFonts w:ascii="Gill Sans MT" w:hAnsi="Gill Sans MT"/>
          <w:i/>
        </w:rPr>
        <w:t>u</w:t>
      </w:r>
      <w:r w:rsidRPr="00957860">
        <w:rPr>
          <w:rFonts w:ascii="Gill Sans MT" w:hAnsi="Gill Sans MT"/>
          <w:i/>
        </w:rPr>
        <w:t>r</w:t>
      </w:r>
      <w:r w:rsidRPr="00133CC2">
        <w:rPr>
          <w:rFonts w:ascii="Gill Sans MT" w:hAnsi="Gill Sans MT"/>
        </w:rPr>
        <w:t>, 40(1), 14-32.</w:t>
      </w:r>
    </w:p>
    <w:p w14:paraId="53D5A29A" w14:textId="77777777" w:rsidR="008816CD" w:rsidRPr="00133CC2" w:rsidRDefault="008816CD" w:rsidP="008816CD">
      <w:pPr>
        <w:spacing w:after="0"/>
        <w:rPr>
          <w:rFonts w:ascii="Gill Sans MT" w:hAnsi="Gill Sans MT"/>
        </w:rPr>
      </w:pPr>
      <w:r w:rsidRPr="00133CC2">
        <w:rPr>
          <w:rFonts w:ascii="Gill Sans MT" w:hAnsi="Gill Sans MT"/>
        </w:rPr>
        <w:t xml:space="preserve">Rose, D., Meyer, A., 1999, Universal design for learning, </w:t>
      </w:r>
      <w:r w:rsidRPr="00957860">
        <w:rPr>
          <w:rFonts w:ascii="Gill Sans MT" w:hAnsi="Gill Sans MT"/>
          <w:i/>
        </w:rPr>
        <w:t>Journal of Special Education Technology</w:t>
      </w:r>
      <w:r w:rsidRPr="00133CC2">
        <w:rPr>
          <w:rFonts w:ascii="Gill Sans MT" w:hAnsi="Gill Sans MT"/>
        </w:rPr>
        <w:t>, 15(1), 67-70.</w:t>
      </w:r>
    </w:p>
    <w:p w14:paraId="45CBD0ED" w14:textId="77777777" w:rsidR="008816CD" w:rsidRDefault="008816CD" w:rsidP="008816CD">
      <w:pPr>
        <w:spacing w:after="0"/>
        <w:rPr>
          <w:rFonts w:ascii="Gill Sans MT" w:hAnsi="Gill Sans MT"/>
        </w:rPr>
      </w:pPr>
      <w:r w:rsidRPr="00133CC2">
        <w:rPr>
          <w:rFonts w:ascii="Gill Sans MT" w:hAnsi="Gill Sans MT"/>
        </w:rPr>
        <w:t xml:space="preserve">Rose, D., Meyer, A., Strangman, N., Rappolt, G, 2002, </w:t>
      </w:r>
      <w:r w:rsidRPr="00957860">
        <w:rPr>
          <w:rFonts w:ascii="Gill Sans MT" w:hAnsi="Gill Sans MT"/>
          <w:i/>
        </w:rPr>
        <w:t>Teaching every student in the digital age: Universal Design for Learning</w:t>
      </w:r>
      <w:r w:rsidRPr="00133CC2">
        <w:rPr>
          <w:rFonts w:ascii="Gill Sans MT" w:hAnsi="Gill Sans MT"/>
        </w:rPr>
        <w:t>, Available at: https://www.bcpss.org/bbcswebdav/institution/Resources/Summer%20TIMS/Section%205/A%20Teaching%20Every%20Student%20in%20the%20Digital%20Age.pdf, Accessed on: 20th February 2017.</w:t>
      </w:r>
    </w:p>
    <w:p w14:paraId="371AEBEA" w14:textId="77777777" w:rsidR="008816CD" w:rsidRPr="00133CC2" w:rsidRDefault="008816CD" w:rsidP="008816CD">
      <w:pPr>
        <w:spacing w:after="0"/>
        <w:rPr>
          <w:rFonts w:ascii="Gill Sans MT" w:hAnsi="Gill Sans MT"/>
        </w:rPr>
      </w:pPr>
      <w:r w:rsidRPr="00133CC2">
        <w:rPr>
          <w:rFonts w:ascii="Gill Sans MT" w:hAnsi="Gill Sans MT"/>
        </w:rPr>
        <w:t>Rose, J., 2009</w:t>
      </w:r>
      <w:r w:rsidRPr="00957860">
        <w:rPr>
          <w:rFonts w:ascii="Gill Sans MT" w:hAnsi="Gill Sans MT"/>
          <w:i/>
        </w:rPr>
        <w:t>, Identifying and teaching children and young people with dyslexia and literacy difficulties: An independent report</w:t>
      </w:r>
      <w:r w:rsidRPr="00133CC2">
        <w:rPr>
          <w:rFonts w:ascii="Gill Sans MT" w:hAnsi="Gill Sans MT"/>
        </w:rPr>
        <w:t>, Nottingham, DCSF Publications.</w:t>
      </w:r>
    </w:p>
    <w:p w14:paraId="1ED9455A" w14:textId="77777777" w:rsidR="008816CD" w:rsidRPr="00DF275A" w:rsidRDefault="008816CD" w:rsidP="008816CD">
      <w:pPr>
        <w:spacing w:after="0"/>
        <w:rPr>
          <w:rFonts w:ascii="Gill Sans MT" w:hAnsi="Gill Sans MT"/>
        </w:rPr>
      </w:pPr>
      <w:r>
        <w:rPr>
          <w:rFonts w:ascii="Gill Sans MT" w:hAnsi="Gill Sans MT"/>
        </w:rPr>
        <w:t xml:space="preserve">Rosenberg, M., 1979, </w:t>
      </w:r>
      <w:r>
        <w:rPr>
          <w:rFonts w:ascii="Gill Sans MT" w:hAnsi="Gill Sans MT"/>
          <w:i/>
        </w:rPr>
        <w:t>Conceiving the self</w:t>
      </w:r>
      <w:r>
        <w:rPr>
          <w:rFonts w:ascii="Gill Sans MT" w:hAnsi="Gill Sans MT"/>
        </w:rPr>
        <w:t>, New York, Basic Books.</w:t>
      </w:r>
    </w:p>
    <w:p w14:paraId="10466344" w14:textId="77777777" w:rsidR="008816CD" w:rsidRPr="00133CC2" w:rsidRDefault="008816CD" w:rsidP="008816CD">
      <w:pPr>
        <w:spacing w:after="0"/>
        <w:rPr>
          <w:rFonts w:ascii="Gill Sans MT" w:hAnsi="Gill Sans MT"/>
        </w:rPr>
      </w:pPr>
      <w:r w:rsidRPr="00133CC2">
        <w:rPr>
          <w:rFonts w:ascii="Gill Sans MT" w:hAnsi="Gill Sans MT"/>
        </w:rPr>
        <w:t xml:space="preserve">Roster, C.A., Lucianetti, L., Albaum, G., 2015, Exploring slider vs categorical response formats in web-based surveys, </w:t>
      </w:r>
      <w:r w:rsidRPr="00957860">
        <w:rPr>
          <w:rFonts w:ascii="Gill Sans MT" w:hAnsi="Gill Sans MT"/>
          <w:i/>
        </w:rPr>
        <w:t>Journal of Research Practice</w:t>
      </w:r>
      <w:r w:rsidRPr="00133CC2">
        <w:rPr>
          <w:rFonts w:ascii="Gill Sans MT" w:hAnsi="Gill Sans MT"/>
        </w:rPr>
        <w:t>, 11(1), 1-19.</w:t>
      </w:r>
    </w:p>
    <w:p w14:paraId="775AEBCF" w14:textId="77777777" w:rsidR="008816CD" w:rsidRPr="00133CC2" w:rsidRDefault="008816CD" w:rsidP="008816CD">
      <w:pPr>
        <w:spacing w:after="0"/>
        <w:rPr>
          <w:rFonts w:ascii="Gill Sans MT" w:hAnsi="Gill Sans MT"/>
        </w:rPr>
      </w:pPr>
      <w:r w:rsidRPr="00133CC2">
        <w:rPr>
          <w:rFonts w:ascii="Gill Sans MT" w:hAnsi="Gill Sans MT"/>
        </w:rPr>
        <w:t xml:space="preserve">Roth, A.V., Marucheck, A.S., Kemp, A., Trimble, D., 1994, The knowledge factory for accelerated learning practices, </w:t>
      </w:r>
      <w:r w:rsidRPr="00957860">
        <w:rPr>
          <w:rFonts w:ascii="Gill Sans MT" w:hAnsi="Gill Sans MT"/>
          <w:i/>
        </w:rPr>
        <w:t>Planning Review</w:t>
      </w:r>
      <w:r w:rsidRPr="00133CC2">
        <w:rPr>
          <w:rFonts w:ascii="Gill Sans MT" w:hAnsi="Gill Sans MT"/>
        </w:rPr>
        <w:t>, 22(3), 26-46.</w:t>
      </w:r>
    </w:p>
    <w:p w14:paraId="761568AB" w14:textId="77777777" w:rsidR="008816CD" w:rsidRPr="00133CC2" w:rsidRDefault="008816CD" w:rsidP="008816CD">
      <w:pPr>
        <w:spacing w:after="0"/>
        <w:rPr>
          <w:rFonts w:ascii="Gill Sans MT" w:hAnsi="Gill Sans MT"/>
        </w:rPr>
      </w:pPr>
      <w:r w:rsidRPr="00133CC2">
        <w:rPr>
          <w:rFonts w:ascii="Gill Sans MT" w:hAnsi="Gill Sans MT"/>
        </w:rPr>
        <w:t>Rotter, J., 1966, Generalized expectancies for internal versus external control of reinfor</w:t>
      </w:r>
      <w:r>
        <w:rPr>
          <w:rFonts w:ascii="Gill Sans MT" w:hAnsi="Gill Sans MT"/>
        </w:rPr>
        <w:t>c</w:t>
      </w:r>
      <w:r w:rsidRPr="00133CC2">
        <w:rPr>
          <w:rFonts w:ascii="Gill Sans MT" w:hAnsi="Gill Sans MT"/>
        </w:rPr>
        <w:t xml:space="preserve">ements, </w:t>
      </w:r>
      <w:r w:rsidRPr="00957860">
        <w:rPr>
          <w:rFonts w:ascii="Gill Sans MT" w:hAnsi="Gill Sans MT"/>
          <w:i/>
        </w:rPr>
        <w:t>Psychological Monographs</w:t>
      </w:r>
      <w:r w:rsidRPr="00133CC2">
        <w:rPr>
          <w:rFonts w:ascii="Gill Sans MT" w:hAnsi="Gill Sans MT"/>
        </w:rPr>
        <w:t>, 80 (Whole No. 609).</w:t>
      </w:r>
    </w:p>
    <w:p w14:paraId="2E5D6DB8" w14:textId="77777777" w:rsidR="008816CD" w:rsidRPr="00133CC2" w:rsidRDefault="008816CD" w:rsidP="008816CD">
      <w:pPr>
        <w:spacing w:after="0"/>
        <w:rPr>
          <w:rFonts w:ascii="Gill Sans MT" w:hAnsi="Gill Sans MT"/>
        </w:rPr>
      </w:pPr>
      <w:r w:rsidRPr="00133CC2">
        <w:rPr>
          <w:rFonts w:ascii="Gill Sans MT" w:hAnsi="Gill Sans MT"/>
        </w:rPr>
        <w:t>Rotter, J., 1990, Internal versus external control reinfor</w:t>
      </w:r>
      <w:r>
        <w:rPr>
          <w:rFonts w:ascii="Gill Sans MT" w:hAnsi="Gill Sans MT"/>
        </w:rPr>
        <w:t>c</w:t>
      </w:r>
      <w:r w:rsidRPr="00133CC2">
        <w:rPr>
          <w:rFonts w:ascii="Gill Sans MT" w:hAnsi="Gill Sans MT"/>
        </w:rPr>
        <w:t xml:space="preserve">ements: A case history of a variable, </w:t>
      </w:r>
      <w:r w:rsidRPr="00957860">
        <w:rPr>
          <w:rFonts w:ascii="Gill Sans MT" w:hAnsi="Gill Sans MT"/>
          <w:i/>
        </w:rPr>
        <w:t>American Psychologist</w:t>
      </w:r>
      <w:r w:rsidRPr="00133CC2">
        <w:rPr>
          <w:rFonts w:ascii="Gill Sans MT" w:hAnsi="Gill Sans MT"/>
        </w:rPr>
        <w:t xml:space="preserve">, 45(4), 489-493. </w:t>
      </w:r>
    </w:p>
    <w:p w14:paraId="51470096" w14:textId="77777777" w:rsidR="008816CD" w:rsidRPr="00133CC2" w:rsidRDefault="008816CD" w:rsidP="008816CD">
      <w:pPr>
        <w:spacing w:after="0"/>
        <w:rPr>
          <w:rFonts w:ascii="Gill Sans MT" w:hAnsi="Gill Sans MT"/>
        </w:rPr>
      </w:pPr>
      <w:r w:rsidRPr="00133CC2">
        <w:rPr>
          <w:rFonts w:ascii="Gill Sans MT" w:hAnsi="Gill Sans MT"/>
        </w:rPr>
        <w:t xml:space="preserve">Rowntree, D., 1998, </w:t>
      </w:r>
      <w:r w:rsidRPr="00957860">
        <w:rPr>
          <w:rFonts w:ascii="Gill Sans MT" w:hAnsi="Gill Sans MT"/>
          <w:i/>
        </w:rPr>
        <w:t>Learn How To Study</w:t>
      </w:r>
      <w:r w:rsidRPr="00133CC2">
        <w:rPr>
          <w:rFonts w:ascii="Gill Sans MT" w:hAnsi="Gill Sans MT"/>
        </w:rPr>
        <w:t>, London, Warner.</w:t>
      </w:r>
    </w:p>
    <w:p w14:paraId="2BEE650B" w14:textId="77777777" w:rsidR="008816CD" w:rsidRPr="00133CC2" w:rsidRDefault="008816CD" w:rsidP="008816CD">
      <w:pPr>
        <w:spacing w:after="0"/>
        <w:rPr>
          <w:rFonts w:ascii="Gill Sans MT" w:hAnsi="Gill Sans MT"/>
        </w:rPr>
      </w:pPr>
      <w:r w:rsidRPr="00133CC2">
        <w:rPr>
          <w:rFonts w:ascii="Gill Sans MT" w:hAnsi="Gill Sans MT"/>
        </w:rPr>
        <w:t xml:space="preserve">Ryan, A.M., 2000, Peer groups as a context for the socialization of adolescents' motivation, engagement and achievement in school, </w:t>
      </w:r>
      <w:r w:rsidRPr="00957860">
        <w:rPr>
          <w:rFonts w:ascii="Gill Sans MT" w:hAnsi="Gill Sans MT"/>
          <w:i/>
        </w:rPr>
        <w:t>Educational Psychologist</w:t>
      </w:r>
      <w:r w:rsidRPr="00133CC2">
        <w:rPr>
          <w:rFonts w:ascii="Gill Sans MT" w:hAnsi="Gill Sans MT"/>
        </w:rPr>
        <w:t>, 35(2), 101-111.</w:t>
      </w:r>
    </w:p>
    <w:p w14:paraId="73A715B5" w14:textId="77777777" w:rsidR="008816CD" w:rsidRPr="00133CC2" w:rsidRDefault="008816CD" w:rsidP="008816CD">
      <w:pPr>
        <w:spacing w:after="0"/>
        <w:rPr>
          <w:rFonts w:ascii="Gill Sans MT" w:hAnsi="Gill Sans MT"/>
        </w:rPr>
      </w:pPr>
      <w:r w:rsidRPr="00133CC2">
        <w:rPr>
          <w:rFonts w:ascii="Gill Sans MT" w:hAnsi="Gill Sans MT"/>
        </w:rPr>
        <w:t>Ryan, A.M., Shim, S.S., Lampkins-u</w:t>
      </w:r>
      <w:r>
        <w:rPr>
          <w:rFonts w:ascii="Gill Sans MT" w:hAnsi="Gill Sans MT"/>
        </w:rPr>
        <w:t xml:space="preserve"> </w:t>
      </w:r>
      <w:r w:rsidRPr="00133CC2">
        <w:rPr>
          <w:rFonts w:ascii="Gill Sans MT" w:hAnsi="Gill Sans MT"/>
        </w:rPr>
        <w:t xml:space="preserve">Thando, S.A., Kiefer, S.M., Thompson, G.N., 2009, Do gender difference in help avoidance vary by ethnicity? An examination of African American and European American students during early adolescence, </w:t>
      </w:r>
      <w:r w:rsidRPr="00957860">
        <w:rPr>
          <w:rFonts w:ascii="Gill Sans MT" w:hAnsi="Gill Sans MT"/>
          <w:i/>
        </w:rPr>
        <w:t>Developmental Psychology</w:t>
      </w:r>
      <w:r w:rsidRPr="00133CC2">
        <w:rPr>
          <w:rFonts w:ascii="Gill Sans MT" w:hAnsi="Gill Sans MT"/>
        </w:rPr>
        <w:t>, 45(4), 1152-1163</w:t>
      </w:r>
    </w:p>
    <w:p w14:paraId="6BF8C23A" w14:textId="77777777" w:rsidR="008816CD" w:rsidRDefault="008816CD" w:rsidP="008816CD">
      <w:pPr>
        <w:spacing w:after="0"/>
        <w:rPr>
          <w:rFonts w:ascii="Gill Sans MT" w:hAnsi="Gill Sans MT"/>
        </w:rPr>
      </w:pPr>
      <w:r w:rsidRPr="00133CC2">
        <w:rPr>
          <w:rFonts w:ascii="Gill Sans MT" w:hAnsi="Gill Sans MT"/>
        </w:rPr>
        <w:t xml:space="preserve">Ryan, R.M., Deci, E.L., 2000, Self-determination theory and the facilitation of intrinsic motivation, social development and well-being, </w:t>
      </w:r>
      <w:r w:rsidRPr="00957860">
        <w:rPr>
          <w:rFonts w:ascii="Gill Sans MT" w:hAnsi="Gill Sans MT"/>
          <w:i/>
        </w:rPr>
        <w:t>American Psychologist</w:t>
      </w:r>
      <w:r w:rsidRPr="00133CC2">
        <w:rPr>
          <w:rFonts w:ascii="Gill Sans MT" w:hAnsi="Gill Sans MT"/>
        </w:rPr>
        <w:t>, 55, 68-78.</w:t>
      </w:r>
    </w:p>
    <w:p w14:paraId="4140267A" w14:textId="77777777" w:rsidR="008816CD" w:rsidRPr="00793414" w:rsidRDefault="008816CD" w:rsidP="008816CD">
      <w:pPr>
        <w:spacing w:after="0"/>
        <w:rPr>
          <w:rFonts w:ascii="Gill Sans MT" w:hAnsi="Gill Sans MT"/>
        </w:rPr>
      </w:pPr>
      <w:r>
        <w:rPr>
          <w:rFonts w:ascii="Gill Sans MT" w:hAnsi="Gill Sans MT"/>
        </w:rPr>
        <w:t xml:space="preserve">Ryder, D., Norwich, B., 2018, What’s in a name? Perspectives of dyslexia assessors working with students in the UK higher education sector, </w:t>
      </w:r>
      <w:r>
        <w:rPr>
          <w:rFonts w:ascii="Gill Sans MT" w:hAnsi="Gill Sans MT"/>
          <w:i/>
        </w:rPr>
        <w:t>Dyslexia</w:t>
      </w:r>
      <w:r>
        <w:rPr>
          <w:rFonts w:ascii="Gill Sans MT" w:hAnsi="Gill Sans MT"/>
        </w:rPr>
        <w:t>, 24(1), 109-124.</w:t>
      </w:r>
    </w:p>
    <w:p w14:paraId="5510F674" w14:textId="77777777" w:rsidR="008816CD" w:rsidRPr="00133CC2" w:rsidRDefault="008816CD" w:rsidP="008816CD">
      <w:pPr>
        <w:spacing w:after="0"/>
        <w:rPr>
          <w:rFonts w:ascii="Gill Sans MT" w:hAnsi="Gill Sans MT"/>
        </w:rPr>
      </w:pPr>
      <w:r w:rsidRPr="00C31DB7">
        <w:rPr>
          <w:rFonts w:ascii="Gill Sans MT" w:hAnsi="Gill Sans MT"/>
        </w:rPr>
        <w:t xml:space="preserve">Saksida, A., Iannuzzi, S., Bogliotti, C., Chaix, Y., Demonet, J-F., Bricout, L., Billard, C., Nguyen-Morel, M-A., le Heuzey, M-F., Soares-Boucard, I., George, F., Ziegler, J.C., Ramus, F., 2016, Phonolgical skills, visual attention span, and visual stress in developmental dyslexia, </w:t>
      </w:r>
      <w:r w:rsidRPr="00C31DB7">
        <w:rPr>
          <w:rFonts w:ascii="Gill Sans MT" w:hAnsi="Gill Sans MT"/>
          <w:i/>
        </w:rPr>
        <w:t>Developmental Psychology</w:t>
      </w:r>
      <w:r w:rsidRPr="00C31DB7">
        <w:rPr>
          <w:rFonts w:ascii="Gill Sans MT" w:hAnsi="Gill Sans MT"/>
        </w:rPr>
        <w:t>, 52(10), 1503-1516.</w:t>
      </w:r>
    </w:p>
    <w:p w14:paraId="06CB9BB5" w14:textId="77777777" w:rsidR="008816CD" w:rsidRDefault="008816CD" w:rsidP="008816CD">
      <w:pPr>
        <w:spacing w:after="0"/>
        <w:rPr>
          <w:rFonts w:ascii="Gill Sans MT" w:hAnsi="Gill Sans MT"/>
        </w:rPr>
      </w:pPr>
      <w:r w:rsidRPr="00133CC2">
        <w:rPr>
          <w:rFonts w:ascii="Gill Sans MT" w:hAnsi="Gill Sans MT"/>
        </w:rPr>
        <w:lastRenderedPageBreak/>
        <w:t xml:space="preserve">Samson, A., 2014, Sources of self-efficacy during Marathon training: a qualitative longitudinal investigation, </w:t>
      </w:r>
      <w:r w:rsidRPr="00957860">
        <w:rPr>
          <w:rFonts w:ascii="Gill Sans MT" w:hAnsi="Gill Sans MT"/>
          <w:i/>
        </w:rPr>
        <w:t>The Sport Psychologist</w:t>
      </w:r>
      <w:r w:rsidRPr="00133CC2">
        <w:rPr>
          <w:rFonts w:ascii="Gill Sans MT" w:hAnsi="Gill Sans MT"/>
        </w:rPr>
        <w:t>, 28(2), 164-175.</w:t>
      </w:r>
    </w:p>
    <w:p w14:paraId="4C2120E1" w14:textId="77777777" w:rsidR="008816CD" w:rsidRPr="00FC4130" w:rsidRDefault="008816CD" w:rsidP="008816CD">
      <w:pPr>
        <w:spacing w:after="0"/>
        <w:rPr>
          <w:rFonts w:ascii="Gill Sans MT" w:hAnsi="Gill Sans MT"/>
        </w:rPr>
      </w:pPr>
      <w:r>
        <w:rPr>
          <w:rFonts w:ascii="Gill Sans MT" w:hAnsi="Gill Sans MT"/>
        </w:rPr>
        <w:t xml:space="preserve">Samuels, P., 2013, Promoting learning development as an academic discipline, </w:t>
      </w:r>
      <w:r>
        <w:rPr>
          <w:rFonts w:ascii="Gill Sans MT" w:hAnsi="Gill Sans MT"/>
          <w:i/>
        </w:rPr>
        <w:t>Journal of Learning Development in Higher Education</w:t>
      </w:r>
      <w:r>
        <w:rPr>
          <w:rFonts w:ascii="Gill Sans MT" w:hAnsi="Gill Sans MT"/>
        </w:rPr>
        <w:t>, 5.</w:t>
      </w:r>
    </w:p>
    <w:p w14:paraId="2DF7456F" w14:textId="77777777" w:rsidR="008816CD" w:rsidRPr="00133CC2" w:rsidRDefault="008816CD" w:rsidP="008816CD">
      <w:pPr>
        <w:spacing w:after="0"/>
        <w:rPr>
          <w:rFonts w:ascii="Gill Sans MT" w:hAnsi="Gill Sans MT"/>
        </w:rPr>
      </w:pPr>
      <w:r w:rsidRPr="00133CC2">
        <w:rPr>
          <w:rFonts w:ascii="Gill Sans MT" w:hAnsi="Gill Sans MT"/>
        </w:rPr>
        <w:t xml:space="preserve">Sanchez-Fernandez, J., Munoz-Leiva, F., Montoro-Rios, F.I., 2012, Improving retention rate and response quality in Web-based surveys, </w:t>
      </w:r>
      <w:r w:rsidRPr="00957860">
        <w:rPr>
          <w:rFonts w:ascii="Gill Sans MT" w:hAnsi="Gill Sans MT"/>
          <w:i/>
        </w:rPr>
        <w:t>Computers in Human Behaviour</w:t>
      </w:r>
      <w:r w:rsidRPr="00133CC2">
        <w:rPr>
          <w:rFonts w:ascii="Gill Sans MT" w:hAnsi="Gill Sans MT"/>
        </w:rPr>
        <w:t xml:space="preserve">, 28(2), 507-513. </w:t>
      </w:r>
    </w:p>
    <w:p w14:paraId="022F8A2C" w14:textId="77777777" w:rsidR="008816CD" w:rsidRPr="00133CC2" w:rsidRDefault="008816CD" w:rsidP="008816CD">
      <w:pPr>
        <w:spacing w:after="0"/>
        <w:rPr>
          <w:rFonts w:ascii="Gill Sans MT" w:hAnsi="Gill Sans MT"/>
        </w:rPr>
      </w:pPr>
      <w:r w:rsidRPr="00133CC2">
        <w:rPr>
          <w:rFonts w:ascii="Gill Sans MT" w:hAnsi="Gill Sans MT"/>
        </w:rPr>
        <w:t>Sander, P., 2004, Understanding the learning for more effective u</w:t>
      </w:r>
      <w:r>
        <w:rPr>
          <w:rFonts w:ascii="Gill Sans MT" w:hAnsi="Gill Sans MT"/>
        </w:rPr>
        <w:t xml:space="preserve">niversity teaching, </w:t>
      </w:r>
      <w:r w:rsidRPr="00957860">
        <w:rPr>
          <w:rFonts w:ascii="Gill Sans MT" w:hAnsi="Gill Sans MT"/>
          <w:i/>
        </w:rPr>
        <w:t>Unpublished doctoral thesis</w:t>
      </w:r>
      <w:r w:rsidRPr="00133CC2">
        <w:rPr>
          <w:rFonts w:ascii="Gill Sans MT" w:hAnsi="Gill Sans MT"/>
        </w:rPr>
        <w:t>, Cardiff Metropolitan University.</w:t>
      </w:r>
    </w:p>
    <w:p w14:paraId="74D45B1A" w14:textId="77777777" w:rsidR="008816CD" w:rsidRPr="00133CC2" w:rsidRDefault="008816CD" w:rsidP="008816CD">
      <w:pPr>
        <w:spacing w:after="0"/>
        <w:rPr>
          <w:rFonts w:ascii="Gill Sans MT" w:hAnsi="Gill Sans MT"/>
        </w:rPr>
      </w:pPr>
      <w:r w:rsidRPr="00133CC2">
        <w:rPr>
          <w:rFonts w:ascii="Gill Sans MT" w:hAnsi="Gill Sans MT"/>
        </w:rPr>
        <w:t>Sander, P., 2005a, Increasing student numbers: diminishing tutor insight</w:t>
      </w:r>
      <w:r>
        <w:rPr>
          <w:rFonts w:ascii="Gill Sans MT" w:hAnsi="Gill Sans MT"/>
          <w:i/>
        </w:rPr>
        <w:t>?</w:t>
      </w:r>
      <w:r w:rsidRPr="00957860">
        <w:rPr>
          <w:rFonts w:ascii="Gill Sans MT" w:hAnsi="Gill Sans MT"/>
          <w:i/>
        </w:rPr>
        <w:t xml:space="preserve"> Psychology Learning and Teaching</w:t>
      </w:r>
      <w:r w:rsidRPr="00133CC2">
        <w:rPr>
          <w:rFonts w:ascii="Gill Sans MT" w:hAnsi="Gill Sans MT"/>
        </w:rPr>
        <w:t>, 4(1), 15-21.</w:t>
      </w:r>
    </w:p>
    <w:p w14:paraId="11B7D93B" w14:textId="77777777" w:rsidR="008816CD" w:rsidRPr="00133CC2" w:rsidRDefault="008816CD" w:rsidP="008816CD">
      <w:pPr>
        <w:spacing w:after="0"/>
        <w:rPr>
          <w:rFonts w:ascii="Gill Sans MT" w:hAnsi="Gill Sans MT"/>
        </w:rPr>
      </w:pPr>
      <w:r w:rsidRPr="00133CC2">
        <w:rPr>
          <w:rFonts w:ascii="Gill Sans MT" w:hAnsi="Gill Sans MT"/>
        </w:rPr>
        <w:t xml:space="preserve">Sander, P., 2005b, Researching our student for more effective university teaching, </w:t>
      </w:r>
      <w:r w:rsidRPr="00957860">
        <w:rPr>
          <w:rFonts w:ascii="Gill Sans MT" w:hAnsi="Gill Sans MT"/>
          <w:i/>
        </w:rPr>
        <w:t>Electronic Journal of Research in Educational Psychology</w:t>
      </w:r>
      <w:r w:rsidRPr="00133CC2">
        <w:rPr>
          <w:rFonts w:ascii="Gill Sans MT" w:hAnsi="Gill Sans MT"/>
        </w:rPr>
        <w:t>, 5(3), 113-130.</w:t>
      </w:r>
    </w:p>
    <w:p w14:paraId="55155C50" w14:textId="77777777" w:rsidR="008816CD" w:rsidRPr="00133CC2" w:rsidRDefault="008816CD" w:rsidP="008816CD">
      <w:pPr>
        <w:spacing w:after="0"/>
        <w:rPr>
          <w:rFonts w:ascii="Gill Sans MT" w:hAnsi="Gill Sans MT"/>
        </w:rPr>
      </w:pPr>
      <w:r w:rsidRPr="00133CC2">
        <w:rPr>
          <w:rFonts w:ascii="Gill Sans MT" w:hAnsi="Gill Sans MT"/>
        </w:rPr>
        <w:t xml:space="preserve">Sander, P., 2006, Students' presentations: does the experience change their views?, </w:t>
      </w:r>
      <w:r w:rsidRPr="00957860">
        <w:rPr>
          <w:rFonts w:ascii="Gill Sans MT" w:hAnsi="Gill Sans MT"/>
          <w:i/>
        </w:rPr>
        <w:t>Psychology Teaching Review,</w:t>
      </w:r>
      <w:r w:rsidRPr="00133CC2">
        <w:rPr>
          <w:rFonts w:ascii="Gill Sans MT" w:hAnsi="Gill Sans MT"/>
        </w:rPr>
        <w:t xml:space="preserve"> 11(1), 25-41.</w:t>
      </w:r>
    </w:p>
    <w:p w14:paraId="2F834586" w14:textId="77777777" w:rsidR="008816CD" w:rsidRPr="00133CC2" w:rsidRDefault="008816CD" w:rsidP="008816CD">
      <w:pPr>
        <w:spacing w:after="0"/>
        <w:rPr>
          <w:rFonts w:ascii="Gill Sans MT" w:hAnsi="Gill Sans MT"/>
        </w:rPr>
      </w:pPr>
      <w:r w:rsidRPr="00133CC2">
        <w:rPr>
          <w:rFonts w:ascii="Gill Sans MT" w:hAnsi="Gill Sans MT"/>
        </w:rPr>
        <w:t xml:space="preserve">Sander, P., 2009, Current developments in measuring academic behavioural confidence, </w:t>
      </w:r>
      <w:r w:rsidRPr="00957860">
        <w:rPr>
          <w:rFonts w:ascii="Gill Sans MT" w:hAnsi="Gill Sans MT"/>
          <w:i/>
        </w:rPr>
        <w:t>Psychology Teaching Review</w:t>
      </w:r>
      <w:r w:rsidRPr="00133CC2">
        <w:rPr>
          <w:rFonts w:ascii="Gill Sans MT" w:hAnsi="Gill Sans MT"/>
        </w:rPr>
        <w:t xml:space="preserve">, 15(1), 32-44. </w:t>
      </w:r>
    </w:p>
    <w:p w14:paraId="5A0F0510" w14:textId="77777777" w:rsidR="008816CD" w:rsidRPr="00133CC2" w:rsidRDefault="008816CD" w:rsidP="008816CD">
      <w:pPr>
        <w:spacing w:after="0"/>
        <w:rPr>
          <w:rFonts w:ascii="Gill Sans MT" w:hAnsi="Gill Sans MT"/>
        </w:rPr>
      </w:pPr>
      <w:r w:rsidRPr="00133CC2">
        <w:rPr>
          <w:rFonts w:ascii="Gill Sans MT" w:hAnsi="Gill Sans MT"/>
        </w:rPr>
        <w:t xml:space="preserve">Sander, P., de la Fuente Arias, J., Stevenson, K., Jones, T., 2011, A validation of the academic behavioural confidence scale with Spanish psychology students, </w:t>
      </w:r>
      <w:r w:rsidRPr="00957860">
        <w:rPr>
          <w:rFonts w:ascii="Gill Sans MT" w:hAnsi="Gill Sans MT"/>
          <w:i/>
        </w:rPr>
        <w:t>Psychology Learning &amp; Teaching</w:t>
      </w:r>
      <w:r w:rsidRPr="00133CC2">
        <w:rPr>
          <w:rFonts w:ascii="Gill Sans MT" w:hAnsi="Gill Sans MT"/>
        </w:rPr>
        <w:t>, 10(1), 11-24.</w:t>
      </w:r>
    </w:p>
    <w:p w14:paraId="0D42196C" w14:textId="77777777" w:rsidR="008816CD" w:rsidRPr="00133CC2" w:rsidRDefault="008816CD" w:rsidP="008816CD">
      <w:pPr>
        <w:spacing w:after="0"/>
        <w:rPr>
          <w:rFonts w:ascii="Gill Sans MT" w:hAnsi="Gill Sans MT"/>
        </w:rPr>
      </w:pPr>
      <w:r w:rsidRPr="00133CC2">
        <w:rPr>
          <w:rFonts w:ascii="Gill Sans MT" w:hAnsi="Gill Sans MT"/>
        </w:rPr>
        <w:t xml:space="preserve">Sander, P., Sanders, L., 2003, Measuring confidence in academic study: a summary report, Electronic </w:t>
      </w:r>
      <w:r w:rsidRPr="00957860">
        <w:rPr>
          <w:rFonts w:ascii="Gill Sans MT" w:hAnsi="Gill Sans MT"/>
          <w:i/>
        </w:rPr>
        <w:t>Journal of Research in Educational Psychology and Psychopedagogy</w:t>
      </w:r>
      <w:r w:rsidRPr="00133CC2">
        <w:rPr>
          <w:rFonts w:ascii="Gill Sans MT" w:hAnsi="Gill Sans MT"/>
        </w:rPr>
        <w:t>, 1(1), 1-17.</w:t>
      </w:r>
    </w:p>
    <w:p w14:paraId="3BD5F936" w14:textId="77777777" w:rsidR="008816CD" w:rsidRPr="00133CC2" w:rsidRDefault="008816CD" w:rsidP="008816CD">
      <w:pPr>
        <w:spacing w:after="0"/>
        <w:rPr>
          <w:rFonts w:ascii="Gill Sans MT" w:hAnsi="Gill Sans MT"/>
        </w:rPr>
      </w:pPr>
      <w:r w:rsidRPr="00133CC2">
        <w:rPr>
          <w:rFonts w:ascii="Gill Sans MT" w:hAnsi="Gill Sans MT"/>
        </w:rPr>
        <w:t xml:space="preserve">Sander, P., Sanders, L., 2006a, Understanding academic confidence, </w:t>
      </w:r>
      <w:r w:rsidRPr="00957860">
        <w:rPr>
          <w:rFonts w:ascii="Gill Sans MT" w:hAnsi="Gill Sans MT"/>
          <w:i/>
        </w:rPr>
        <w:t>Psychology Teaching Review</w:t>
      </w:r>
      <w:r w:rsidRPr="00133CC2">
        <w:rPr>
          <w:rFonts w:ascii="Gill Sans MT" w:hAnsi="Gill Sans MT"/>
        </w:rPr>
        <w:t>, 12(1), 23-29.</w:t>
      </w:r>
    </w:p>
    <w:p w14:paraId="1AC65035" w14:textId="77777777" w:rsidR="008816CD" w:rsidRPr="00133CC2" w:rsidRDefault="008816CD" w:rsidP="008816CD">
      <w:pPr>
        <w:spacing w:after="0"/>
        <w:rPr>
          <w:rFonts w:ascii="Gill Sans MT" w:hAnsi="Gill Sans MT"/>
        </w:rPr>
      </w:pPr>
      <w:r w:rsidRPr="00133CC2">
        <w:rPr>
          <w:rFonts w:ascii="Gill Sans MT" w:hAnsi="Gill Sans MT"/>
        </w:rPr>
        <w:t xml:space="preserve">Sander, P., Sanders, L., 2006b, Rogue males: sex differences in psychology students, </w:t>
      </w:r>
      <w:r w:rsidRPr="00957860">
        <w:rPr>
          <w:rFonts w:ascii="Gill Sans MT" w:hAnsi="Gill Sans MT"/>
          <w:i/>
        </w:rPr>
        <w:t>Electronic Journal of Research in Educational Psychology</w:t>
      </w:r>
      <w:r w:rsidRPr="00133CC2">
        <w:rPr>
          <w:rFonts w:ascii="Gill Sans MT" w:hAnsi="Gill Sans MT"/>
        </w:rPr>
        <w:t>, 8(4), 85-108.</w:t>
      </w:r>
    </w:p>
    <w:p w14:paraId="44FFAE96" w14:textId="77777777" w:rsidR="008816CD" w:rsidRPr="00133CC2" w:rsidRDefault="008816CD" w:rsidP="008816CD">
      <w:pPr>
        <w:spacing w:after="0"/>
        <w:rPr>
          <w:rFonts w:ascii="Gill Sans MT" w:hAnsi="Gill Sans MT"/>
        </w:rPr>
      </w:pPr>
      <w:r w:rsidRPr="00133CC2">
        <w:rPr>
          <w:rFonts w:ascii="Gill Sans MT" w:hAnsi="Gill Sans MT"/>
        </w:rPr>
        <w:t>Sander, P., Sanders, L., 2007, Gender, psychology students and higher education</w:t>
      </w:r>
      <w:r w:rsidRPr="00957860">
        <w:rPr>
          <w:rFonts w:ascii="Gill Sans MT" w:hAnsi="Gill Sans MT"/>
          <w:i/>
        </w:rPr>
        <w:t>, Psychology Learning &amp; Teaching</w:t>
      </w:r>
      <w:r w:rsidRPr="00133CC2">
        <w:rPr>
          <w:rFonts w:ascii="Gill Sans MT" w:hAnsi="Gill Sans MT"/>
        </w:rPr>
        <w:t>, 6(1), 33-36.</w:t>
      </w:r>
    </w:p>
    <w:p w14:paraId="1FD98636" w14:textId="77777777" w:rsidR="008816CD" w:rsidRPr="00133CC2" w:rsidRDefault="008816CD" w:rsidP="008816CD">
      <w:pPr>
        <w:spacing w:after="0"/>
        <w:rPr>
          <w:rFonts w:ascii="Gill Sans MT" w:hAnsi="Gill Sans MT"/>
        </w:rPr>
      </w:pPr>
      <w:r w:rsidRPr="00133CC2">
        <w:rPr>
          <w:rFonts w:ascii="Gill Sans MT" w:hAnsi="Gill Sans MT"/>
        </w:rPr>
        <w:t xml:space="preserve">Sander, P., Sanders, L., 2009, Measuring academic behavioural confidence: the ABC scale revisited, </w:t>
      </w:r>
      <w:r w:rsidRPr="00957860">
        <w:rPr>
          <w:rFonts w:ascii="Gill Sans MT" w:hAnsi="Gill Sans MT"/>
          <w:i/>
        </w:rPr>
        <w:t>Studies in Higher Education</w:t>
      </w:r>
      <w:r w:rsidRPr="00133CC2">
        <w:rPr>
          <w:rFonts w:ascii="Gill Sans MT" w:hAnsi="Gill Sans MT"/>
        </w:rPr>
        <w:t>, 34(1), 19-35.</w:t>
      </w:r>
    </w:p>
    <w:p w14:paraId="76FE97A9" w14:textId="77777777" w:rsidR="008816CD" w:rsidRPr="00133CC2" w:rsidRDefault="008816CD" w:rsidP="008816CD">
      <w:pPr>
        <w:spacing w:after="0"/>
        <w:rPr>
          <w:rFonts w:ascii="Gill Sans MT" w:hAnsi="Gill Sans MT"/>
        </w:rPr>
      </w:pPr>
      <w:r w:rsidRPr="00133CC2">
        <w:rPr>
          <w:rFonts w:ascii="Gill Sans MT" w:hAnsi="Gill Sans MT"/>
        </w:rPr>
        <w:t xml:space="preserve">Sander, P., Sanders, L., Stevenson, K., 2002, Engaging the learner: Reflections on the use of student presentations, </w:t>
      </w:r>
      <w:r w:rsidRPr="00957860">
        <w:rPr>
          <w:rFonts w:ascii="Gill Sans MT" w:hAnsi="Gill Sans MT"/>
          <w:i/>
        </w:rPr>
        <w:t>Psychology Teaching Review</w:t>
      </w:r>
      <w:r w:rsidRPr="00133CC2">
        <w:rPr>
          <w:rFonts w:ascii="Gill Sans MT" w:hAnsi="Gill Sans MT"/>
        </w:rPr>
        <w:t>, 10(1), 76-89.</w:t>
      </w:r>
    </w:p>
    <w:p w14:paraId="200D2AA1" w14:textId="77777777" w:rsidR="008816CD" w:rsidRDefault="008816CD" w:rsidP="008816CD">
      <w:pPr>
        <w:spacing w:after="0"/>
        <w:rPr>
          <w:rFonts w:ascii="Gill Sans MT" w:hAnsi="Gill Sans MT"/>
        </w:rPr>
      </w:pPr>
      <w:r w:rsidRPr="00133CC2">
        <w:rPr>
          <w:rFonts w:ascii="Gill Sans MT" w:hAnsi="Gill Sans MT"/>
        </w:rPr>
        <w:t xml:space="preserve">Sander, P., Stevenson, K., King, M., Coates, D., 2000, University students' expectations of teaching, </w:t>
      </w:r>
      <w:r w:rsidRPr="00957860">
        <w:rPr>
          <w:rFonts w:ascii="Gill Sans MT" w:hAnsi="Gill Sans MT"/>
          <w:i/>
        </w:rPr>
        <w:t>Studies in Higher Education</w:t>
      </w:r>
      <w:r w:rsidRPr="00133CC2">
        <w:rPr>
          <w:rFonts w:ascii="Gill Sans MT" w:hAnsi="Gill Sans MT"/>
        </w:rPr>
        <w:t>, 25(3), 309-323.</w:t>
      </w:r>
    </w:p>
    <w:p w14:paraId="34291C42" w14:textId="77777777" w:rsidR="008816CD" w:rsidRPr="00F4187B" w:rsidRDefault="008816CD" w:rsidP="008816CD">
      <w:pPr>
        <w:spacing w:after="0"/>
        <w:rPr>
          <w:rFonts w:ascii="Gill Sans MT" w:hAnsi="Gill Sans MT"/>
        </w:rPr>
      </w:pPr>
      <w:r>
        <w:rPr>
          <w:rFonts w:ascii="Gill Sans MT" w:hAnsi="Gill Sans MT"/>
        </w:rPr>
        <w:t xml:space="preserve">Sander, P., Putwaion, D., de la Fuente, J., 2014, Using structural equation modelling to understand predictors of undergraduate students’ academic performance, </w:t>
      </w:r>
      <w:r>
        <w:rPr>
          <w:rFonts w:ascii="Gill Sans MT" w:hAnsi="Gill Sans MT"/>
          <w:i/>
        </w:rPr>
        <w:t>Theory and Method in Higher Education Research</w:t>
      </w:r>
      <w:r>
        <w:rPr>
          <w:rFonts w:ascii="Gill Sans MT" w:hAnsi="Gill Sans MT"/>
        </w:rPr>
        <w:t>, 9, 219-241.</w:t>
      </w:r>
    </w:p>
    <w:p w14:paraId="282DEB8A" w14:textId="77777777" w:rsidR="008816CD" w:rsidRPr="00133CC2" w:rsidRDefault="008816CD" w:rsidP="008816CD">
      <w:pPr>
        <w:spacing w:after="0"/>
        <w:rPr>
          <w:rFonts w:ascii="Gill Sans MT" w:hAnsi="Gill Sans MT"/>
        </w:rPr>
      </w:pPr>
      <w:r w:rsidRPr="00133CC2">
        <w:rPr>
          <w:rFonts w:ascii="Gill Sans MT" w:hAnsi="Gill Sans MT"/>
        </w:rPr>
        <w:t xml:space="preserve">Sanders, L., Daly, A.P., Fitzgerald, K., </w:t>
      </w:r>
      <w:r>
        <w:rPr>
          <w:rFonts w:ascii="Gill Sans MT" w:hAnsi="Gill Sans MT"/>
        </w:rPr>
        <w:t xml:space="preserve">2016, </w:t>
      </w:r>
      <w:r w:rsidRPr="00133CC2">
        <w:rPr>
          <w:rFonts w:ascii="Gill Sans MT" w:hAnsi="Gill Sans MT"/>
        </w:rPr>
        <w:t xml:space="preserve">Predicting retention, understanding attrition: A prospective study of foundation year students, </w:t>
      </w:r>
      <w:r w:rsidRPr="00957860">
        <w:rPr>
          <w:rFonts w:ascii="Gill Sans MT" w:hAnsi="Gill Sans MT"/>
          <w:i/>
        </w:rPr>
        <w:t>Widening Participation and Lifelong Learning</w:t>
      </w:r>
      <w:r w:rsidRPr="00133CC2">
        <w:rPr>
          <w:rFonts w:ascii="Gill Sans MT" w:hAnsi="Gill Sans MT"/>
        </w:rPr>
        <w:t>, 18(2), 50-83.</w:t>
      </w:r>
    </w:p>
    <w:p w14:paraId="04B1E5A1" w14:textId="0A8C42A6" w:rsidR="008816CD" w:rsidRDefault="008816CD" w:rsidP="008816CD">
      <w:pPr>
        <w:spacing w:after="0"/>
        <w:rPr>
          <w:rFonts w:ascii="Gill Sans MT" w:hAnsi="Gill Sans MT"/>
        </w:rPr>
      </w:pPr>
      <w:r w:rsidRPr="00133CC2">
        <w:rPr>
          <w:rFonts w:ascii="Gill Sans MT" w:hAnsi="Gill Sans MT"/>
        </w:rPr>
        <w:lastRenderedPageBreak/>
        <w:t xml:space="preserve">Sanders, L., Mair, C., James, R., 2016, Using psychometrics to identify traditionally-aged and mature students at risk of non-completion, </w:t>
      </w:r>
      <w:r w:rsidRPr="00957860">
        <w:rPr>
          <w:rFonts w:ascii="Gill Sans MT" w:hAnsi="Gill Sans MT"/>
          <w:i/>
        </w:rPr>
        <w:t>Forum for Access &amp; Continuing Education, Cardiff Metropolitan University Report</w:t>
      </w:r>
      <w:r w:rsidRPr="00133CC2">
        <w:rPr>
          <w:rFonts w:ascii="Gill Sans MT" w:hAnsi="Gill Sans MT"/>
        </w:rPr>
        <w:t>, 1-17.</w:t>
      </w:r>
    </w:p>
    <w:p w14:paraId="41E58251" w14:textId="020C5824" w:rsidR="00451907" w:rsidRPr="00133CC2" w:rsidRDefault="00451907" w:rsidP="008816CD">
      <w:pPr>
        <w:spacing w:after="0"/>
        <w:rPr>
          <w:rFonts w:ascii="Gill Sans MT" w:hAnsi="Gill Sans MT"/>
        </w:rPr>
      </w:pPr>
      <w:r w:rsidRPr="00451907">
        <w:rPr>
          <w:rFonts w:ascii="Gill Sans MT" w:hAnsi="Gill Sans MT"/>
        </w:rPr>
        <w:t xml:space="preserve">Sanders, L., Sander, P., 2007, Academic Behavioural Confidence: A comparison of medical and psychology students, </w:t>
      </w:r>
      <w:r w:rsidRPr="00451907">
        <w:rPr>
          <w:rFonts w:ascii="Gill Sans MT" w:hAnsi="Gill Sans MT"/>
          <w:i/>
          <w:iCs/>
        </w:rPr>
        <w:t>Electronic Journal of Research in Educational Psychology</w:t>
      </w:r>
      <w:r w:rsidRPr="00451907">
        <w:rPr>
          <w:rFonts w:ascii="Gill Sans MT" w:hAnsi="Gill Sans MT"/>
        </w:rPr>
        <w:t>, 15(3), 1696-2095</w:t>
      </w:r>
    </w:p>
    <w:p w14:paraId="37C2F275" w14:textId="77777777" w:rsidR="008816CD" w:rsidRPr="00133CC2" w:rsidRDefault="008816CD" w:rsidP="008816CD">
      <w:pPr>
        <w:spacing w:after="0"/>
        <w:rPr>
          <w:rFonts w:ascii="Gill Sans MT" w:hAnsi="Gill Sans MT"/>
        </w:rPr>
      </w:pPr>
      <w:r w:rsidRPr="00133CC2">
        <w:rPr>
          <w:rFonts w:ascii="Gill Sans MT" w:hAnsi="Gill Sans MT"/>
        </w:rPr>
        <w:t xml:space="preserve">Sanders, L., Sander, P., Mercer, J., 2009, Rogue males? Approaches to study and academic performance of male psychology students, </w:t>
      </w:r>
      <w:r w:rsidRPr="00957860">
        <w:rPr>
          <w:rFonts w:ascii="Gill Sans MT" w:hAnsi="Gill Sans MT"/>
          <w:i/>
        </w:rPr>
        <w:t>Psychology Teaching Review</w:t>
      </w:r>
      <w:r w:rsidRPr="00133CC2">
        <w:rPr>
          <w:rFonts w:ascii="Gill Sans MT" w:hAnsi="Gill Sans MT"/>
        </w:rPr>
        <w:t>, 15(1), 3-17.</w:t>
      </w:r>
    </w:p>
    <w:p w14:paraId="4CDC4958" w14:textId="77777777" w:rsidR="008816CD" w:rsidRPr="00133CC2" w:rsidRDefault="008816CD" w:rsidP="008816CD">
      <w:pPr>
        <w:spacing w:after="0"/>
        <w:rPr>
          <w:rFonts w:ascii="Gill Sans MT" w:hAnsi="Gill Sans MT"/>
        </w:rPr>
      </w:pPr>
      <w:r w:rsidRPr="00133CC2">
        <w:rPr>
          <w:rFonts w:ascii="Gill Sans MT" w:hAnsi="Gill Sans MT"/>
        </w:rPr>
        <w:t xml:space="preserve">Sanderson, A., 2000, Reflections on StudyScan, </w:t>
      </w:r>
      <w:r w:rsidRPr="00957860">
        <w:rPr>
          <w:rFonts w:ascii="Gill Sans MT" w:hAnsi="Gill Sans MT"/>
          <w:i/>
        </w:rPr>
        <w:t>Dyslexia</w:t>
      </w:r>
      <w:r w:rsidRPr="00133CC2">
        <w:rPr>
          <w:rFonts w:ascii="Gill Sans MT" w:hAnsi="Gill Sans MT"/>
        </w:rPr>
        <w:t xml:space="preserve">, 6, 284-290. </w:t>
      </w:r>
    </w:p>
    <w:p w14:paraId="39F6A2D0" w14:textId="77777777" w:rsidR="008816CD" w:rsidRDefault="008816CD" w:rsidP="008816CD">
      <w:pPr>
        <w:spacing w:after="0"/>
        <w:rPr>
          <w:rFonts w:ascii="Gill Sans MT" w:hAnsi="Gill Sans MT"/>
        </w:rPr>
      </w:pPr>
      <w:r w:rsidRPr="00133CC2">
        <w:rPr>
          <w:rFonts w:ascii="Gill Sans MT" w:hAnsi="Gill Sans MT"/>
        </w:rPr>
        <w:t xml:space="preserve">Santoro, M.D., 2000, Success breeds success: the linkage between relationship intensity and tangible outcomes in industry-university collaborative ventures, </w:t>
      </w:r>
      <w:r w:rsidRPr="00957860">
        <w:rPr>
          <w:rFonts w:ascii="Gill Sans MT" w:hAnsi="Gill Sans MT"/>
          <w:i/>
        </w:rPr>
        <w:t>The Journal of High Technology Management Research</w:t>
      </w:r>
      <w:r w:rsidRPr="00133CC2">
        <w:rPr>
          <w:rFonts w:ascii="Gill Sans MT" w:hAnsi="Gill Sans MT"/>
        </w:rPr>
        <w:t>, 11(2), 255-273.</w:t>
      </w:r>
    </w:p>
    <w:p w14:paraId="45D0EA57" w14:textId="77777777" w:rsidR="008816CD" w:rsidRPr="008527BC" w:rsidRDefault="008816CD" w:rsidP="008816CD">
      <w:pPr>
        <w:spacing w:after="0"/>
        <w:rPr>
          <w:rFonts w:ascii="Gill Sans MT" w:hAnsi="Gill Sans MT"/>
        </w:rPr>
      </w:pPr>
      <w:r>
        <w:rPr>
          <w:rFonts w:ascii="Gill Sans MT" w:hAnsi="Gill Sans MT"/>
        </w:rPr>
        <w:t xml:space="preserve">Sax, L.J., Arms, E., 2008, Gender differences over the span of college: challenges to achieving equity, </w:t>
      </w:r>
      <w:r>
        <w:rPr>
          <w:rFonts w:ascii="Gill Sans MT" w:hAnsi="Gill Sans MT"/>
          <w:i/>
        </w:rPr>
        <w:t>NASPA Journal About Women in Higher Education</w:t>
      </w:r>
      <w:r>
        <w:rPr>
          <w:rFonts w:ascii="Gill Sans MT" w:hAnsi="Gill Sans MT"/>
        </w:rPr>
        <w:t>, 1(1), 25-50.</w:t>
      </w:r>
    </w:p>
    <w:p w14:paraId="7AF5E6B7" w14:textId="1B1911D3" w:rsidR="00451907" w:rsidRDefault="008816CD" w:rsidP="008816CD">
      <w:pPr>
        <w:spacing w:after="0"/>
        <w:rPr>
          <w:rFonts w:ascii="Gill Sans MT" w:hAnsi="Gill Sans MT"/>
        </w:rPr>
      </w:pPr>
      <w:r>
        <w:rPr>
          <w:rFonts w:ascii="Gill Sans MT" w:hAnsi="Gill Sans MT"/>
        </w:rPr>
        <w:t xml:space="preserve">Sax, L.J., Harper, C.E., 2007, Origins of the gender gap: Pre-college and college influences on differences between men and women, </w:t>
      </w:r>
      <w:r>
        <w:rPr>
          <w:rFonts w:ascii="Gill Sans MT" w:hAnsi="Gill Sans MT"/>
          <w:i/>
        </w:rPr>
        <w:t>Research in Higher Education</w:t>
      </w:r>
      <w:r>
        <w:rPr>
          <w:rFonts w:ascii="Gill Sans MT" w:hAnsi="Gill Sans MT"/>
        </w:rPr>
        <w:t>, 48(6), 669-694.</w:t>
      </w:r>
    </w:p>
    <w:p w14:paraId="2BCD80DA" w14:textId="48EF392B" w:rsidR="00FD358A" w:rsidRPr="00FD358A" w:rsidRDefault="00FD358A" w:rsidP="008816CD">
      <w:pPr>
        <w:spacing w:after="0"/>
        <w:rPr>
          <w:rFonts w:ascii="Gill Sans MT" w:hAnsi="Gill Sans MT"/>
        </w:rPr>
      </w:pPr>
      <w:r>
        <w:rPr>
          <w:rFonts w:ascii="Gill Sans MT" w:hAnsi="Gill Sans MT"/>
        </w:rPr>
        <w:t xml:space="preserve">Schafer, T., Schwarz, M.A., 2019, The meaningfulness of effect sizes in psychological research: differences between sub-disciplines and the impact of potential biases, </w:t>
      </w:r>
      <w:r>
        <w:rPr>
          <w:rFonts w:ascii="Gill Sans MT" w:hAnsi="Gill Sans MT"/>
          <w:i/>
          <w:iCs/>
        </w:rPr>
        <w:t>Frontiers in Psychology</w:t>
      </w:r>
      <w:r>
        <w:rPr>
          <w:rFonts w:ascii="Gill Sans MT" w:hAnsi="Gill Sans MT"/>
        </w:rPr>
        <w:t xml:space="preserve">, 10, https://doi.org/10.3389/fpsyg.2019.00813. </w:t>
      </w:r>
    </w:p>
    <w:p w14:paraId="70C463C7" w14:textId="77777777" w:rsidR="008816CD" w:rsidRPr="00B04C41" w:rsidRDefault="008816CD" w:rsidP="008816CD">
      <w:pPr>
        <w:spacing w:after="0"/>
        <w:rPr>
          <w:rFonts w:ascii="Gill Sans MT" w:hAnsi="Gill Sans MT"/>
        </w:rPr>
      </w:pPr>
      <w:r>
        <w:rPr>
          <w:rFonts w:ascii="Gill Sans MT" w:hAnsi="Gill Sans MT"/>
        </w:rPr>
        <w:t xml:space="preserve">Schmidt, C.P., Zdzinzki, S.F., Ballard, D.L., 2006, Motivation orientations, academic achievement, and career goals of undergraduate music education majors, </w:t>
      </w:r>
      <w:r>
        <w:rPr>
          <w:rFonts w:ascii="Gill Sans MT" w:hAnsi="Gill Sans MT"/>
          <w:i/>
        </w:rPr>
        <w:t>Journal of Research in Music Education</w:t>
      </w:r>
      <w:r>
        <w:rPr>
          <w:rFonts w:ascii="Gill Sans MT" w:hAnsi="Gill Sans MT"/>
        </w:rPr>
        <w:t>, 54(2), 138-153.</w:t>
      </w:r>
    </w:p>
    <w:p w14:paraId="3934CE4B" w14:textId="77777777" w:rsidR="008816CD" w:rsidRPr="00133CC2" w:rsidRDefault="008816CD" w:rsidP="008816CD">
      <w:pPr>
        <w:spacing w:after="0"/>
        <w:rPr>
          <w:rFonts w:ascii="Gill Sans MT" w:hAnsi="Gill Sans MT"/>
        </w:rPr>
      </w:pPr>
      <w:r w:rsidRPr="00133CC2">
        <w:rPr>
          <w:rFonts w:ascii="Gill Sans MT" w:hAnsi="Gill Sans MT"/>
        </w:rPr>
        <w:t xml:space="preserve">Schmitt, N., 1996, Uses and abuses of Coefficient Alpha, </w:t>
      </w:r>
      <w:r w:rsidRPr="00957860">
        <w:rPr>
          <w:rFonts w:ascii="Gill Sans MT" w:hAnsi="Gill Sans MT"/>
          <w:i/>
        </w:rPr>
        <w:t>Psychological Assessment</w:t>
      </w:r>
      <w:r w:rsidRPr="00133CC2">
        <w:rPr>
          <w:rFonts w:ascii="Gill Sans MT" w:hAnsi="Gill Sans MT"/>
        </w:rPr>
        <w:t>, 8(4), 350-353.</w:t>
      </w:r>
    </w:p>
    <w:p w14:paraId="39DAD69B" w14:textId="5E486E07" w:rsidR="008816CD" w:rsidRPr="00133CC2" w:rsidRDefault="008816CD" w:rsidP="008816CD">
      <w:pPr>
        <w:spacing w:after="0"/>
        <w:rPr>
          <w:rFonts w:ascii="Gill Sans MT" w:hAnsi="Gill Sans MT"/>
        </w:rPr>
      </w:pPr>
      <w:r w:rsidRPr="00133CC2">
        <w:rPr>
          <w:rFonts w:ascii="Gill Sans MT" w:hAnsi="Gill Sans MT"/>
        </w:rPr>
        <w:t>Schneps, M.H., Rose, L.T., Fischer, K.W., 2007, Visual learning and the bra</w:t>
      </w:r>
      <w:r w:rsidR="00B7719E">
        <w:rPr>
          <w:rFonts w:ascii="Gill Sans MT" w:hAnsi="Gill Sans MT"/>
        </w:rPr>
        <w:t>i</w:t>
      </w:r>
      <w:r w:rsidRPr="00133CC2">
        <w:rPr>
          <w:rFonts w:ascii="Gill Sans MT" w:hAnsi="Gill Sans MT"/>
        </w:rPr>
        <w:t xml:space="preserve">n: Implications for dyslexia, </w:t>
      </w:r>
      <w:r w:rsidRPr="00957860">
        <w:rPr>
          <w:rFonts w:ascii="Gill Sans MT" w:hAnsi="Gill Sans MT"/>
          <w:i/>
        </w:rPr>
        <w:t>Mind, Brain and Education</w:t>
      </w:r>
      <w:r w:rsidRPr="00133CC2">
        <w:rPr>
          <w:rFonts w:ascii="Gill Sans MT" w:hAnsi="Gill Sans MT"/>
        </w:rPr>
        <w:t>, 1(3), 128-139.</w:t>
      </w:r>
    </w:p>
    <w:p w14:paraId="1B67DD77" w14:textId="5B512F83" w:rsidR="008816CD" w:rsidRDefault="008816CD" w:rsidP="008816CD">
      <w:pPr>
        <w:spacing w:after="0"/>
        <w:rPr>
          <w:rFonts w:ascii="Gill Sans MT" w:hAnsi="Gill Sans MT"/>
        </w:rPr>
      </w:pPr>
      <w:r w:rsidRPr="00133CC2">
        <w:rPr>
          <w:rFonts w:ascii="Gill Sans MT" w:hAnsi="Gill Sans MT"/>
        </w:rPr>
        <w:t xml:space="preserve">Scholz, U., Dona, B.G., Shonali, S., Swhwarzer, R., 2002, Is general self-efficacy a universal construct? Psychometric findings from 25 countries, </w:t>
      </w:r>
      <w:r w:rsidRPr="00957860">
        <w:rPr>
          <w:rFonts w:ascii="Gill Sans MT" w:hAnsi="Gill Sans MT"/>
          <w:i/>
        </w:rPr>
        <w:t>European Journal of Psychological Assessment</w:t>
      </w:r>
      <w:r w:rsidRPr="00133CC2">
        <w:rPr>
          <w:rFonts w:ascii="Gill Sans MT" w:hAnsi="Gill Sans MT"/>
        </w:rPr>
        <w:t>, 18(3), 242-251.</w:t>
      </w:r>
    </w:p>
    <w:p w14:paraId="549899AB" w14:textId="13A32953" w:rsidR="00540676" w:rsidRPr="00133CC2" w:rsidRDefault="00540676" w:rsidP="008816CD">
      <w:pPr>
        <w:spacing w:after="0"/>
        <w:rPr>
          <w:rFonts w:ascii="Gill Sans MT" w:hAnsi="Gill Sans MT"/>
        </w:rPr>
      </w:pPr>
      <w:r>
        <w:rPr>
          <w:rFonts w:ascii="Gill Sans MT" w:hAnsi="Gill Sans MT"/>
        </w:rPr>
        <w:t>Schuettler, D., Ki</w:t>
      </w:r>
      <w:r w:rsidR="007E6987">
        <w:rPr>
          <w:rFonts w:ascii="Gill Sans MT" w:hAnsi="Gill Sans MT"/>
        </w:rPr>
        <w:t>v</w:t>
      </w:r>
      <w:r>
        <w:rPr>
          <w:rFonts w:ascii="Gill Sans MT" w:hAnsi="Gill Sans MT"/>
        </w:rPr>
        <w:t>i</w:t>
      </w:r>
      <w:r w:rsidR="007E6987">
        <w:rPr>
          <w:rFonts w:ascii="Gill Sans MT" w:hAnsi="Gill Sans MT"/>
        </w:rPr>
        <w:t>n</w:t>
      </w:r>
      <w:r>
        <w:rPr>
          <w:rFonts w:ascii="Gill Sans MT" w:hAnsi="Gill Sans MT"/>
        </w:rPr>
        <w:t>iemi,</w:t>
      </w:r>
      <w:r w:rsidR="007E6987">
        <w:rPr>
          <w:rFonts w:ascii="Gill Sans MT" w:hAnsi="Gill Sans MT"/>
        </w:rPr>
        <w:t xml:space="preserve"> M.T., 2006, "Does how I feel about it matter?" The role of affect in cognitive and behavioural reactions to an illness diagnosis, Journal of Applied Social Psychology, 36(11), 2599-2618.</w:t>
      </w:r>
      <w:r>
        <w:rPr>
          <w:rFonts w:ascii="Gill Sans MT" w:hAnsi="Gill Sans MT"/>
        </w:rPr>
        <w:t xml:space="preserve"> </w:t>
      </w:r>
    </w:p>
    <w:p w14:paraId="7AA7D9F2" w14:textId="77777777" w:rsidR="008816CD" w:rsidRPr="00133CC2" w:rsidRDefault="008816CD" w:rsidP="008816CD">
      <w:pPr>
        <w:spacing w:after="0"/>
        <w:rPr>
          <w:rFonts w:ascii="Gill Sans MT" w:hAnsi="Gill Sans MT"/>
        </w:rPr>
      </w:pPr>
      <w:r w:rsidRPr="00133CC2">
        <w:rPr>
          <w:rFonts w:ascii="Gill Sans MT" w:hAnsi="Gill Sans MT"/>
        </w:rPr>
        <w:t>Schunk, D.H., 1989, Self-efficacy and cognitive skill learning, IN: Ames, C.,</w:t>
      </w:r>
      <w:r>
        <w:rPr>
          <w:rFonts w:ascii="Gill Sans MT" w:hAnsi="Gill Sans MT"/>
        </w:rPr>
        <w:t xml:space="preserve"> Ames, R., (Eds), </w:t>
      </w:r>
      <w:r w:rsidRPr="00957860">
        <w:rPr>
          <w:rFonts w:ascii="Gill Sans MT" w:hAnsi="Gill Sans MT"/>
          <w:i/>
        </w:rPr>
        <w:t>Research on motivation in education: Vo</w:t>
      </w:r>
      <w:r>
        <w:rPr>
          <w:rFonts w:ascii="Gill Sans MT" w:hAnsi="Gill Sans MT"/>
          <w:i/>
        </w:rPr>
        <w:t>l 3, Goals and cognitions</w:t>
      </w:r>
      <w:r w:rsidRPr="00133CC2">
        <w:rPr>
          <w:rFonts w:ascii="Gill Sans MT" w:hAnsi="Gill Sans MT"/>
        </w:rPr>
        <w:t>, San Diego CA, Academic Press.</w:t>
      </w:r>
    </w:p>
    <w:p w14:paraId="14611034" w14:textId="77777777" w:rsidR="008816CD" w:rsidRPr="00133CC2" w:rsidRDefault="008816CD" w:rsidP="008816CD">
      <w:pPr>
        <w:spacing w:after="0"/>
        <w:rPr>
          <w:rFonts w:ascii="Gill Sans MT" w:hAnsi="Gill Sans MT"/>
        </w:rPr>
      </w:pPr>
      <w:r w:rsidRPr="00133CC2">
        <w:rPr>
          <w:rFonts w:ascii="Gill Sans MT" w:hAnsi="Gill Sans MT"/>
        </w:rPr>
        <w:t xml:space="preserve">Schunk, D.H., 1991, Self-efficacy and academic motivation, </w:t>
      </w:r>
      <w:r w:rsidRPr="00957860">
        <w:rPr>
          <w:rFonts w:ascii="Gill Sans MT" w:hAnsi="Gill Sans MT"/>
          <w:i/>
        </w:rPr>
        <w:t>Educational Psychologist</w:t>
      </w:r>
      <w:r w:rsidRPr="00133CC2">
        <w:rPr>
          <w:rFonts w:ascii="Gill Sans MT" w:hAnsi="Gill Sans MT"/>
        </w:rPr>
        <w:t>, 26(3-4), 207-231.</w:t>
      </w:r>
    </w:p>
    <w:p w14:paraId="6AB754F5" w14:textId="77777777" w:rsidR="008816CD" w:rsidRPr="00133CC2" w:rsidRDefault="008816CD" w:rsidP="008816CD">
      <w:pPr>
        <w:spacing w:after="0"/>
        <w:rPr>
          <w:rFonts w:ascii="Gill Sans MT" w:hAnsi="Gill Sans MT"/>
        </w:rPr>
      </w:pPr>
      <w:r w:rsidRPr="00133CC2">
        <w:rPr>
          <w:rFonts w:ascii="Gill Sans MT" w:hAnsi="Gill Sans MT"/>
        </w:rPr>
        <w:t xml:space="preserve">Schunk, D.H., Gunn, T.E., Selff-efficacy and skill development: influence of task strategies and attributions, </w:t>
      </w:r>
      <w:r w:rsidRPr="00143372">
        <w:rPr>
          <w:rFonts w:ascii="Gill Sans MT" w:hAnsi="Gill Sans MT"/>
          <w:i/>
        </w:rPr>
        <w:t>Journal of Educational Research</w:t>
      </w:r>
      <w:r w:rsidRPr="00133CC2">
        <w:rPr>
          <w:rFonts w:ascii="Gill Sans MT" w:hAnsi="Gill Sans MT"/>
        </w:rPr>
        <w:t>, 79(4), 238-244.</w:t>
      </w:r>
    </w:p>
    <w:p w14:paraId="16433271" w14:textId="77777777" w:rsidR="008816CD" w:rsidRPr="00133CC2" w:rsidRDefault="008816CD" w:rsidP="008816CD">
      <w:pPr>
        <w:spacing w:after="0"/>
        <w:rPr>
          <w:rFonts w:ascii="Gill Sans MT" w:hAnsi="Gill Sans MT"/>
        </w:rPr>
      </w:pPr>
      <w:r w:rsidRPr="00133CC2">
        <w:rPr>
          <w:rFonts w:ascii="Gill Sans MT" w:hAnsi="Gill Sans MT"/>
        </w:rPr>
        <w:t xml:space="preserve">Schunk, D.H., Hanson, A.R., Cos, P.D., Peer-model attributes and children's achievement behaviours, </w:t>
      </w:r>
      <w:r w:rsidRPr="00143372">
        <w:rPr>
          <w:rFonts w:ascii="Gill Sans MT" w:hAnsi="Gill Sans MT"/>
          <w:i/>
        </w:rPr>
        <w:t>Journal of Educational Psychology</w:t>
      </w:r>
      <w:r w:rsidRPr="00133CC2">
        <w:rPr>
          <w:rFonts w:ascii="Gill Sans MT" w:hAnsi="Gill Sans MT"/>
        </w:rPr>
        <w:t>, 79(1), 54-61.</w:t>
      </w:r>
    </w:p>
    <w:p w14:paraId="2AF2E10F" w14:textId="77777777" w:rsidR="008816CD" w:rsidRDefault="008816CD" w:rsidP="008816CD">
      <w:pPr>
        <w:spacing w:after="0"/>
        <w:rPr>
          <w:rFonts w:ascii="Gill Sans MT" w:hAnsi="Gill Sans MT"/>
        </w:rPr>
      </w:pPr>
      <w:r w:rsidRPr="00133CC2">
        <w:rPr>
          <w:rFonts w:ascii="Gill Sans MT" w:hAnsi="Gill Sans MT"/>
        </w:rPr>
        <w:t xml:space="preserve">Schunk, D.H., Pajares, F., 2009, Self-efficacy theory, IN: Wentzel, K.R., Miele, D.B., (Eds), </w:t>
      </w:r>
      <w:r w:rsidRPr="00143372">
        <w:rPr>
          <w:rFonts w:ascii="Gill Sans MT" w:hAnsi="Gill Sans MT"/>
          <w:i/>
        </w:rPr>
        <w:t>Handbook of Motivation at School</w:t>
      </w:r>
      <w:r w:rsidRPr="00133CC2">
        <w:rPr>
          <w:rFonts w:ascii="Gill Sans MT" w:hAnsi="Gill Sans MT"/>
        </w:rPr>
        <w:t>, New York, Routledge.</w:t>
      </w:r>
    </w:p>
    <w:p w14:paraId="42B0C548" w14:textId="77777777" w:rsidR="008816CD" w:rsidRPr="00A7230B" w:rsidRDefault="008816CD" w:rsidP="008816CD">
      <w:pPr>
        <w:spacing w:after="0"/>
        <w:rPr>
          <w:rFonts w:ascii="Gill Sans MT" w:hAnsi="Gill Sans MT"/>
        </w:rPr>
      </w:pPr>
      <w:r>
        <w:rPr>
          <w:rFonts w:ascii="Gill Sans MT" w:hAnsi="Gill Sans MT"/>
        </w:rPr>
        <w:lastRenderedPageBreak/>
        <w:t>Schwartz, K.D., Fouts, G.T., 2003, Music preferences, personality style, and developmental issues of adolescents,</w:t>
      </w:r>
      <w:r>
        <w:rPr>
          <w:rFonts w:ascii="Gill Sans MT" w:hAnsi="Gill Sans MT"/>
          <w:i/>
        </w:rPr>
        <w:t xml:space="preserve"> Journal of Youth and Adolescence</w:t>
      </w:r>
      <w:r>
        <w:rPr>
          <w:rFonts w:ascii="Gill Sans MT" w:hAnsi="Gill Sans MT"/>
        </w:rPr>
        <w:t>, 32(3), 205-213.</w:t>
      </w:r>
    </w:p>
    <w:p w14:paraId="128D23EA" w14:textId="77777777" w:rsidR="008816CD" w:rsidRPr="00133CC2" w:rsidRDefault="008816CD" w:rsidP="008816CD">
      <w:pPr>
        <w:spacing w:after="0"/>
        <w:rPr>
          <w:rFonts w:ascii="Gill Sans MT" w:hAnsi="Gill Sans MT"/>
        </w:rPr>
      </w:pPr>
      <w:r w:rsidRPr="00133CC2">
        <w:rPr>
          <w:rFonts w:ascii="Gill Sans MT" w:hAnsi="Gill Sans MT"/>
        </w:rPr>
        <w:t xml:space="preserve">Schwartz, S.E.O., Kanchewa, S.S., Rhodes, J.E., Gowdy, G., Stark, A.M., Horn, J.P., Parnes, McK., Spencer, R., 2018, "I'm having a little struggle with this, can you help me out?": Examining impacts and processes of a social capital intervention for first-generation college students, </w:t>
      </w:r>
      <w:r w:rsidRPr="00143372">
        <w:rPr>
          <w:rFonts w:ascii="Gill Sans MT" w:hAnsi="Gill Sans MT"/>
          <w:i/>
        </w:rPr>
        <w:t>American Journal of Community Psychology</w:t>
      </w:r>
      <w:r w:rsidRPr="00133CC2">
        <w:rPr>
          <w:rFonts w:ascii="Gill Sans MT" w:hAnsi="Gill Sans MT"/>
        </w:rPr>
        <w:t>, 61, 166-178.</w:t>
      </w:r>
    </w:p>
    <w:p w14:paraId="4BA789CB" w14:textId="77777777" w:rsidR="008816CD" w:rsidRPr="00133CC2" w:rsidRDefault="008816CD" w:rsidP="008816CD">
      <w:pPr>
        <w:spacing w:after="0"/>
        <w:rPr>
          <w:rFonts w:ascii="Gill Sans MT" w:hAnsi="Gill Sans MT"/>
        </w:rPr>
      </w:pPr>
      <w:r w:rsidRPr="00133CC2">
        <w:rPr>
          <w:rFonts w:ascii="Gill Sans MT" w:hAnsi="Gill Sans MT"/>
        </w:rPr>
        <w:t xml:space="preserve">Schwarz, N., 1989, Feelings as Information: informational and motivational functions of affective states, IN: Higgins, E.T., Sorrentino, R.M., (Eds), </w:t>
      </w:r>
      <w:r w:rsidRPr="00143372">
        <w:rPr>
          <w:rFonts w:ascii="Gill Sans MT" w:hAnsi="Gill Sans MT"/>
          <w:i/>
        </w:rPr>
        <w:t>Handbook of Motivation and Cognition - Foundations of Social Behavior, Volume 2</w:t>
      </w:r>
      <w:r w:rsidRPr="00133CC2">
        <w:rPr>
          <w:rFonts w:ascii="Gill Sans MT" w:hAnsi="Gill Sans MT"/>
        </w:rPr>
        <w:t>, New York, Guilford Press.</w:t>
      </w:r>
    </w:p>
    <w:p w14:paraId="755E1D04" w14:textId="77777777" w:rsidR="008816CD" w:rsidRPr="00133CC2" w:rsidRDefault="008816CD" w:rsidP="008816CD">
      <w:pPr>
        <w:spacing w:after="0"/>
        <w:rPr>
          <w:rFonts w:ascii="Gill Sans MT" w:hAnsi="Gill Sans MT"/>
        </w:rPr>
      </w:pPr>
      <w:r w:rsidRPr="00133CC2">
        <w:rPr>
          <w:rFonts w:ascii="Gill Sans MT" w:hAnsi="Gill Sans MT"/>
        </w:rPr>
        <w:t xml:space="preserve">Schwarz, N., Clore, G.L., 1988, How do I feel about it? Informative functions of affective states, In: Fielder, K., Forgas, J., (Eds) </w:t>
      </w:r>
      <w:r w:rsidRPr="00143372">
        <w:rPr>
          <w:rFonts w:ascii="Gill Sans MT" w:hAnsi="Gill Sans MT"/>
          <w:i/>
        </w:rPr>
        <w:t>Affect, cognition and social behaviour</w:t>
      </w:r>
      <w:r w:rsidRPr="00133CC2">
        <w:rPr>
          <w:rFonts w:ascii="Gill Sans MT" w:hAnsi="Gill Sans MT"/>
        </w:rPr>
        <w:t>, Toronto, Hogrefe.</w:t>
      </w:r>
    </w:p>
    <w:p w14:paraId="368C0E5A" w14:textId="77777777" w:rsidR="008816CD" w:rsidRPr="00133CC2" w:rsidRDefault="008816CD" w:rsidP="008816CD">
      <w:pPr>
        <w:spacing w:after="0"/>
        <w:rPr>
          <w:rFonts w:ascii="Gill Sans MT" w:hAnsi="Gill Sans MT"/>
        </w:rPr>
      </w:pPr>
      <w:r w:rsidRPr="00133CC2">
        <w:rPr>
          <w:rFonts w:ascii="Gill Sans MT" w:hAnsi="Gill Sans MT"/>
        </w:rPr>
        <w:t xml:space="preserve">Schwarzer, R., Jerusalem, M., 2010, The general self-efficacy scale (GSE), </w:t>
      </w:r>
      <w:r w:rsidRPr="00143372">
        <w:rPr>
          <w:rFonts w:ascii="Gill Sans MT" w:hAnsi="Gill Sans MT"/>
          <w:i/>
        </w:rPr>
        <w:t>Anxiety, Stress and Coping</w:t>
      </w:r>
      <w:r w:rsidRPr="00133CC2">
        <w:rPr>
          <w:rFonts w:ascii="Gill Sans MT" w:hAnsi="Gill Sans MT"/>
        </w:rPr>
        <w:t xml:space="preserve">, 12(#), 329-345. </w:t>
      </w:r>
    </w:p>
    <w:p w14:paraId="360F5BC0" w14:textId="77777777" w:rsidR="008816CD" w:rsidRPr="00133CC2" w:rsidRDefault="008816CD" w:rsidP="008816CD">
      <w:pPr>
        <w:spacing w:after="0"/>
        <w:rPr>
          <w:rFonts w:ascii="Gill Sans MT" w:hAnsi="Gill Sans MT"/>
        </w:rPr>
      </w:pPr>
      <w:r w:rsidRPr="00133CC2">
        <w:rPr>
          <w:rFonts w:ascii="Gill Sans MT" w:hAnsi="Gill Sans MT"/>
        </w:rPr>
        <w:t xml:space="preserve">Schwarzer, R., Jerusalem, M., The General Self-Efficacy Scale, IN: Weinmann, J., Wright, S., Johnston, M., </w:t>
      </w:r>
      <w:r w:rsidRPr="00143372">
        <w:rPr>
          <w:rFonts w:ascii="Gill Sans MT" w:hAnsi="Gill Sans MT"/>
          <w:i/>
        </w:rPr>
        <w:t>Measures in health psychology: A user's port</w:t>
      </w:r>
      <w:r>
        <w:rPr>
          <w:rFonts w:ascii="Gill Sans MT" w:hAnsi="Gill Sans MT"/>
          <w:i/>
        </w:rPr>
        <w:t>f</w:t>
      </w:r>
      <w:r w:rsidRPr="00143372">
        <w:rPr>
          <w:rFonts w:ascii="Gill Sans MT" w:hAnsi="Gill Sans MT"/>
          <w:i/>
        </w:rPr>
        <w:t>olio, causal and control beliefs</w:t>
      </w:r>
      <w:r w:rsidRPr="00133CC2">
        <w:rPr>
          <w:rFonts w:ascii="Gill Sans MT" w:hAnsi="Gill Sans MT"/>
        </w:rPr>
        <w:t>, UK, NFER-Nelson.</w:t>
      </w:r>
    </w:p>
    <w:p w14:paraId="063FB26A" w14:textId="77777777" w:rsidR="008816CD" w:rsidRPr="00133CC2" w:rsidRDefault="008816CD" w:rsidP="008816CD">
      <w:pPr>
        <w:spacing w:after="0"/>
        <w:rPr>
          <w:rFonts w:ascii="Gill Sans MT" w:hAnsi="Gill Sans MT"/>
        </w:rPr>
      </w:pPr>
      <w:r w:rsidRPr="00133CC2">
        <w:rPr>
          <w:rFonts w:ascii="Gill Sans MT" w:hAnsi="Gill Sans MT"/>
        </w:rPr>
        <w:t xml:space="preserve">Science Council, 2017, </w:t>
      </w:r>
      <w:r w:rsidRPr="00143372">
        <w:rPr>
          <w:rFonts w:ascii="Gill Sans MT" w:hAnsi="Gill Sans MT"/>
          <w:i/>
        </w:rPr>
        <w:t>About Science</w:t>
      </w:r>
      <w:r w:rsidRPr="00133CC2">
        <w:rPr>
          <w:rFonts w:ascii="Gill Sans MT" w:hAnsi="Gill Sans MT"/>
        </w:rPr>
        <w:t>, available at: /http://sciencecouncil.org/about-science/our-definition-of-science/, accessed on 27th December 2017.</w:t>
      </w:r>
    </w:p>
    <w:p w14:paraId="54AC41EE" w14:textId="77777777" w:rsidR="008816CD" w:rsidRDefault="008816CD" w:rsidP="008816CD">
      <w:pPr>
        <w:spacing w:after="0"/>
        <w:rPr>
          <w:rFonts w:ascii="Gill Sans MT" w:hAnsi="Gill Sans MT"/>
        </w:rPr>
      </w:pPr>
      <w:r w:rsidRPr="00133CC2">
        <w:rPr>
          <w:rFonts w:ascii="Gill Sans MT" w:hAnsi="Gill Sans MT"/>
        </w:rPr>
        <w:t>Seale, J., Draffen, E.A., Wald, M., 2010, Digital agility and digital decision-making: conceptualising digital inclusing i</w:t>
      </w:r>
      <w:r>
        <w:rPr>
          <w:rFonts w:ascii="Gill Sans MT" w:hAnsi="Gill Sans MT"/>
        </w:rPr>
        <w:t>n the context of disabled learn</w:t>
      </w:r>
      <w:r w:rsidRPr="00133CC2">
        <w:rPr>
          <w:rFonts w:ascii="Gill Sans MT" w:hAnsi="Gill Sans MT"/>
        </w:rPr>
        <w:t xml:space="preserve">ers in higher education, </w:t>
      </w:r>
      <w:r w:rsidRPr="00143372">
        <w:rPr>
          <w:rFonts w:ascii="Gill Sans MT" w:hAnsi="Gill Sans MT"/>
          <w:i/>
        </w:rPr>
        <w:t>Studies in Higher Education</w:t>
      </w:r>
      <w:r>
        <w:rPr>
          <w:rFonts w:ascii="Gill Sans MT" w:hAnsi="Gill Sans MT"/>
        </w:rPr>
        <w:t>, 35(4), 445-461.</w:t>
      </w:r>
    </w:p>
    <w:p w14:paraId="6F6A34DB" w14:textId="77777777" w:rsidR="008816CD" w:rsidRPr="00133CC2" w:rsidRDefault="008816CD" w:rsidP="008816CD">
      <w:pPr>
        <w:spacing w:after="0"/>
        <w:rPr>
          <w:rFonts w:ascii="Gill Sans MT" w:hAnsi="Gill Sans MT"/>
        </w:rPr>
      </w:pPr>
      <w:r w:rsidRPr="00133CC2">
        <w:rPr>
          <w:rFonts w:ascii="Gill Sans MT" w:hAnsi="Gill Sans MT"/>
        </w:rPr>
        <w:t xml:space="preserve">Seale, J., Walk, M., Draffan, E., 2008, Exploring the technology experiences of disabled learners in higher education: challenges for the use and development of participatory research methods. </w:t>
      </w:r>
      <w:r w:rsidRPr="00143372">
        <w:rPr>
          <w:rFonts w:ascii="Gill Sans MT" w:hAnsi="Gill Sans MT"/>
          <w:i/>
        </w:rPr>
        <w:t>Journal of Assistive Technologies</w:t>
      </w:r>
      <w:r w:rsidRPr="00133CC2">
        <w:rPr>
          <w:rFonts w:ascii="Gill Sans MT" w:hAnsi="Gill Sans MT"/>
        </w:rPr>
        <w:t>, 2(3), 4-15.</w:t>
      </w:r>
    </w:p>
    <w:p w14:paraId="587A96E4" w14:textId="58DF2528" w:rsidR="008816CD" w:rsidRDefault="008816CD" w:rsidP="008816CD">
      <w:pPr>
        <w:spacing w:after="0"/>
        <w:rPr>
          <w:rFonts w:ascii="Gill Sans MT" w:hAnsi="Gill Sans MT"/>
        </w:rPr>
      </w:pPr>
      <w:r>
        <w:rPr>
          <w:rFonts w:ascii="Gill Sans MT" w:hAnsi="Gill Sans MT"/>
        </w:rPr>
        <w:t xml:space="preserve">Secomb, J., 2008, A systematic review of peer teaching and learning in clinical education, </w:t>
      </w:r>
      <w:r>
        <w:rPr>
          <w:rFonts w:ascii="Gill Sans MT" w:hAnsi="Gill Sans MT"/>
          <w:i/>
        </w:rPr>
        <w:t>Journal of Clinical Nursing</w:t>
      </w:r>
      <w:r>
        <w:rPr>
          <w:rFonts w:ascii="Gill Sans MT" w:hAnsi="Gill Sans MT"/>
        </w:rPr>
        <w:t>, 17(6)., 703-716.</w:t>
      </w:r>
    </w:p>
    <w:p w14:paraId="03A15EBB" w14:textId="004979BD" w:rsidR="00CF4904" w:rsidRPr="00CF4904" w:rsidRDefault="00CF4904" w:rsidP="008816CD">
      <w:pPr>
        <w:spacing w:after="0"/>
        <w:rPr>
          <w:rFonts w:ascii="Gill Sans MT" w:hAnsi="Gill Sans MT"/>
        </w:rPr>
      </w:pPr>
      <w:r>
        <w:rPr>
          <w:rFonts w:ascii="Gill Sans MT" w:hAnsi="Gill Sans MT"/>
        </w:rPr>
        <w:t xml:space="preserve">Seigel, H., 2006, Epistemological diversity and education research: Much ado about nothing much? </w:t>
      </w:r>
      <w:r>
        <w:rPr>
          <w:rFonts w:ascii="Gill Sans MT" w:hAnsi="Gill Sans MT"/>
          <w:i/>
          <w:iCs/>
        </w:rPr>
        <w:t>Educational Researcher</w:t>
      </w:r>
      <w:r>
        <w:rPr>
          <w:rFonts w:ascii="Gill Sans MT" w:hAnsi="Gill Sans MT"/>
        </w:rPr>
        <w:t>, 35(2), 3-12.</w:t>
      </w:r>
    </w:p>
    <w:p w14:paraId="71FB80DE" w14:textId="77777777" w:rsidR="008816CD" w:rsidRPr="00133CC2" w:rsidRDefault="008816CD" w:rsidP="008816CD">
      <w:pPr>
        <w:spacing w:after="0"/>
        <w:rPr>
          <w:rFonts w:ascii="Gill Sans MT" w:hAnsi="Gill Sans MT"/>
        </w:rPr>
      </w:pPr>
      <w:r w:rsidRPr="00133CC2">
        <w:rPr>
          <w:rFonts w:ascii="Gill Sans MT" w:hAnsi="Gill Sans MT"/>
        </w:rPr>
        <w:t xml:space="preserve">Sen, A., 1993, Capability and Well-being, IN: Nussbaum, M., Sen, A., </w:t>
      </w:r>
      <w:r w:rsidRPr="00143372">
        <w:rPr>
          <w:rFonts w:ascii="Gill Sans MT" w:hAnsi="Gill Sans MT"/>
          <w:i/>
        </w:rPr>
        <w:t>The Quality of Life</w:t>
      </w:r>
      <w:r w:rsidRPr="00133CC2">
        <w:rPr>
          <w:rFonts w:ascii="Gill Sans MT" w:hAnsi="Gill Sans MT"/>
        </w:rPr>
        <w:t>, Oxford, Clarendon Press.</w:t>
      </w:r>
    </w:p>
    <w:p w14:paraId="588BAEE5" w14:textId="276AC383" w:rsidR="008816CD" w:rsidRDefault="008816CD" w:rsidP="008816CD">
      <w:pPr>
        <w:spacing w:after="0"/>
        <w:rPr>
          <w:rFonts w:ascii="Gill Sans MT" w:hAnsi="Gill Sans MT"/>
        </w:rPr>
      </w:pPr>
      <w:r w:rsidRPr="00B2012A">
        <w:rPr>
          <w:rFonts w:ascii="Gill Sans MT" w:hAnsi="Gill Sans MT"/>
        </w:rPr>
        <w:t xml:space="preserve">Serniclaes, W., van Heghe, S., Mousty, P., Carre, R., Sprenger-Charolles, L., 2004, Allopohonic mode of speech perception in dyslexia, </w:t>
      </w:r>
      <w:r w:rsidRPr="00B2012A">
        <w:rPr>
          <w:rFonts w:ascii="Gill Sans MT" w:hAnsi="Gill Sans MT"/>
          <w:i/>
        </w:rPr>
        <w:t>Journal of Experimental Child Psychology</w:t>
      </w:r>
      <w:r w:rsidRPr="00B2012A">
        <w:rPr>
          <w:rFonts w:ascii="Gill Sans MT" w:hAnsi="Gill Sans MT"/>
        </w:rPr>
        <w:t>, 87(4), 336-361.</w:t>
      </w:r>
    </w:p>
    <w:p w14:paraId="45DB3C7A" w14:textId="027168D8" w:rsidR="00451907" w:rsidRPr="00133CC2" w:rsidRDefault="00451907" w:rsidP="008816CD">
      <w:pPr>
        <w:spacing w:after="0"/>
        <w:rPr>
          <w:rFonts w:ascii="Gill Sans MT" w:hAnsi="Gill Sans MT"/>
        </w:rPr>
      </w:pPr>
      <w:r w:rsidRPr="00451907">
        <w:rPr>
          <w:rFonts w:ascii="Gill Sans MT" w:hAnsi="Gill Sans MT"/>
        </w:rPr>
        <w:t xml:space="preserve">Shaukat, A., Bashir, M., 2015, University students' academic confidence: Comparison between social sciences and natural science disciplines, </w:t>
      </w:r>
      <w:r w:rsidRPr="00451907">
        <w:rPr>
          <w:rFonts w:ascii="Gill Sans MT" w:hAnsi="Gill Sans MT"/>
          <w:i/>
          <w:iCs/>
        </w:rPr>
        <w:t>Journal of Elementary Education</w:t>
      </w:r>
      <w:r w:rsidRPr="00451907">
        <w:rPr>
          <w:rFonts w:ascii="Gill Sans MT" w:hAnsi="Gill Sans MT"/>
        </w:rPr>
        <w:t>, 25(2), 113-123.</w:t>
      </w:r>
    </w:p>
    <w:p w14:paraId="01C176EA" w14:textId="77777777" w:rsidR="008816CD" w:rsidRPr="00133CC2" w:rsidRDefault="008816CD" w:rsidP="008816CD">
      <w:pPr>
        <w:spacing w:after="0"/>
        <w:rPr>
          <w:rFonts w:ascii="Gill Sans MT" w:hAnsi="Gill Sans MT"/>
        </w:rPr>
      </w:pPr>
      <w:r w:rsidRPr="00133CC2">
        <w:rPr>
          <w:rFonts w:ascii="Gill Sans MT" w:hAnsi="Gill Sans MT"/>
        </w:rPr>
        <w:t xml:space="preserve">Shaw, S.C.K., Anderson, J.L., 2018, The experiences of medical students with dyslexia: An interpretative phenomenological study, </w:t>
      </w:r>
      <w:r w:rsidRPr="00143372">
        <w:rPr>
          <w:rFonts w:ascii="Gill Sans MT" w:hAnsi="Gill Sans MT"/>
          <w:i/>
        </w:rPr>
        <w:t>Dyslexia</w:t>
      </w:r>
      <w:r w:rsidRPr="00133CC2">
        <w:rPr>
          <w:rFonts w:ascii="Gill Sans MT" w:hAnsi="Gill Sans MT"/>
        </w:rPr>
        <w:t xml:space="preserve"> 24(3), 220-233.</w:t>
      </w:r>
    </w:p>
    <w:p w14:paraId="75FB9BD0" w14:textId="77777777" w:rsidR="008816CD" w:rsidRDefault="008816CD" w:rsidP="008816CD">
      <w:pPr>
        <w:spacing w:after="0"/>
        <w:rPr>
          <w:rFonts w:ascii="Gill Sans MT" w:hAnsi="Gill Sans MT"/>
        </w:rPr>
      </w:pPr>
      <w:r w:rsidRPr="00133CC2">
        <w:rPr>
          <w:rFonts w:ascii="Gill Sans MT" w:hAnsi="Gill Sans MT"/>
        </w:rPr>
        <w:t xml:space="preserve">Shaywitz, S.E., Fletcher, J.M., Holahan, J.M., Schneider, A.E., Marchione, K.E., Stuebing, K.K., Francis, D.J., Pugh, K.R., Shaywitz, B.A., 1999, Persistence of dyslexia: The Connecticut longitudinal study at adolescence, </w:t>
      </w:r>
      <w:r w:rsidRPr="00143372">
        <w:rPr>
          <w:rFonts w:ascii="Gill Sans MT" w:hAnsi="Gill Sans MT"/>
          <w:i/>
        </w:rPr>
        <w:t>P</w:t>
      </w:r>
      <w:r>
        <w:rPr>
          <w:rFonts w:ascii="Gill Sans MT" w:hAnsi="Gill Sans MT"/>
          <w:i/>
        </w:rPr>
        <w:t>a</w:t>
      </w:r>
      <w:r w:rsidRPr="00143372">
        <w:rPr>
          <w:rFonts w:ascii="Gill Sans MT" w:hAnsi="Gill Sans MT"/>
          <w:i/>
        </w:rPr>
        <w:t>ediatrics</w:t>
      </w:r>
      <w:r w:rsidRPr="00133CC2">
        <w:rPr>
          <w:rFonts w:ascii="Gill Sans MT" w:hAnsi="Gill Sans MT"/>
        </w:rPr>
        <w:t xml:space="preserve">, 104(6), 1351-1359. </w:t>
      </w:r>
    </w:p>
    <w:p w14:paraId="50956C3B" w14:textId="77777777" w:rsidR="008816CD" w:rsidRPr="00133CC2" w:rsidRDefault="008816CD" w:rsidP="008816CD">
      <w:pPr>
        <w:spacing w:after="0"/>
        <w:rPr>
          <w:rFonts w:ascii="Gill Sans MT" w:hAnsi="Gill Sans MT"/>
        </w:rPr>
      </w:pPr>
      <w:r w:rsidRPr="00133CC2">
        <w:rPr>
          <w:rFonts w:ascii="Gill Sans MT" w:hAnsi="Gill Sans MT"/>
        </w:rPr>
        <w:t xml:space="preserve">Shaywitz, S.E., Shaywitz, B.A., 2005, Dyslexia (Specific Reading Disability), </w:t>
      </w:r>
      <w:r w:rsidRPr="00143372">
        <w:rPr>
          <w:rFonts w:ascii="Gill Sans MT" w:hAnsi="Gill Sans MT"/>
          <w:i/>
        </w:rPr>
        <w:t>Biological Psychiatry</w:t>
      </w:r>
      <w:r w:rsidRPr="00133CC2">
        <w:rPr>
          <w:rFonts w:ascii="Gill Sans MT" w:hAnsi="Gill Sans MT"/>
        </w:rPr>
        <w:t xml:space="preserve">, 57(11), 1301-1309. </w:t>
      </w:r>
    </w:p>
    <w:p w14:paraId="0F65F2F8" w14:textId="77777777" w:rsidR="008816CD" w:rsidRPr="000A264B" w:rsidRDefault="008816CD" w:rsidP="008816CD">
      <w:pPr>
        <w:spacing w:after="0"/>
        <w:rPr>
          <w:rFonts w:ascii="Gill Sans MT" w:hAnsi="Gill Sans MT"/>
        </w:rPr>
      </w:pPr>
      <w:r>
        <w:rPr>
          <w:rFonts w:ascii="Gill Sans MT" w:hAnsi="Gill Sans MT"/>
        </w:rPr>
        <w:lastRenderedPageBreak/>
        <w:t xml:space="preserve">Shell, D.F., Murphy, C.C., Bruning, R.H., 1989, Self-efficacy and outcome expectancy mechanisms in reading and writing achievement, </w:t>
      </w:r>
      <w:r>
        <w:rPr>
          <w:rFonts w:ascii="Gill Sans MT" w:hAnsi="Gill Sans MT"/>
          <w:i/>
        </w:rPr>
        <w:t>Journal of Educational Psychology,</w:t>
      </w:r>
      <w:r>
        <w:rPr>
          <w:rFonts w:ascii="Gill Sans MT" w:hAnsi="Gill Sans MT"/>
        </w:rPr>
        <w:t xml:space="preserve"> 81(1), 91-100.</w:t>
      </w:r>
    </w:p>
    <w:p w14:paraId="5526DE46" w14:textId="77777777" w:rsidR="008816CD" w:rsidRPr="002A60FC" w:rsidRDefault="008816CD" w:rsidP="008816CD">
      <w:pPr>
        <w:spacing w:after="0"/>
        <w:rPr>
          <w:rFonts w:ascii="Gill Sans MT" w:hAnsi="Gill Sans MT"/>
        </w:rPr>
      </w:pPr>
      <w:r>
        <w:rPr>
          <w:rFonts w:ascii="Gill Sans MT" w:hAnsi="Gill Sans MT"/>
        </w:rPr>
        <w:t xml:space="preserve">Shields, C.A., Brawley, L.R., 2006, Preferring proxy-agency: impact on self-efficacy for exercise, </w:t>
      </w:r>
      <w:r>
        <w:rPr>
          <w:rFonts w:ascii="Gill Sans MT" w:hAnsi="Gill Sans MT"/>
          <w:i/>
        </w:rPr>
        <w:t>Journal of Health Psychology</w:t>
      </w:r>
      <w:r>
        <w:rPr>
          <w:rFonts w:ascii="Gill Sans MT" w:hAnsi="Gill Sans MT"/>
        </w:rPr>
        <w:t>, 11(6), 904-914.</w:t>
      </w:r>
    </w:p>
    <w:p w14:paraId="4F29F686" w14:textId="77777777" w:rsidR="008816CD" w:rsidRPr="00133CC2" w:rsidRDefault="008816CD" w:rsidP="008816CD">
      <w:pPr>
        <w:spacing w:after="0"/>
        <w:rPr>
          <w:rFonts w:ascii="Gill Sans MT" w:hAnsi="Gill Sans MT"/>
        </w:rPr>
      </w:pPr>
      <w:r w:rsidRPr="00133CC2">
        <w:rPr>
          <w:rFonts w:ascii="Gill Sans MT" w:hAnsi="Gill Sans MT"/>
        </w:rPr>
        <w:t xml:space="preserve">Shifrer, D., 2013, Stigma of a label: educational expectations for high school students labelled with learning disabilities, </w:t>
      </w:r>
      <w:r w:rsidRPr="00143372">
        <w:rPr>
          <w:rFonts w:ascii="Gill Sans MT" w:hAnsi="Gill Sans MT"/>
          <w:i/>
        </w:rPr>
        <w:t>Journal of Health and Social Behaviour</w:t>
      </w:r>
      <w:r w:rsidRPr="00133CC2">
        <w:rPr>
          <w:rFonts w:ascii="Gill Sans MT" w:hAnsi="Gill Sans MT"/>
        </w:rPr>
        <w:t>, 54(4), 462-480.</w:t>
      </w:r>
    </w:p>
    <w:p w14:paraId="17E35D61" w14:textId="5AED3EE0" w:rsidR="008816CD" w:rsidRDefault="008816CD" w:rsidP="008816CD">
      <w:pPr>
        <w:spacing w:after="0"/>
        <w:rPr>
          <w:rFonts w:ascii="Gill Sans MT" w:hAnsi="Gill Sans MT"/>
        </w:rPr>
      </w:pPr>
      <w:r w:rsidRPr="00133CC2">
        <w:rPr>
          <w:rFonts w:ascii="Gill Sans MT" w:hAnsi="Gill Sans MT"/>
        </w:rPr>
        <w:t xml:space="preserve">Shifrer, D., Callahan, R.M., Muller, C., 2013, Equity or marginalization? The high school course-taking of students labelled with a learning disability, </w:t>
      </w:r>
      <w:r w:rsidRPr="00143372">
        <w:rPr>
          <w:rFonts w:ascii="Gill Sans MT" w:hAnsi="Gill Sans MT"/>
          <w:i/>
        </w:rPr>
        <w:t>American Educational Research Journal</w:t>
      </w:r>
      <w:r w:rsidRPr="00133CC2">
        <w:rPr>
          <w:rFonts w:ascii="Gill Sans MT" w:hAnsi="Gill Sans MT"/>
        </w:rPr>
        <w:t>, 50(4), 656-682.</w:t>
      </w:r>
    </w:p>
    <w:p w14:paraId="5A91F45C" w14:textId="3461B016" w:rsidR="005F4E9E" w:rsidRPr="005F4E9E" w:rsidRDefault="005F4E9E" w:rsidP="008816CD">
      <w:pPr>
        <w:spacing w:after="0"/>
        <w:rPr>
          <w:rFonts w:ascii="Gill Sans MT" w:hAnsi="Gill Sans MT"/>
        </w:rPr>
      </w:pPr>
      <w:r>
        <w:rPr>
          <w:rFonts w:ascii="Gill Sans MT" w:hAnsi="Gill Sans MT"/>
        </w:rPr>
        <w:t xml:space="preserve">Shook, J., 2002, Dewey and Quine on the Logic of What There Is, IN: Burke, F.T., Hester, D.M., Talisse, R.B., (Eds), </w:t>
      </w:r>
      <w:r>
        <w:rPr>
          <w:rFonts w:ascii="Gill Sans MT" w:hAnsi="Gill Sans MT"/>
          <w:i/>
          <w:iCs/>
        </w:rPr>
        <w:t>Dewey's Logical Theory: New Studies and Interpretations</w:t>
      </w:r>
      <w:r>
        <w:rPr>
          <w:rFonts w:ascii="Gill Sans MT" w:hAnsi="Gill Sans MT"/>
        </w:rPr>
        <w:t>, Nashville, Vanderbilt University Press.</w:t>
      </w:r>
    </w:p>
    <w:p w14:paraId="08821EE5" w14:textId="77777777" w:rsidR="008816CD" w:rsidRPr="00133CC2" w:rsidRDefault="008816CD" w:rsidP="008816CD">
      <w:pPr>
        <w:spacing w:after="0"/>
        <w:rPr>
          <w:rFonts w:ascii="Gill Sans MT" w:hAnsi="Gill Sans MT"/>
        </w:rPr>
      </w:pPr>
      <w:r w:rsidRPr="006C7096">
        <w:rPr>
          <w:rFonts w:ascii="Gill Sans MT" w:hAnsi="Gill Sans MT"/>
        </w:rPr>
        <w:t xml:space="preserve">Shovman, M.M., Ahisser, M., 2006, Isolating the impact of visual perception on dyslexics' reading ability, </w:t>
      </w:r>
      <w:r w:rsidRPr="00B879FD">
        <w:rPr>
          <w:rFonts w:ascii="Gill Sans MT" w:hAnsi="Gill Sans MT"/>
          <w:i/>
        </w:rPr>
        <w:t>Vision Research</w:t>
      </w:r>
      <w:r w:rsidRPr="006C7096">
        <w:rPr>
          <w:rFonts w:ascii="Gill Sans MT" w:hAnsi="Gill Sans MT"/>
        </w:rPr>
        <w:t>, 46(20), 3514-3525.</w:t>
      </w:r>
    </w:p>
    <w:p w14:paraId="02E7E3B4" w14:textId="77777777" w:rsidR="008816CD" w:rsidRPr="00133CC2" w:rsidRDefault="008816CD" w:rsidP="008816CD">
      <w:pPr>
        <w:spacing w:after="0"/>
        <w:rPr>
          <w:rFonts w:ascii="Gill Sans MT" w:hAnsi="Gill Sans MT"/>
        </w:rPr>
      </w:pPr>
      <w:r w:rsidRPr="00133CC2">
        <w:rPr>
          <w:rFonts w:ascii="Gill Sans MT" w:hAnsi="Gill Sans MT"/>
        </w:rPr>
        <w:t>Siemens, G., 2005, Connectivism: a learning theory for the digital age</w:t>
      </w:r>
      <w:r w:rsidRPr="00143372">
        <w:rPr>
          <w:rFonts w:ascii="Gill Sans MT" w:hAnsi="Gill Sans MT"/>
          <w:i/>
        </w:rPr>
        <w:t>, International Journal of Instructional Technology and Distance Learning</w:t>
      </w:r>
      <w:r w:rsidRPr="00133CC2">
        <w:rPr>
          <w:rFonts w:ascii="Gill Sans MT" w:hAnsi="Gill Sans MT"/>
        </w:rPr>
        <w:t>, 2(1), 1-8.</w:t>
      </w:r>
    </w:p>
    <w:p w14:paraId="15171FD3" w14:textId="77777777" w:rsidR="008816CD" w:rsidRPr="00133CC2" w:rsidRDefault="008816CD" w:rsidP="008816CD">
      <w:pPr>
        <w:spacing w:after="0"/>
        <w:rPr>
          <w:rFonts w:ascii="Gill Sans MT" w:hAnsi="Gill Sans MT"/>
        </w:rPr>
      </w:pPr>
      <w:r w:rsidRPr="00133CC2">
        <w:rPr>
          <w:rFonts w:ascii="Gill Sans MT" w:hAnsi="Gill Sans MT"/>
        </w:rPr>
        <w:t xml:space="preserve">Simons, L., Athlean, J., Burgess, A., Herbert, L., Gibson, C., 2007, A socially inclusive approach to user participation in higher education, </w:t>
      </w:r>
      <w:r w:rsidRPr="00143372">
        <w:rPr>
          <w:rFonts w:ascii="Gill Sans MT" w:hAnsi="Gill Sans MT"/>
          <w:i/>
        </w:rPr>
        <w:t>Journal of Advanced Nursing</w:t>
      </w:r>
      <w:r w:rsidRPr="00133CC2">
        <w:rPr>
          <w:rFonts w:ascii="Gill Sans MT" w:hAnsi="Gill Sans MT"/>
        </w:rPr>
        <w:t xml:space="preserve">, 58(3), 246-255. </w:t>
      </w:r>
    </w:p>
    <w:p w14:paraId="332C944F" w14:textId="77777777" w:rsidR="008816CD" w:rsidRPr="00133CC2" w:rsidRDefault="008816CD" w:rsidP="008816CD">
      <w:pPr>
        <w:spacing w:after="0"/>
        <w:rPr>
          <w:rFonts w:ascii="Gill Sans MT" w:hAnsi="Gill Sans MT"/>
        </w:rPr>
      </w:pPr>
      <w:r w:rsidRPr="00133CC2">
        <w:rPr>
          <w:rFonts w:ascii="Gill Sans MT" w:hAnsi="Gill Sans MT"/>
        </w:rPr>
        <w:t xml:space="preserve">Simpson, O., 2005, The costs and benefits of student retention for students, institutions and governments, </w:t>
      </w:r>
      <w:r w:rsidRPr="00143372">
        <w:rPr>
          <w:rFonts w:ascii="Gill Sans MT" w:hAnsi="Gill Sans MT"/>
          <w:i/>
        </w:rPr>
        <w:t>Studies in Learning, Evaluation, Innovation and Development</w:t>
      </w:r>
      <w:r w:rsidRPr="00133CC2">
        <w:rPr>
          <w:rFonts w:ascii="Gill Sans MT" w:hAnsi="Gill Sans MT"/>
        </w:rPr>
        <w:t>, 2(3), 34-43.</w:t>
      </w:r>
    </w:p>
    <w:p w14:paraId="50425D16" w14:textId="77777777" w:rsidR="008816CD" w:rsidRDefault="008816CD" w:rsidP="008816CD">
      <w:pPr>
        <w:spacing w:after="0"/>
        <w:rPr>
          <w:rFonts w:ascii="Gill Sans MT" w:hAnsi="Gill Sans MT"/>
        </w:rPr>
      </w:pPr>
      <w:r w:rsidRPr="00133CC2">
        <w:rPr>
          <w:rFonts w:ascii="Gill Sans MT" w:hAnsi="Gill Sans MT"/>
        </w:rPr>
        <w:t xml:space="preserve">Sinden, L.M., 1999, Music performance anxiety: contributions of perfectionism, coping style, self-efficacy and self-esteem, ProQuest Information &amp; Learning Skinner, B.F., 1950, Are theories of learning necessary? </w:t>
      </w:r>
      <w:r w:rsidRPr="00143372">
        <w:rPr>
          <w:rFonts w:ascii="Gill Sans MT" w:hAnsi="Gill Sans MT"/>
          <w:i/>
        </w:rPr>
        <w:t>Psychological Review</w:t>
      </w:r>
      <w:r w:rsidRPr="00133CC2">
        <w:rPr>
          <w:rFonts w:ascii="Gill Sans MT" w:hAnsi="Gill Sans MT"/>
        </w:rPr>
        <w:t>, 57, 193-216.</w:t>
      </w:r>
    </w:p>
    <w:p w14:paraId="1CF9EC49" w14:textId="77777777" w:rsidR="008816CD" w:rsidRDefault="008816CD" w:rsidP="008816CD">
      <w:pPr>
        <w:spacing w:after="0"/>
        <w:rPr>
          <w:rFonts w:ascii="Gill Sans MT" w:hAnsi="Gill Sans MT"/>
        </w:rPr>
      </w:pPr>
      <w:r w:rsidRPr="00133CC2">
        <w:rPr>
          <w:rFonts w:ascii="Gill Sans MT" w:hAnsi="Gill Sans MT"/>
        </w:rPr>
        <w:t xml:space="preserve">Singleton, C., Horne, J., Simmons, F., 2009, Computerized screening for dyslexia in adults, </w:t>
      </w:r>
      <w:r w:rsidRPr="00143372">
        <w:rPr>
          <w:rFonts w:ascii="Gill Sans MT" w:hAnsi="Gill Sans MT"/>
          <w:i/>
        </w:rPr>
        <w:t>Journal of Research in Reading</w:t>
      </w:r>
      <w:r>
        <w:rPr>
          <w:rFonts w:ascii="Gill Sans MT" w:hAnsi="Gill Sans MT"/>
        </w:rPr>
        <w:t>, 32(1), 137-152.</w:t>
      </w:r>
    </w:p>
    <w:p w14:paraId="3AEA7773" w14:textId="77777777" w:rsidR="008816CD" w:rsidRPr="00133CC2" w:rsidRDefault="008816CD" w:rsidP="008816CD">
      <w:pPr>
        <w:spacing w:after="0"/>
        <w:rPr>
          <w:rFonts w:ascii="Gill Sans MT" w:hAnsi="Gill Sans MT"/>
        </w:rPr>
      </w:pPr>
      <w:r w:rsidRPr="00133CC2">
        <w:rPr>
          <w:rFonts w:ascii="Gill Sans MT" w:hAnsi="Gill Sans MT"/>
        </w:rPr>
        <w:t xml:space="preserve">Singleton, C., </w:t>
      </w:r>
      <w:r>
        <w:rPr>
          <w:rFonts w:ascii="Gill Sans MT" w:hAnsi="Gill Sans MT"/>
        </w:rPr>
        <w:t xml:space="preserve">Horne, J.K., </w:t>
      </w:r>
      <w:r w:rsidRPr="00133CC2">
        <w:rPr>
          <w:rFonts w:ascii="Gill Sans MT" w:hAnsi="Gill Sans MT"/>
        </w:rPr>
        <w:t xml:space="preserve">Thomas, K., 2002, </w:t>
      </w:r>
      <w:r w:rsidRPr="00143372">
        <w:rPr>
          <w:rFonts w:ascii="Gill Sans MT" w:hAnsi="Gill Sans MT"/>
          <w:i/>
        </w:rPr>
        <w:t>Lucid Adult Dyslexia Screening</w:t>
      </w:r>
      <w:r w:rsidRPr="00133CC2">
        <w:rPr>
          <w:rFonts w:ascii="Gill Sans MT" w:hAnsi="Gill Sans MT"/>
        </w:rPr>
        <w:t>, Beverley, Lucid Innovations Ltd.</w:t>
      </w:r>
    </w:p>
    <w:p w14:paraId="4FF542D4" w14:textId="77777777" w:rsidR="008816CD" w:rsidRPr="00133CC2" w:rsidRDefault="008816CD" w:rsidP="008816CD">
      <w:pPr>
        <w:spacing w:after="0"/>
        <w:rPr>
          <w:rFonts w:ascii="Gill Sans MT" w:hAnsi="Gill Sans MT"/>
        </w:rPr>
      </w:pPr>
      <w:r w:rsidRPr="00133CC2">
        <w:rPr>
          <w:rFonts w:ascii="Gill Sans MT" w:hAnsi="Gill Sans MT"/>
        </w:rPr>
        <w:t>Singleton, C., Trotter, S., 2005, Visual stress in adults with and without dyslexia</w:t>
      </w:r>
      <w:r w:rsidRPr="00143372">
        <w:rPr>
          <w:rFonts w:ascii="Gill Sans MT" w:hAnsi="Gill Sans MT"/>
          <w:i/>
        </w:rPr>
        <w:t>, Journal of Research in Reading</w:t>
      </w:r>
      <w:r w:rsidRPr="00133CC2">
        <w:rPr>
          <w:rFonts w:ascii="Gill Sans MT" w:hAnsi="Gill Sans MT"/>
        </w:rPr>
        <w:t xml:space="preserve">, 28(3), 365-378. </w:t>
      </w:r>
    </w:p>
    <w:p w14:paraId="0F11A6DF" w14:textId="77777777" w:rsidR="008816CD" w:rsidRDefault="008816CD" w:rsidP="008816CD">
      <w:pPr>
        <w:spacing w:after="0"/>
        <w:rPr>
          <w:rFonts w:ascii="Gill Sans MT" w:hAnsi="Gill Sans MT"/>
        </w:rPr>
      </w:pPr>
      <w:r>
        <w:rPr>
          <w:rFonts w:ascii="Gill Sans MT" w:hAnsi="Gill Sans MT"/>
        </w:rPr>
        <w:t xml:space="preserve">Singleton, C.H., 1999, </w:t>
      </w:r>
      <w:r w:rsidRPr="00E24F76">
        <w:rPr>
          <w:rFonts w:ascii="Gill Sans MT" w:hAnsi="Gill Sans MT"/>
          <w:i/>
        </w:rPr>
        <w:t>Dyslexia in Higher Education: Provision and practice,</w:t>
      </w:r>
      <w:r>
        <w:rPr>
          <w:rFonts w:ascii="Gill Sans MT" w:hAnsi="Gill Sans MT"/>
        </w:rPr>
        <w:t xml:space="preserve"> </w:t>
      </w:r>
      <w:r>
        <w:rPr>
          <w:rFonts w:ascii="Gill Sans MT" w:hAnsi="Gill Sans MT"/>
          <w:i/>
        </w:rPr>
        <w:t>Report of the National Working Party on Dyslexia in Higher Education</w:t>
      </w:r>
      <w:r>
        <w:rPr>
          <w:rFonts w:ascii="Gill Sans MT" w:hAnsi="Gill Sans MT"/>
        </w:rPr>
        <w:t>, Hull (University of Hull), HEFCE</w:t>
      </w:r>
    </w:p>
    <w:p w14:paraId="333B630C" w14:textId="77777777" w:rsidR="008816CD" w:rsidRPr="000B3FBF" w:rsidRDefault="008816CD" w:rsidP="008816CD">
      <w:pPr>
        <w:spacing w:after="0"/>
        <w:rPr>
          <w:rFonts w:ascii="Gill Sans MT" w:hAnsi="Gill Sans MT"/>
        </w:rPr>
      </w:pPr>
      <w:r>
        <w:rPr>
          <w:rFonts w:ascii="Gill Sans MT" w:hAnsi="Gill Sans MT"/>
        </w:rPr>
        <w:t xml:space="preserve">Singleton, C.H., Aisbitt, J., 2001, A follow-up of the national working party survey of dyslexia provision in UK universities, In: </w:t>
      </w:r>
      <w:r>
        <w:rPr>
          <w:rFonts w:ascii="Gill Sans MT" w:hAnsi="Gill Sans MT"/>
          <w:i/>
        </w:rPr>
        <w:t>Proceedings of the 5</w:t>
      </w:r>
      <w:r w:rsidRPr="000B3FBF">
        <w:rPr>
          <w:rFonts w:ascii="Gill Sans MT" w:hAnsi="Gill Sans MT"/>
          <w:i/>
          <w:vertAlign w:val="superscript"/>
        </w:rPr>
        <w:t>th</w:t>
      </w:r>
      <w:r>
        <w:rPr>
          <w:rFonts w:ascii="Gill Sans MT" w:hAnsi="Gill Sans MT"/>
          <w:i/>
        </w:rPr>
        <w:t xml:space="preserve"> British Dyslexia Association International Conference</w:t>
      </w:r>
      <w:r>
        <w:rPr>
          <w:rFonts w:ascii="Gill Sans MT" w:hAnsi="Gill Sans MT"/>
        </w:rPr>
        <w:t>, University of York.</w:t>
      </w:r>
    </w:p>
    <w:p w14:paraId="08539961" w14:textId="77777777" w:rsidR="008816CD" w:rsidRDefault="008816CD" w:rsidP="008816CD">
      <w:pPr>
        <w:spacing w:before="240" w:after="0"/>
        <w:rPr>
          <w:rFonts w:ascii="Gill Sans MT" w:hAnsi="Gill Sans MT"/>
        </w:rPr>
      </w:pPr>
      <w:r w:rsidRPr="00A91B06">
        <w:rPr>
          <w:rFonts w:ascii="Gill Sans MT" w:hAnsi="Gill Sans MT"/>
        </w:rPr>
        <w:t xml:space="preserve">Singson, M., Mahoney, D., Mann, V., 2000, The relation between reading ability and morphological skills. Evidence from derivational suffixes, </w:t>
      </w:r>
      <w:r w:rsidRPr="00A91B06">
        <w:rPr>
          <w:rFonts w:ascii="Gill Sans MT" w:hAnsi="Gill Sans MT"/>
          <w:i/>
        </w:rPr>
        <w:t>Reading and Writing</w:t>
      </w:r>
      <w:r w:rsidRPr="00A91B06">
        <w:rPr>
          <w:rFonts w:ascii="Gill Sans MT" w:hAnsi="Gill Sans MT"/>
        </w:rPr>
        <w:t>, 12(3), 219-252.</w:t>
      </w:r>
    </w:p>
    <w:p w14:paraId="0A2FE5CC" w14:textId="77777777" w:rsidR="008816CD" w:rsidRPr="00745075" w:rsidRDefault="008816CD" w:rsidP="008816CD">
      <w:pPr>
        <w:spacing w:before="240" w:after="0"/>
        <w:rPr>
          <w:rFonts w:ascii="Gill Sans MT" w:hAnsi="Gill Sans MT"/>
        </w:rPr>
      </w:pPr>
      <w:r>
        <w:rPr>
          <w:rFonts w:ascii="Gill Sans MT" w:hAnsi="Gill Sans MT"/>
        </w:rPr>
        <w:t xml:space="preserve">Skaalvik, E.M., Skaalvik, S., 2002, Internal and external frames of reference for academic self-concept, </w:t>
      </w:r>
      <w:r>
        <w:rPr>
          <w:rFonts w:ascii="Gill Sans MT" w:hAnsi="Gill Sans MT"/>
          <w:i/>
        </w:rPr>
        <w:t>Educational Psychologist</w:t>
      </w:r>
      <w:r>
        <w:rPr>
          <w:rFonts w:ascii="Gill Sans MT" w:hAnsi="Gill Sans MT"/>
        </w:rPr>
        <w:t>, 37(4), 233-244.</w:t>
      </w:r>
    </w:p>
    <w:p w14:paraId="6A8F887E" w14:textId="77777777" w:rsidR="008816CD" w:rsidRDefault="008816CD" w:rsidP="008816CD">
      <w:pPr>
        <w:spacing w:after="0"/>
        <w:rPr>
          <w:rFonts w:ascii="Gill Sans MT" w:hAnsi="Gill Sans MT"/>
        </w:rPr>
      </w:pPr>
      <w:r w:rsidRPr="00133CC2">
        <w:rPr>
          <w:rFonts w:ascii="Gill Sans MT" w:hAnsi="Gill Sans MT"/>
        </w:rPr>
        <w:t xml:space="preserve">Skinner, B.F., 1953, </w:t>
      </w:r>
      <w:r w:rsidRPr="00143372">
        <w:rPr>
          <w:rFonts w:ascii="Gill Sans MT" w:hAnsi="Gill Sans MT"/>
          <w:i/>
        </w:rPr>
        <w:t>Science and human behaviour</w:t>
      </w:r>
      <w:r w:rsidRPr="00133CC2">
        <w:rPr>
          <w:rFonts w:ascii="Gill Sans MT" w:hAnsi="Gill Sans MT"/>
        </w:rPr>
        <w:t>, New York, The Free Press.</w:t>
      </w:r>
    </w:p>
    <w:p w14:paraId="1F742B42" w14:textId="77777777" w:rsidR="008816CD" w:rsidRPr="00D1291C" w:rsidRDefault="008816CD" w:rsidP="008816CD">
      <w:pPr>
        <w:spacing w:after="0"/>
        <w:rPr>
          <w:rFonts w:ascii="Gill Sans MT" w:hAnsi="Gill Sans MT"/>
        </w:rPr>
      </w:pPr>
      <w:r>
        <w:rPr>
          <w:rFonts w:ascii="Gill Sans MT" w:hAnsi="Gill Sans MT"/>
        </w:rPr>
        <w:lastRenderedPageBreak/>
        <w:t xml:space="preserve">Smailes, J., Gannon-Leary, P., 2011, Peer-mentoring in assisting retention – is a virtual form of support a viable alternative? </w:t>
      </w:r>
      <w:r>
        <w:rPr>
          <w:rFonts w:ascii="Gill Sans MT" w:hAnsi="Gill Sans MT"/>
          <w:i/>
        </w:rPr>
        <w:t>ALT Journal: Research in Learning Technology</w:t>
      </w:r>
      <w:r>
        <w:rPr>
          <w:rFonts w:ascii="Gill Sans MT" w:hAnsi="Gill Sans MT"/>
        </w:rPr>
        <w:t>, 19(2), 129-142.</w:t>
      </w:r>
    </w:p>
    <w:p w14:paraId="46AC4284" w14:textId="77777777" w:rsidR="008816CD" w:rsidRDefault="008816CD" w:rsidP="008816CD">
      <w:pPr>
        <w:spacing w:after="0"/>
        <w:rPr>
          <w:rFonts w:ascii="Gill Sans MT" w:hAnsi="Gill Sans MT"/>
        </w:rPr>
      </w:pPr>
      <w:r w:rsidRPr="00133CC2">
        <w:rPr>
          <w:rFonts w:ascii="Gill Sans MT" w:hAnsi="Gill Sans MT"/>
        </w:rPr>
        <w:t xml:space="preserve">Smith, G.T., 2005, On construct validity: issues of method and measurement, </w:t>
      </w:r>
      <w:r w:rsidRPr="00143372">
        <w:rPr>
          <w:rFonts w:ascii="Gill Sans MT" w:hAnsi="Gill Sans MT"/>
          <w:i/>
        </w:rPr>
        <w:t>Psychological Assessment</w:t>
      </w:r>
      <w:r w:rsidRPr="00133CC2">
        <w:rPr>
          <w:rFonts w:ascii="Gill Sans MT" w:hAnsi="Gill Sans MT"/>
        </w:rPr>
        <w:t xml:space="preserve">, 17(4), 396-408. </w:t>
      </w:r>
    </w:p>
    <w:p w14:paraId="59809CFD" w14:textId="77777777" w:rsidR="008816CD" w:rsidRPr="00B03183" w:rsidRDefault="008816CD" w:rsidP="008816CD">
      <w:pPr>
        <w:spacing w:after="0"/>
        <w:rPr>
          <w:rFonts w:ascii="Gill Sans MT" w:hAnsi="Gill Sans MT"/>
        </w:rPr>
      </w:pPr>
      <w:r>
        <w:rPr>
          <w:rFonts w:ascii="Gill Sans MT" w:hAnsi="Gill Sans MT"/>
        </w:rPr>
        <w:t xml:space="preserve">Smith, I., 2003, Homework and coaching, IN: Reeves, J.P., Watanabe, R., Maclean, R., Power, C.N., Baker, R., Gopinathan, S., Ho, W.K., Yin, CC., Tuijnman, A.C., (eds), </w:t>
      </w:r>
      <w:r>
        <w:rPr>
          <w:rFonts w:ascii="Gill Sans MT" w:hAnsi="Gill Sans MT"/>
          <w:i/>
        </w:rPr>
        <w:t>International Handbook of Educational Research in the Asia-Pacific Region</w:t>
      </w:r>
      <w:r>
        <w:rPr>
          <w:rFonts w:ascii="Gill Sans MT" w:hAnsi="Gill Sans MT"/>
        </w:rPr>
        <w:t>, Spinger, Dordrecht.</w:t>
      </w:r>
    </w:p>
    <w:p w14:paraId="36138A5A" w14:textId="77777777" w:rsidR="008816CD" w:rsidRPr="00CB1197" w:rsidRDefault="008816CD" w:rsidP="008816CD">
      <w:pPr>
        <w:spacing w:after="0"/>
        <w:rPr>
          <w:rFonts w:ascii="Gill Sans MT" w:hAnsi="Gill Sans MT"/>
        </w:rPr>
      </w:pPr>
      <w:r>
        <w:rPr>
          <w:rFonts w:ascii="Gill Sans MT" w:hAnsi="Gill Sans MT"/>
        </w:rPr>
        <w:t>Smith, J., 2002, Learning styles: fashion fad or lever for change? The application of learning styles theory to inclusive curriculum delivery,</w:t>
      </w:r>
      <w:r>
        <w:rPr>
          <w:rFonts w:ascii="Gill Sans MT" w:hAnsi="Gill Sans MT"/>
          <w:i/>
        </w:rPr>
        <w:t xml:space="preserve"> Innovations in Education and Teaching International</w:t>
      </w:r>
      <w:r>
        <w:rPr>
          <w:rFonts w:ascii="Gill Sans MT" w:hAnsi="Gill Sans MT"/>
        </w:rPr>
        <w:t>, 39(1), 63-70.</w:t>
      </w:r>
    </w:p>
    <w:p w14:paraId="26AF5C83" w14:textId="77777777" w:rsidR="008816CD" w:rsidRPr="00BC3B72" w:rsidRDefault="008816CD" w:rsidP="008816CD">
      <w:pPr>
        <w:spacing w:after="0"/>
        <w:rPr>
          <w:rFonts w:ascii="Gill Sans MT" w:hAnsi="Gill Sans MT"/>
        </w:rPr>
      </w:pPr>
      <w:r>
        <w:rPr>
          <w:rFonts w:ascii="Gill Sans MT" w:hAnsi="Gill Sans MT"/>
        </w:rPr>
        <w:t xml:space="preserve">Smith, J.A., Flowers, P., Larkin, M., 2009, </w:t>
      </w:r>
      <w:r>
        <w:rPr>
          <w:rFonts w:ascii="Gill Sans MT" w:hAnsi="Gill Sans MT"/>
          <w:i/>
        </w:rPr>
        <w:t>Interpretative Phenomenological Analysis: theory, method and research</w:t>
      </w:r>
      <w:r>
        <w:rPr>
          <w:rFonts w:ascii="Gill Sans MT" w:hAnsi="Gill Sans MT"/>
        </w:rPr>
        <w:t>, Los Angeles, Sage.</w:t>
      </w:r>
    </w:p>
    <w:p w14:paraId="307CE1CF" w14:textId="77777777" w:rsidR="008816CD" w:rsidRDefault="008816CD" w:rsidP="008816CD">
      <w:pPr>
        <w:spacing w:after="0"/>
        <w:rPr>
          <w:rFonts w:ascii="Gill Sans MT" w:hAnsi="Gill Sans MT"/>
        </w:rPr>
      </w:pPr>
      <w:r w:rsidRPr="00133CC2">
        <w:rPr>
          <w:rFonts w:ascii="Gill Sans MT" w:hAnsi="Gill Sans MT"/>
        </w:rPr>
        <w:t xml:space="preserve">Smith, M.S., 2000, Redefining success in mathematics teaching and learning, </w:t>
      </w:r>
      <w:r w:rsidRPr="00143372">
        <w:rPr>
          <w:rFonts w:ascii="Gill Sans MT" w:hAnsi="Gill Sans MT"/>
          <w:i/>
        </w:rPr>
        <w:t>Mathematics Teaching in the Middle School</w:t>
      </w:r>
      <w:r w:rsidRPr="00133CC2">
        <w:rPr>
          <w:rFonts w:ascii="Gill Sans MT" w:hAnsi="Gill Sans MT"/>
        </w:rPr>
        <w:t>, 5(6), 378-386.</w:t>
      </w:r>
    </w:p>
    <w:p w14:paraId="41EFA255" w14:textId="77777777" w:rsidR="008816CD" w:rsidRPr="00133CC2" w:rsidRDefault="008816CD" w:rsidP="008816CD">
      <w:pPr>
        <w:spacing w:after="0"/>
        <w:rPr>
          <w:rFonts w:ascii="Gill Sans MT" w:hAnsi="Gill Sans MT"/>
        </w:rPr>
      </w:pPr>
      <w:r w:rsidRPr="00133CC2">
        <w:rPr>
          <w:rFonts w:ascii="Gill Sans MT" w:hAnsi="Gill Sans MT"/>
        </w:rPr>
        <w:t xml:space="preserve">Smith, P.A., Hoy, W.K., 2007, Academic optimism and student achievement in urban elementary schools, </w:t>
      </w:r>
      <w:r w:rsidRPr="00143372">
        <w:rPr>
          <w:rFonts w:ascii="Gill Sans MT" w:hAnsi="Gill Sans MT"/>
          <w:i/>
        </w:rPr>
        <w:t>Journal of Educational Administration</w:t>
      </w:r>
      <w:r w:rsidRPr="00133CC2">
        <w:rPr>
          <w:rFonts w:ascii="Gill Sans MT" w:hAnsi="Gill Sans MT"/>
        </w:rPr>
        <w:t>, 45(5), 556-568.</w:t>
      </w:r>
    </w:p>
    <w:p w14:paraId="21337272" w14:textId="77777777" w:rsidR="008816CD" w:rsidRDefault="008816CD" w:rsidP="008816CD">
      <w:pPr>
        <w:spacing w:after="0"/>
        <w:rPr>
          <w:rFonts w:ascii="Gill Sans MT" w:hAnsi="Gill Sans MT"/>
        </w:rPr>
      </w:pPr>
      <w:r w:rsidRPr="00133CC2">
        <w:rPr>
          <w:rFonts w:ascii="Gill Sans MT" w:hAnsi="Gill Sans MT"/>
        </w:rPr>
        <w:t xml:space="preserve">Smythe, I., 2011, Dyslexia, </w:t>
      </w:r>
      <w:r w:rsidRPr="00143372">
        <w:rPr>
          <w:rFonts w:ascii="Gill Sans MT" w:hAnsi="Gill Sans MT"/>
          <w:i/>
        </w:rPr>
        <w:t>British Journal of Hospital Medicine</w:t>
      </w:r>
      <w:r w:rsidRPr="00133CC2">
        <w:rPr>
          <w:rFonts w:ascii="Gill Sans MT" w:hAnsi="Gill Sans MT"/>
        </w:rPr>
        <w:t xml:space="preserve">, 72(1), 39-42. </w:t>
      </w:r>
    </w:p>
    <w:p w14:paraId="4DBA318A" w14:textId="77777777" w:rsidR="008816CD" w:rsidRPr="00133CC2" w:rsidRDefault="008816CD" w:rsidP="008816CD">
      <w:pPr>
        <w:spacing w:after="0"/>
        <w:rPr>
          <w:rFonts w:ascii="Gill Sans MT" w:hAnsi="Gill Sans MT"/>
        </w:rPr>
      </w:pPr>
      <w:r w:rsidRPr="000C3BAF">
        <w:rPr>
          <w:rFonts w:ascii="Gill Sans MT" w:hAnsi="Gill Sans MT"/>
        </w:rPr>
        <w:t xml:space="preserve">Snowling, M., 1998, Dyslexia as a phonological deficit: evidence and implications, </w:t>
      </w:r>
      <w:r w:rsidRPr="000C3BAF">
        <w:rPr>
          <w:rFonts w:ascii="Gill Sans MT" w:hAnsi="Gill Sans MT"/>
          <w:i/>
        </w:rPr>
        <w:t>Child Psychology and Psychiatry Review</w:t>
      </w:r>
      <w:r w:rsidRPr="000C3BAF">
        <w:rPr>
          <w:rFonts w:ascii="Gill Sans MT" w:hAnsi="Gill Sans MT"/>
        </w:rPr>
        <w:t>, 3(1), 4-11.</w:t>
      </w:r>
    </w:p>
    <w:p w14:paraId="7B0B68D3" w14:textId="77777777" w:rsidR="008816CD" w:rsidRPr="00133CC2" w:rsidRDefault="008816CD" w:rsidP="008816CD">
      <w:pPr>
        <w:spacing w:after="0"/>
        <w:rPr>
          <w:rFonts w:ascii="Gill Sans MT" w:hAnsi="Gill Sans MT"/>
        </w:rPr>
      </w:pPr>
      <w:r w:rsidRPr="00133CC2">
        <w:rPr>
          <w:rFonts w:ascii="Gill Sans MT" w:hAnsi="Gill Sans MT"/>
        </w:rPr>
        <w:t xml:space="preserve">Snowling, M., 2002, </w:t>
      </w:r>
      <w:r w:rsidRPr="00143372">
        <w:rPr>
          <w:rFonts w:ascii="Gill Sans MT" w:hAnsi="Gill Sans MT"/>
          <w:i/>
        </w:rPr>
        <w:t>Dyslexia (2nd edn)</w:t>
      </w:r>
      <w:r w:rsidRPr="00133CC2">
        <w:rPr>
          <w:rFonts w:ascii="Gill Sans MT" w:hAnsi="Gill Sans MT"/>
        </w:rPr>
        <w:t>, Oxford, Blackwell.</w:t>
      </w:r>
    </w:p>
    <w:p w14:paraId="7FC163DB" w14:textId="77777777" w:rsidR="008816CD" w:rsidRPr="00133CC2" w:rsidRDefault="008816CD" w:rsidP="008816CD">
      <w:pPr>
        <w:spacing w:after="0"/>
        <w:rPr>
          <w:rFonts w:ascii="Gill Sans MT" w:hAnsi="Gill Sans MT"/>
        </w:rPr>
      </w:pPr>
      <w:r w:rsidRPr="00133CC2">
        <w:rPr>
          <w:rFonts w:ascii="Gill Sans MT" w:hAnsi="Gill Sans MT"/>
        </w:rPr>
        <w:t xml:space="preserve">Snowling, M.J., 2012, Changing concepts of dyslexia: nature, treatment and comorbidity, </w:t>
      </w:r>
      <w:r w:rsidRPr="00143372">
        <w:rPr>
          <w:rFonts w:ascii="Gill Sans MT" w:hAnsi="Gill Sans MT"/>
          <w:i/>
        </w:rPr>
        <w:t>The Journal of Child Psychology and Psychiatry</w:t>
      </w:r>
      <w:r w:rsidRPr="00133CC2">
        <w:rPr>
          <w:rFonts w:ascii="Gill Sans MT" w:hAnsi="Gill Sans MT"/>
        </w:rPr>
        <w:t>, 53(9), e1-e3.</w:t>
      </w:r>
    </w:p>
    <w:p w14:paraId="3920B67B" w14:textId="77777777" w:rsidR="008816CD" w:rsidRPr="00133CC2" w:rsidRDefault="008816CD" w:rsidP="008816CD">
      <w:pPr>
        <w:spacing w:after="0"/>
        <w:rPr>
          <w:rFonts w:ascii="Gill Sans MT" w:hAnsi="Gill Sans MT"/>
        </w:rPr>
      </w:pPr>
      <w:r w:rsidRPr="00133CC2">
        <w:rPr>
          <w:rFonts w:ascii="Gill Sans MT" w:hAnsi="Gill Sans MT"/>
        </w:rPr>
        <w:t xml:space="preserve">Snowling, M.J., Dawes, P., Nash, H., Hulme, C., 2012, Validity of a protocol for adult self-report of dyslexia and related difficulties, </w:t>
      </w:r>
      <w:r w:rsidRPr="00143372">
        <w:rPr>
          <w:rFonts w:ascii="Gill Sans MT" w:hAnsi="Gill Sans MT"/>
          <w:i/>
        </w:rPr>
        <w:t>Dyslexia</w:t>
      </w:r>
      <w:r w:rsidRPr="00133CC2">
        <w:rPr>
          <w:rFonts w:ascii="Gill Sans MT" w:hAnsi="Gill Sans MT"/>
        </w:rPr>
        <w:t xml:space="preserve">, 18, 1-15. </w:t>
      </w:r>
    </w:p>
    <w:p w14:paraId="37055225" w14:textId="77777777" w:rsidR="008816CD" w:rsidRPr="00133CC2" w:rsidRDefault="008816CD" w:rsidP="008816CD">
      <w:pPr>
        <w:spacing w:after="0"/>
        <w:rPr>
          <w:rFonts w:ascii="Gill Sans MT" w:hAnsi="Gill Sans MT"/>
        </w:rPr>
      </w:pPr>
      <w:r w:rsidRPr="00133CC2">
        <w:rPr>
          <w:rFonts w:ascii="Gill Sans MT" w:hAnsi="Gill Sans MT"/>
        </w:rPr>
        <w:t xml:space="preserve">Snowling, M.J., Muter, V., Carroll, J., 2007, Children at family risk of dyslexia: a follow-up in early adolescence, </w:t>
      </w:r>
      <w:r w:rsidRPr="00143372">
        <w:rPr>
          <w:rFonts w:ascii="Gill Sans MT" w:hAnsi="Gill Sans MT"/>
          <w:i/>
        </w:rPr>
        <w:t>Journal of Child Psychology and Psychiatry</w:t>
      </w:r>
      <w:r w:rsidRPr="00133CC2">
        <w:rPr>
          <w:rFonts w:ascii="Gill Sans MT" w:hAnsi="Gill Sans MT"/>
        </w:rPr>
        <w:t>, 48(6), 609-618.</w:t>
      </w:r>
    </w:p>
    <w:p w14:paraId="622D1787" w14:textId="77777777" w:rsidR="008816CD" w:rsidRPr="00133CC2" w:rsidRDefault="008816CD" w:rsidP="008816CD">
      <w:pPr>
        <w:spacing w:after="0"/>
        <w:rPr>
          <w:rFonts w:ascii="Gill Sans MT" w:hAnsi="Gill Sans MT"/>
        </w:rPr>
      </w:pPr>
      <w:r w:rsidRPr="00133CC2">
        <w:rPr>
          <w:rFonts w:ascii="Gill Sans MT" w:hAnsi="Gill Sans MT"/>
        </w:rPr>
        <w:t xml:space="preserve">Son, V., Jackson, B., Grove, J.R., Feltz, D.L., 2011, "I am" versus "we are": Effects of distinctive varients of self-talk on efficacy beliefs and motor performance, </w:t>
      </w:r>
      <w:r w:rsidRPr="00143372">
        <w:rPr>
          <w:rFonts w:ascii="Gill Sans MT" w:hAnsi="Gill Sans MT"/>
          <w:i/>
        </w:rPr>
        <w:t>Journal of Sports Sciences</w:t>
      </w:r>
      <w:r w:rsidRPr="00133CC2">
        <w:rPr>
          <w:rFonts w:ascii="Gill Sans MT" w:hAnsi="Gill Sans MT"/>
        </w:rPr>
        <w:t>, 29(13), 1417-1424.</w:t>
      </w:r>
    </w:p>
    <w:p w14:paraId="76EC77D2" w14:textId="69648209" w:rsidR="008816CD" w:rsidRDefault="008816CD" w:rsidP="008816CD">
      <w:pPr>
        <w:spacing w:after="0"/>
        <w:rPr>
          <w:rFonts w:ascii="Gill Sans MT" w:hAnsi="Gill Sans MT"/>
        </w:rPr>
      </w:pPr>
      <w:r w:rsidRPr="00133CC2">
        <w:rPr>
          <w:rFonts w:ascii="Gill Sans MT" w:hAnsi="Gill Sans MT"/>
        </w:rPr>
        <w:t xml:space="preserve">Soriano-Ferrer, M., Echegaray-Bengoa, J.A., 2014, A scale of knowledge and beliefs about developmental dyslexia: scale development and validation, </w:t>
      </w:r>
      <w:r w:rsidRPr="00143372">
        <w:rPr>
          <w:rFonts w:ascii="Gill Sans MT" w:hAnsi="Gill Sans MT"/>
          <w:i/>
        </w:rPr>
        <w:t>Procedia-Social and Behavioral Sciences</w:t>
      </w:r>
      <w:r w:rsidRPr="00133CC2">
        <w:rPr>
          <w:rFonts w:ascii="Gill Sans MT" w:hAnsi="Gill Sans MT"/>
        </w:rPr>
        <w:t>, 132, 203-208.</w:t>
      </w:r>
    </w:p>
    <w:p w14:paraId="4FDD8B37" w14:textId="4EE17E83" w:rsidR="0027014C" w:rsidRPr="0027014C" w:rsidRDefault="0027014C" w:rsidP="008816CD">
      <w:pPr>
        <w:spacing w:after="0"/>
        <w:rPr>
          <w:rFonts w:ascii="Gill Sans MT" w:hAnsi="Gill Sans MT"/>
        </w:rPr>
      </w:pPr>
      <w:r>
        <w:rPr>
          <w:rFonts w:ascii="Gill Sans MT" w:hAnsi="Gill Sans MT"/>
        </w:rPr>
        <w:t xml:space="preserve">Spanoudis, G.C., Papadopoulos, T.C., Spyrou, S., 2019, Specific language impairment and reading disability: categorical distinction or continuum? </w:t>
      </w:r>
      <w:r>
        <w:rPr>
          <w:rFonts w:ascii="Gill Sans MT" w:hAnsi="Gill Sans MT"/>
          <w:i/>
          <w:iCs/>
        </w:rPr>
        <w:t>Journal of Learning Disabilities</w:t>
      </w:r>
      <w:r>
        <w:rPr>
          <w:rFonts w:ascii="Gill Sans MT" w:hAnsi="Gill Sans MT"/>
        </w:rPr>
        <w:t>, 52(1), 3-19.</w:t>
      </w:r>
    </w:p>
    <w:p w14:paraId="68BDB510" w14:textId="77777777" w:rsidR="008816CD" w:rsidRPr="00133CC2" w:rsidRDefault="008816CD" w:rsidP="008816CD">
      <w:pPr>
        <w:spacing w:before="240" w:after="0"/>
        <w:rPr>
          <w:rFonts w:ascii="Gill Sans MT" w:hAnsi="Gill Sans MT"/>
        </w:rPr>
      </w:pPr>
      <w:r w:rsidRPr="00545EAB">
        <w:rPr>
          <w:rFonts w:ascii="Gill Sans MT" w:hAnsi="Gill Sans MT"/>
        </w:rPr>
        <w:t xml:space="preserve">Spector, J.M., 2014, Conceptualizing the emerging field of smart learning environments, </w:t>
      </w:r>
      <w:r w:rsidRPr="00E07025">
        <w:rPr>
          <w:rFonts w:ascii="Gill Sans MT" w:hAnsi="Gill Sans MT"/>
          <w:i/>
        </w:rPr>
        <w:t>Smart Learning Environments</w:t>
      </w:r>
      <w:r w:rsidRPr="00545EAB">
        <w:rPr>
          <w:rFonts w:ascii="Gill Sans MT" w:hAnsi="Gill Sans MT"/>
        </w:rPr>
        <w:t>, 1(2), 1-10.</w:t>
      </w:r>
    </w:p>
    <w:p w14:paraId="50D817BB" w14:textId="77777777" w:rsidR="008816CD" w:rsidRDefault="008816CD" w:rsidP="008816CD">
      <w:pPr>
        <w:spacing w:after="0"/>
        <w:rPr>
          <w:rFonts w:ascii="Gill Sans MT" w:hAnsi="Gill Sans MT"/>
        </w:rPr>
      </w:pPr>
      <w:r w:rsidRPr="00133CC2">
        <w:rPr>
          <w:rFonts w:ascii="Gill Sans MT" w:hAnsi="Gill Sans MT"/>
        </w:rPr>
        <w:t xml:space="preserve">Stajkovic, A.D., Luthans, F., 1998, Social cognitive theory and self-efficacy: going beyond traditional motivational and behavioural approaches, </w:t>
      </w:r>
      <w:r w:rsidRPr="00143372">
        <w:rPr>
          <w:rFonts w:ascii="Gill Sans MT" w:hAnsi="Gill Sans MT"/>
          <w:i/>
        </w:rPr>
        <w:t>Organizational Dynamics</w:t>
      </w:r>
      <w:r w:rsidRPr="00133CC2">
        <w:rPr>
          <w:rFonts w:ascii="Gill Sans MT" w:hAnsi="Gill Sans MT"/>
        </w:rPr>
        <w:t>, 26(4), 62-74.</w:t>
      </w:r>
    </w:p>
    <w:p w14:paraId="0D133083" w14:textId="77777777" w:rsidR="008816CD" w:rsidRPr="00133CC2" w:rsidRDefault="008816CD" w:rsidP="008816CD">
      <w:pPr>
        <w:spacing w:after="0"/>
        <w:rPr>
          <w:rFonts w:ascii="Gill Sans MT" w:hAnsi="Gill Sans MT"/>
        </w:rPr>
      </w:pPr>
      <w:r w:rsidRPr="00133CC2">
        <w:rPr>
          <w:rFonts w:ascii="Gill Sans MT" w:hAnsi="Gill Sans MT"/>
        </w:rPr>
        <w:t xml:space="preserve">Stampoltzis, A., Tsitsou, E., Plesti, H., Kalouri, R., 2017, Personal, educational and psychological characteristics of university students with dyslexia and matched controls: A pilot study, </w:t>
      </w:r>
      <w:r w:rsidRPr="00143372">
        <w:rPr>
          <w:rFonts w:ascii="Gill Sans MT" w:hAnsi="Gill Sans MT"/>
          <w:i/>
        </w:rPr>
        <w:t>Innovative Practice in Higher Education</w:t>
      </w:r>
      <w:r w:rsidRPr="00133CC2">
        <w:rPr>
          <w:rFonts w:ascii="Gill Sans MT" w:hAnsi="Gill Sans MT"/>
        </w:rPr>
        <w:t>, 3(1), 91-106.</w:t>
      </w:r>
    </w:p>
    <w:p w14:paraId="3438C152" w14:textId="77777777" w:rsidR="008816CD" w:rsidRDefault="008816CD" w:rsidP="008816CD">
      <w:pPr>
        <w:spacing w:after="0"/>
        <w:rPr>
          <w:rFonts w:ascii="Gill Sans MT" w:hAnsi="Gill Sans MT"/>
        </w:rPr>
      </w:pPr>
      <w:r w:rsidRPr="00133CC2">
        <w:rPr>
          <w:rFonts w:ascii="Gill Sans MT" w:hAnsi="Gill Sans MT"/>
        </w:rPr>
        <w:lastRenderedPageBreak/>
        <w:t xml:space="preserve">Stankov, L., Lee, J., Hogan, D.J., 2012, Confidence: A better predictor of academic achievement than self-efficacy, self-concept and anxiety? </w:t>
      </w:r>
      <w:r w:rsidRPr="00143372">
        <w:rPr>
          <w:rFonts w:ascii="Gill Sans MT" w:hAnsi="Gill Sans MT"/>
          <w:i/>
        </w:rPr>
        <w:t>Learning and Individual Differences</w:t>
      </w:r>
      <w:r>
        <w:rPr>
          <w:rFonts w:ascii="Gill Sans MT" w:hAnsi="Gill Sans MT"/>
        </w:rPr>
        <w:t>, 22, 747-758.</w:t>
      </w:r>
    </w:p>
    <w:p w14:paraId="005D3551" w14:textId="77777777" w:rsidR="008816CD" w:rsidRDefault="008816CD" w:rsidP="008816CD">
      <w:pPr>
        <w:spacing w:after="0"/>
        <w:rPr>
          <w:rFonts w:ascii="Gill Sans MT" w:hAnsi="Gill Sans MT"/>
        </w:rPr>
      </w:pPr>
      <w:r w:rsidRPr="000C3BAF">
        <w:rPr>
          <w:rFonts w:ascii="Gill Sans MT" w:hAnsi="Gill Sans MT"/>
        </w:rPr>
        <w:t xml:space="preserve">Stanovich, K.E., 1986, Cognitive processes and the reading problems of learning disabled children: evaluating the assumption of specificity, IN: Togesen, J.K., Wong, B.Y.L., (eds), </w:t>
      </w:r>
      <w:r w:rsidRPr="000C3BAF">
        <w:rPr>
          <w:rFonts w:ascii="Gill Sans MT" w:hAnsi="Gill Sans MT"/>
          <w:i/>
        </w:rPr>
        <w:t>Psychological and educational perspectives on learning disabilities</w:t>
      </w:r>
      <w:r w:rsidRPr="000C3BAF">
        <w:rPr>
          <w:rFonts w:ascii="Gill Sans MT" w:hAnsi="Gill Sans MT"/>
        </w:rPr>
        <w:t>, San Diego CA, Academic Press.</w:t>
      </w:r>
    </w:p>
    <w:p w14:paraId="12D325B1" w14:textId="77777777" w:rsidR="008816CD" w:rsidRPr="00133CC2" w:rsidRDefault="008816CD" w:rsidP="008816CD">
      <w:pPr>
        <w:spacing w:after="0"/>
        <w:rPr>
          <w:rFonts w:ascii="Gill Sans MT" w:hAnsi="Gill Sans MT"/>
        </w:rPr>
      </w:pPr>
      <w:r w:rsidRPr="00133CC2">
        <w:rPr>
          <w:rFonts w:ascii="Gill Sans MT" w:hAnsi="Gill Sans MT"/>
        </w:rPr>
        <w:t xml:space="preserve">Stanovich, K.E., 1988, Explaining the differences between the dyslexic and the garden-variety poor reader: The phonological-core variable-difference model, </w:t>
      </w:r>
      <w:r w:rsidRPr="00143372">
        <w:rPr>
          <w:rFonts w:ascii="Gill Sans MT" w:hAnsi="Gill Sans MT"/>
          <w:i/>
        </w:rPr>
        <w:t>Journal of Learning Disabilities</w:t>
      </w:r>
      <w:r w:rsidRPr="00133CC2">
        <w:rPr>
          <w:rFonts w:ascii="Gill Sans MT" w:hAnsi="Gill Sans MT"/>
        </w:rPr>
        <w:t>, 21, 590-612.</w:t>
      </w:r>
    </w:p>
    <w:p w14:paraId="4959B2CC" w14:textId="77777777" w:rsidR="008816CD" w:rsidRPr="00133CC2" w:rsidRDefault="008816CD" w:rsidP="008816CD">
      <w:pPr>
        <w:spacing w:after="0"/>
        <w:rPr>
          <w:rFonts w:ascii="Gill Sans MT" w:hAnsi="Gill Sans MT"/>
        </w:rPr>
      </w:pPr>
      <w:r w:rsidRPr="00133CC2">
        <w:rPr>
          <w:rFonts w:ascii="Gill Sans MT" w:hAnsi="Gill Sans MT"/>
        </w:rPr>
        <w:t xml:space="preserve">Stanovich, K.E., 1989, Has the learning disabilities field lost its intelligence? </w:t>
      </w:r>
      <w:r w:rsidRPr="00143372">
        <w:rPr>
          <w:rFonts w:ascii="Gill Sans MT" w:hAnsi="Gill Sans MT"/>
          <w:i/>
        </w:rPr>
        <w:t>Journal of Learning Disabilities,</w:t>
      </w:r>
      <w:r w:rsidRPr="00133CC2">
        <w:rPr>
          <w:rFonts w:ascii="Gill Sans MT" w:hAnsi="Gill Sans MT"/>
        </w:rPr>
        <w:t xml:space="preserve"> 22, 487-492.</w:t>
      </w:r>
    </w:p>
    <w:p w14:paraId="112D067F" w14:textId="77777777" w:rsidR="008816CD" w:rsidRPr="00133CC2" w:rsidRDefault="008816CD" w:rsidP="008816CD">
      <w:pPr>
        <w:spacing w:after="0"/>
        <w:rPr>
          <w:rFonts w:ascii="Gill Sans MT" w:hAnsi="Gill Sans MT"/>
        </w:rPr>
      </w:pPr>
      <w:r w:rsidRPr="00133CC2">
        <w:rPr>
          <w:rFonts w:ascii="Gill Sans MT" w:hAnsi="Gill Sans MT"/>
        </w:rPr>
        <w:t xml:space="preserve">Stanovich, K.E., 1991, Discrepancy definitions of reading disability: Has intelligence led us astray? </w:t>
      </w:r>
      <w:r w:rsidRPr="00143372">
        <w:rPr>
          <w:rFonts w:ascii="Gill Sans MT" w:hAnsi="Gill Sans MT"/>
          <w:i/>
        </w:rPr>
        <w:t>Reading Research Quarterly</w:t>
      </w:r>
      <w:r w:rsidRPr="00133CC2">
        <w:rPr>
          <w:rFonts w:ascii="Gill Sans MT" w:hAnsi="Gill Sans MT"/>
        </w:rPr>
        <w:t>, 26, 7-29.</w:t>
      </w:r>
    </w:p>
    <w:p w14:paraId="075EFFA5" w14:textId="77777777" w:rsidR="008816CD" w:rsidRPr="00133CC2" w:rsidRDefault="008816CD" w:rsidP="008816CD">
      <w:pPr>
        <w:spacing w:after="0"/>
        <w:rPr>
          <w:rFonts w:ascii="Gill Sans MT" w:hAnsi="Gill Sans MT"/>
        </w:rPr>
      </w:pPr>
      <w:r w:rsidRPr="00133CC2">
        <w:rPr>
          <w:rFonts w:ascii="Gill Sans MT" w:hAnsi="Gill Sans MT"/>
        </w:rPr>
        <w:t xml:space="preserve">Stanovich, K.E., 1993, Dysrationalia: a new specific learning disability, </w:t>
      </w:r>
      <w:r w:rsidRPr="00143372">
        <w:rPr>
          <w:rFonts w:ascii="Gill Sans MT" w:hAnsi="Gill Sans MT"/>
          <w:i/>
        </w:rPr>
        <w:t>Journal of Learning Disabilities</w:t>
      </w:r>
      <w:r w:rsidRPr="00133CC2">
        <w:rPr>
          <w:rFonts w:ascii="Gill Sans MT" w:hAnsi="Gill Sans MT"/>
        </w:rPr>
        <w:t>, 26, 501-515.</w:t>
      </w:r>
    </w:p>
    <w:p w14:paraId="628217AF" w14:textId="77777777" w:rsidR="008816CD" w:rsidRDefault="008816CD" w:rsidP="008816CD">
      <w:pPr>
        <w:spacing w:after="0"/>
        <w:rPr>
          <w:rFonts w:ascii="Gill Sans MT" w:hAnsi="Gill Sans MT"/>
        </w:rPr>
      </w:pPr>
      <w:r w:rsidRPr="009015A1">
        <w:rPr>
          <w:rFonts w:ascii="Gill Sans MT" w:hAnsi="Gill Sans MT"/>
        </w:rPr>
        <w:t>Stanovich, K.E., 1994, Does dyslexia exist</w:t>
      </w:r>
      <w:r w:rsidRPr="009015A1">
        <w:rPr>
          <w:rFonts w:ascii="Gill Sans MT" w:hAnsi="Gill Sans MT"/>
          <w:i/>
        </w:rPr>
        <w:t>? Journal of Child Psychology and Psychiatry</w:t>
      </w:r>
      <w:r w:rsidRPr="009015A1">
        <w:rPr>
          <w:rFonts w:ascii="Gill Sans MT" w:hAnsi="Gill Sans MT"/>
        </w:rPr>
        <w:t>, 55(4), 579-595.</w:t>
      </w:r>
    </w:p>
    <w:p w14:paraId="33D37E00" w14:textId="77777777" w:rsidR="008816CD" w:rsidRPr="00133CC2" w:rsidRDefault="008816CD" w:rsidP="008816CD">
      <w:pPr>
        <w:spacing w:after="0"/>
        <w:rPr>
          <w:rFonts w:ascii="Gill Sans MT" w:hAnsi="Gill Sans MT"/>
        </w:rPr>
      </w:pPr>
      <w:r w:rsidRPr="00133CC2">
        <w:rPr>
          <w:rFonts w:ascii="Gill Sans MT" w:hAnsi="Gill Sans MT"/>
        </w:rPr>
        <w:t xml:space="preserve">Stanovich, K.E., 1996, Towards a more inclusive definition of dyslexia, </w:t>
      </w:r>
      <w:r w:rsidRPr="00143372">
        <w:rPr>
          <w:rFonts w:ascii="Gill Sans MT" w:hAnsi="Gill Sans MT"/>
          <w:i/>
        </w:rPr>
        <w:t>Dyslexia</w:t>
      </w:r>
      <w:r w:rsidRPr="00133CC2">
        <w:rPr>
          <w:rFonts w:ascii="Gill Sans MT" w:hAnsi="Gill Sans MT"/>
        </w:rPr>
        <w:t>, 2, 154-166.</w:t>
      </w:r>
    </w:p>
    <w:p w14:paraId="53958F47" w14:textId="77777777" w:rsidR="008816CD" w:rsidRPr="00133CC2" w:rsidRDefault="008816CD" w:rsidP="008816CD">
      <w:pPr>
        <w:spacing w:after="0"/>
        <w:rPr>
          <w:rFonts w:ascii="Gill Sans MT" w:hAnsi="Gill Sans MT"/>
        </w:rPr>
      </w:pPr>
      <w:r w:rsidRPr="00133CC2">
        <w:rPr>
          <w:rFonts w:ascii="Gill Sans MT" w:hAnsi="Gill Sans MT"/>
        </w:rPr>
        <w:t xml:space="preserve">Stanovich, K.E., 1999, The psychosociometrics of learning disabilities, </w:t>
      </w:r>
      <w:r w:rsidRPr="00143372">
        <w:rPr>
          <w:rFonts w:ascii="Gill Sans MT" w:hAnsi="Gill Sans MT"/>
          <w:i/>
        </w:rPr>
        <w:t>Journal of Learning Disabilities</w:t>
      </w:r>
      <w:r w:rsidRPr="00133CC2">
        <w:rPr>
          <w:rFonts w:ascii="Gill Sans MT" w:hAnsi="Gill Sans MT"/>
        </w:rPr>
        <w:t>, 32, 350-361.</w:t>
      </w:r>
    </w:p>
    <w:p w14:paraId="2BA6895C" w14:textId="77777777" w:rsidR="008816CD" w:rsidRDefault="008816CD" w:rsidP="008816CD">
      <w:pPr>
        <w:spacing w:after="0"/>
        <w:rPr>
          <w:rFonts w:ascii="Gill Sans MT" w:hAnsi="Gill Sans MT"/>
        </w:rPr>
      </w:pPr>
      <w:r w:rsidRPr="00133CC2">
        <w:rPr>
          <w:rFonts w:ascii="Gill Sans MT" w:hAnsi="Gill Sans MT"/>
        </w:rPr>
        <w:t xml:space="preserve">Stanovich, K.E., 2000, </w:t>
      </w:r>
      <w:r w:rsidRPr="00143372">
        <w:rPr>
          <w:rFonts w:ascii="Gill Sans MT" w:hAnsi="Gill Sans MT"/>
          <w:i/>
        </w:rPr>
        <w:t>Progress in understanding reading</w:t>
      </w:r>
      <w:r w:rsidRPr="00133CC2">
        <w:rPr>
          <w:rFonts w:ascii="Gill Sans MT" w:hAnsi="Gill Sans MT"/>
        </w:rPr>
        <w:t>, New York, Guilford Press.</w:t>
      </w:r>
    </w:p>
    <w:p w14:paraId="2EF05DD9" w14:textId="77777777" w:rsidR="008816CD" w:rsidRPr="00783D32" w:rsidRDefault="008816CD" w:rsidP="008816CD">
      <w:pPr>
        <w:spacing w:after="0"/>
        <w:rPr>
          <w:rFonts w:ascii="Gill Sans MT" w:hAnsi="Gill Sans MT"/>
        </w:rPr>
      </w:pPr>
      <w:r>
        <w:rPr>
          <w:rFonts w:ascii="Gill Sans MT" w:hAnsi="Gill Sans MT"/>
        </w:rPr>
        <w:t xml:space="preserve">Stanovich, K.E., 2005, The future of a mistake: Will discrepancy measurement continue to make the learning disabilities field a pseudoscience? </w:t>
      </w:r>
      <w:r>
        <w:rPr>
          <w:rFonts w:ascii="Gill Sans MT" w:hAnsi="Gill Sans MT"/>
          <w:i/>
        </w:rPr>
        <w:t>Learning Disability Quarterly</w:t>
      </w:r>
      <w:r>
        <w:rPr>
          <w:rFonts w:ascii="Gill Sans MT" w:hAnsi="Gill Sans MT"/>
        </w:rPr>
        <w:t>, 28(2), 103-106.</w:t>
      </w:r>
    </w:p>
    <w:p w14:paraId="564D15FD" w14:textId="77777777" w:rsidR="008816CD" w:rsidRPr="00942D91" w:rsidRDefault="008816CD" w:rsidP="008816CD">
      <w:pPr>
        <w:spacing w:after="0"/>
        <w:rPr>
          <w:rFonts w:ascii="Gill Sans MT" w:hAnsi="Gill Sans MT"/>
        </w:rPr>
      </w:pPr>
      <w:r>
        <w:rPr>
          <w:rFonts w:ascii="Gill Sans MT" w:hAnsi="Gill Sans MT"/>
        </w:rPr>
        <w:t xml:space="preserve">Stein, J., Walsh., V., 1997, To see but not to read: the magnocellular theory of dyslexia, </w:t>
      </w:r>
      <w:r>
        <w:rPr>
          <w:rFonts w:ascii="Gill Sans MT" w:hAnsi="Gill Sans MT"/>
          <w:i/>
        </w:rPr>
        <w:t>Trends in neuroscience</w:t>
      </w:r>
      <w:r>
        <w:rPr>
          <w:rFonts w:ascii="Gill Sans MT" w:hAnsi="Gill Sans MT"/>
        </w:rPr>
        <w:t>, 20(4), 147-152.</w:t>
      </w:r>
    </w:p>
    <w:p w14:paraId="665161AD" w14:textId="77777777" w:rsidR="008816CD" w:rsidRPr="00133CC2" w:rsidRDefault="008816CD" w:rsidP="008816CD">
      <w:pPr>
        <w:spacing w:after="0"/>
        <w:rPr>
          <w:rFonts w:ascii="Gill Sans MT" w:hAnsi="Gill Sans MT"/>
        </w:rPr>
      </w:pPr>
      <w:r w:rsidRPr="00133CC2">
        <w:rPr>
          <w:rFonts w:ascii="Gill Sans MT" w:hAnsi="Gill Sans MT"/>
        </w:rPr>
        <w:t xml:space="preserve">Stephenson, J., 1998, The concept of capability and its importance in Higher Education, IN: Stephenson, J., Yorke, M., </w:t>
      </w:r>
      <w:r w:rsidRPr="00143372">
        <w:rPr>
          <w:rFonts w:ascii="Gill Sans MT" w:hAnsi="Gill Sans MT"/>
          <w:i/>
        </w:rPr>
        <w:t>Capability and Quality in Higher Education</w:t>
      </w:r>
      <w:r w:rsidRPr="00133CC2">
        <w:rPr>
          <w:rFonts w:ascii="Gill Sans MT" w:hAnsi="Gill Sans MT"/>
        </w:rPr>
        <w:t>, London, Kogan Page.</w:t>
      </w:r>
    </w:p>
    <w:p w14:paraId="0509CC4C" w14:textId="77777777" w:rsidR="00451907" w:rsidRDefault="008816CD" w:rsidP="008816CD">
      <w:pPr>
        <w:spacing w:after="0"/>
        <w:rPr>
          <w:rFonts w:ascii="Gill Sans MT" w:hAnsi="Gill Sans MT"/>
        </w:rPr>
      </w:pPr>
      <w:r w:rsidRPr="00133CC2">
        <w:rPr>
          <w:rFonts w:ascii="Gill Sans MT" w:hAnsi="Gill Sans MT"/>
        </w:rPr>
        <w:t xml:space="preserve">Stone, C.A., May, A.L., 2002, The accuracy of academic self-evaluation in adolescents with learning disabilities, </w:t>
      </w:r>
      <w:r w:rsidRPr="00143372">
        <w:rPr>
          <w:rFonts w:ascii="Gill Sans MT" w:hAnsi="Gill Sans MT"/>
          <w:i/>
        </w:rPr>
        <w:t>Journal of Learning Disabilities</w:t>
      </w:r>
      <w:r w:rsidRPr="00133CC2">
        <w:rPr>
          <w:rFonts w:ascii="Gill Sans MT" w:hAnsi="Gill Sans MT"/>
        </w:rPr>
        <w:t>, 35(4), 370-383.</w:t>
      </w:r>
    </w:p>
    <w:p w14:paraId="5B1D10B9" w14:textId="33CB64DB" w:rsidR="008816CD" w:rsidRDefault="00451907" w:rsidP="008816CD">
      <w:pPr>
        <w:spacing w:after="0"/>
        <w:rPr>
          <w:rFonts w:ascii="Gill Sans MT" w:hAnsi="Gill Sans MT"/>
        </w:rPr>
      </w:pPr>
      <w:r w:rsidRPr="00451907">
        <w:rPr>
          <w:rFonts w:ascii="Gill Sans MT" w:hAnsi="Gill Sans MT"/>
        </w:rPr>
        <w:t xml:space="preserve">Streiner, D.L., 2003, Starting at the beginning: An introduction to Coefficient Alpha and Internal Consistency, </w:t>
      </w:r>
      <w:r w:rsidRPr="00451907">
        <w:rPr>
          <w:rFonts w:ascii="Gill Sans MT" w:hAnsi="Gill Sans MT"/>
          <w:i/>
          <w:iCs/>
        </w:rPr>
        <w:t>Journal of Personality Assessment</w:t>
      </w:r>
      <w:r w:rsidRPr="00451907">
        <w:rPr>
          <w:rFonts w:ascii="Gill Sans MT" w:hAnsi="Gill Sans MT"/>
        </w:rPr>
        <w:t>, 80(1), 99-103.</w:t>
      </w:r>
    </w:p>
    <w:p w14:paraId="0517721C" w14:textId="77777777" w:rsidR="008816CD" w:rsidRPr="00133CC2" w:rsidRDefault="008816CD" w:rsidP="008816CD">
      <w:pPr>
        <w:spacing w:after="0"/>
        <w:rPr>
          <w:rFonts w:ascii="Gill Sans MT" w:hAnsi="Gill Sans MT"/>
        </w:rPr>
      </w:pPr>
      <w:r w:rsidRPr="00133CC2">
        <w:rPr>
          <w:rFonts w:ascii="Gill Sans MT" w:hAnsi="Gill Sans MT"/>
        </w:rPr>
        <w:t xml:space="preserve">Subramaniam, N., Freudenberg, B., 2007, Preparing accounting students for success in the professional environment: enhancing self-efficacy through a work integrated learning programme, </w:t>
      </w:r>
      <w:r w:rsidRPr="00143372">
        <w:rPr>
          <w:rFonts w:ascii="Gill Sans MT" w:hAnsi="Gill Sans MT"/>
          <w:i/>
        </w:rPr>
        <w:t>Asia-Pacific Journal of Cooperative Education</w:t>
      </w:r>
      <w:r>
        <w:rPr>
          <w:rFonts w:ascii="Gill Sans MT" w:hAnsi="Gill Sans MT"/>
        </w:rPr>
        <w:t>, 8(1), 77-92.</w:t>
      </w:r>
    </w:p>
    <w:p w14:paraId="6F815B09" w14:textId="77777777" w:rsidR="008816CD" w:rsidRPr="00133CC2" w:rsidRDefault="008816CD" w:rsidP="008816CD">
      <w:pPr>
        <w:spacing w:after="0"/>
        <w:rPr>
          <w:rFonts w:ascii="Gill Sans MT" w:hAnsi="Gill Sans MT"/>
        </w:rPr>
      </w:pPr>
      <w:r w:rsidRPr="00133CC2">
        <w:rPr>
          <w:rFonts w:ascii="Gill Sans MT" w:hAnsi="Gill Sans MT"/>
        </w:rPr>
        <w:t xml:space="preserve">Sudman, S., Bradburn, N.M., 1982, </w:t>
      </w:r>
      <w:r w:rsidRPr="00143372">
        <w:rPr>
          <w:rFonts w:ascii="Gill Sans MT" w:hAnsi="Gill Sans MT"/>
          <w:i/>
        </w:rPr>
        <w:t>Asking Questions: A practical guide to questionnaire design</w:t>
      </w:r>
      <w:r w:rsidRPr="00133CC2">
        <w:rPr>
          <w:rFonts w:ascii="Gill Sans MT" w:hAnsi="Gill Sans MT"/>
        </w:rPr>
        <w:t>, San Francisco, Jossey-Bass.</w:t>
      </w:r>
    </w:p>
    <w:p w14:paraId="508E5151" w14:textId="77777777" w:rsidR="008816CD" w:rsidRDefault="008816CD" w:rsidP="008816CD">
      <w:pPr>
        <w:spacing w:after="0"/>
        <w:rPr>
          <w:rFonts w:ascii="Gill Sans MT" w:hAnsi="Gill Sans MT"/>
        </w:rPr>
      </w:pPr>
      <w:r w:rsidRPr="00133CC2">
        <w:rPr>
          <w:rFonts w:ascii="Gill Sans MT" w:hAnsi="Gill Sans MT"/>
        </w:rPr>
        <w:t xml:space="preserve">Sullivan, G.M., Feinn, R., 2012, Using effect size - or why the </w:t>
      </w:r>
      <w:r w:rsidRPr="00451907">
        <w:rPr>
          <w:rFonts w:ascii="Gill Sans MT" w:hAnsi="Gill Sans MT"/>
          <w:i/>
          <w:iCs/>
        </w:rPr>
        <w:t>P</w:t>
      </w:r>
      <w:r w:rsidRPr="00133CC2">
        <w:rPr>
          <w:rFonts w:ascii="Gill Sans MT" w:hAnsi="Gill Sans MT"/>
        </w:rPr>
        <w:t xml:space="preserve"> value is not enough, </w:t>
      </w:r>
      <w:r w:rsidRPr="00143372">
        <w:rPr>
          <w:rFonts w:ascii="Gill Sans MT" w:hAnsi="Gill Sans MT"/>
          <w:i/>
        </w:rPr>
        <w:t>Journal of Graduate Medical Education</w:t>
      </w:r>
      <w:r w:rsidRPr="00133CC2">
        <w:rPr>
          <w:rFonts w:ascii="Gill Sans MT" w:hAnsi="Gill Sans MT"/>
        </w:rPr>
        <w:t>, 4(3), 279-282.</w:t>
      </w:r>
    </w:p>
    <w:p w14:paraId="7ED283BD" w14:textId="77777777" w:rsidR="008816CD" w:rsidRDefault="008816CD" w:rsidP="008816CD">
      <w:pPr>
        <w:spacing w:after="0"/>
        <w:rPr>
          <w:rFonts w:ascii="Gill Sans MT" w:hAnsi="Gill Sans MT"/>
        </w:rPr>
      </w:pPr>
      <w:r w:rsidRPr="00086907">
        <w:rPr>
          <w:rFonts w:ascii="Gill Sans MT" w:hAnsi="Gill Sans MT"/>
        </w:rPr>
        <w:t xml:space="preserve">Sumner, E., Connelly, V., Barnett, A.L., 2013, Children with dyslexia are slow readers because they pause more often and not because they are slow at handwriting execution, </w:t>
      </w:r>
      <w:r w:rsidRPr="00086907">
        <w:rPr>
          <w:rFonts w:ascii="Gill Sans MT" w:hAnsi="Gill Sans MT"/>
          <w:i/>
        </w:rPr>
        <w:t>Reading &amp; Writing</w:t>
      </w:r>
      <w:r w:rsidRPr="00086907">
        <w:rPr>
          <w:rFonts w:ascii="Gill Sans MT" w:hAnsi="Gill Sans MT"/>
        </w:rPr>
        <w:t>, 26(6), 991-1008.</w:t>
      </w:r>
    </w:p>
    <w:p w14:paraId="6D14D867" w14:textId="77777777" w:rsidR="008816CD" w:rsidRDefault="008816CD" w:rsidP="008816CD">
      <w:pPr>
        <w:spacing w:after="0"/>
        <w:rPr>
          <w:rFonts w:ascii="Gill Sans MT" w:hAnsi="Gill Sans MT"/>
        </w:rPr>
      </w:pPr>
      <w:r>
        <w:rPr>
          <w:rFonts w:ascii="Gill Sans MT" w:hAnsi="Gill Sans MT"/>
        </w:rPr>
        <w:lastRenderedPageBreak/>
        <w:t xml:space="preserve">Survey Planet LLC, 2016, </w:t>
      </w:r>
      <w:r>
        <w:rPr>
          <w:rFonts w:ascii="Gill Sans MT" w:hAnsi="Gill Sans MT"/>
          <w:i/>
        </w:rPr>
        <w:t>SurveyPlanet</w:t>
      </w:r>
      <w:r>
        <w:rPr>
          <w:rFonts w:ascii="Gill Sans MT" w:hAnsi="Gill Sans MT"/>
        </w:rPr>
        <w:t xml:space="preserve">, Available at: </w:t>
      </w:r>
      <w:hyperlink r:id="rId68" w:history="1">
        <w:r w:rsidRPr="00D51964">
          <w:rPr>
            <w:rStyle w:val="Hyperlink"/>
            <w:rFonts w:ascii="Gill Sans MT" w:hAnsi="Gill Sans MT"/>
          </w:rPr>
          <w:t>https://surveyplanet.com</w:t>
        </w:r>
      </w:hyperlink>
      <w:r>
        <w:rPr>
          <w:rFonts w:ascii="Gill Sans MT" w:hAnsi="Gill Sans MT"/>
        </w:rPr>
        <w:t>, Accessed on: 17</w:t>
      </w:r>
      <w:r w:rsidRPr="00554838">
        <w:rPr>
          <w:rFonts w:ascii="Gill Sans MT" w:hAnsi="Gill Sans MT"/>
          <w:vertAlign w:val="superscript"/>
        </w:rPr>
        <w:t>th</w:t>
      </w:r>
      <w:r>
        <w:rPr>
          <w:rFonts w:ascii="Gill Sans MT" w:hAnsi="Gill Sans MT"/>
        </w:rPr>
        <w:t xml:space="preserve"> February 2016.</w:t>
      </w:r>
    </w:p>
    <w:p w14:paraId="53BED33D" w14:textId="77777777" w:rsidR="008816CD" w:rsidRDefault="008816CD" w:rsidP="008816CD">
      <w:pPr>
        <w:spacing w:after="0"/>
        <w:rPr>
          <w:rFonts w:ascii="Gill Sans MT" w:hAnsi="Gill Sans MT"/>
        </w:rPr>
      </w:pPr>
      <w:r>
        <w:rPr>
          <w:rFonts w:ascii="Gill Sans MT" w:hAnsi="Gill Sans MT"/>
        </w:rPr>
        <w:t xml:space="preserve">SurveyLegend, 2016, </w:t>
      </w:r>
      <w:r>
        <w:rPr>
          <w:rFonts w:ascii="Gill Sans MT" w:hAnsi="Gill Sans MT"/>
          <w:i/>
        </w:rPr>
        <w:t>SurveyLegend</w:t>
      </w:r>
      <w:r>
        <w:rPr>
          <w:rFonts w:ascii="Gill Sans MT" w:hAnsi="Gill Sans MT"/>
        </w:rPr>
        <w:t xml:space="preserve">, Available at: </w:t>
      </w:r>
      <w:hyperlink r:id="rId69" w:history="1">
        <w:r w:rsidRPr="00D51964">
          <w:rPr>
            <w:rStyle w:val="Hyperlink"/>
            <w:rFonts w:ascii="Gill Sans MT" w:hAnsi="Gill Sans MT"/>
          </w:rPr>
          <w:t>https://www.surveylegend.com</w:t>
        </w:r>
      </w:hyperlink>
      <w:r>
        <w:rPr>
          <w:rFonts w:ascii="Gill Sans MT" w:hAnsi="Gill Sans MT"/>
        </w:rPr>
        <w:t>, Accessed on: 15</w:t>
      </w:r>
      <w:r w:rsidRPr="00554838">
        <w:rPr>
          <w:rFonts w:ascii="Gill Sans MT" w:hAnsi="Gill Sans MT"/>
          <w:vertAlign w:val="superscript"/>
        </w:rPr>
        <w:t>th</w:t>
      </w:r>
      <w:r>
        <w:rPr>
          <w:rFonts w:ascii="Gill Sans MT" w:hAnsi="Gill Sans MT"/>
        </w:rPr>
        <w:t xml:space="preserve"> February 2016.</w:t>
      </w:r>
    </w:p>
    <w:p w14:paraId="5ABAB3AF" w14:textId="77777777" w:rsidR="008816CD" w:rsidRDefault="008816CD" w:rsidP="008816CD">
      <w:pPr>
        <w:spacing w:after="0"/>
        <w:rPr>
          <w:rFonts w:ascii="Gill Sans MT" w:hAnsi="Gill Sans MT"/>
        </w:rPr>
      </w:pPr>
      <w:r>
        <w:rPr>
          <w:rFonts w:ascii="Gill Sans MT" w:hAnsi="Gill Sans MT"/>
        </w:rPr>
        <w:t xml:space="preserve">SurveyMonkey Europe UC, 2016, </w:t>
      </w:r>
      <w:r>
        <w:rPr>
          <w:rFonts w:ascii="Gill Sans MT" w:hAnsi="Gill Sans MT"/>
          <w:i/>
        </w:rPr>
        <w:t>SurveyMonkey</w:t>
      </w:r>
      <w:r>
        <w:rPr>
          <w:rFonts w:ascii="Gill Sans MT" w:hAnsi="Gill Sans MT"/>
        </w:rPr>
        <w:t xml:space="preserve">, Available at: </w:t>
      </w:r>
      <w:hyperlink r:id="rId70" w:history="1">
        <w:r w:rsidRPr="00D51964">
          <w:rPr>
            <w:rStyle w:val="Hyperlink"/>
            <w:rFonts w:ascii="Gill Sans MT" w:hAnsi="Gill Sans MT"/>
          </w:rPr>
          <w:t>https://www.surveymonkey.co.uk</w:t>
        </w:r>
      </w:hyperlink>
      <w:r>
        <w:rPr>
          <w:rFonts w:ascii="Gill Sans MT" w:hAnsi="Gill Sans MT"/>
        </w:rPr>
        <w:t>, Accessed on: 17</w:t>
      </w:r>
      <w:r w:rsidRPr="00554838">
        <w:rPr>
          <w:rFonts w:ascii="Gill Sans MT" w:hAnsi="Gill Sans MT"/>
          <w:vertAlign w:val="superscript"/>
        </w:rPr>
        <w:t>th</w:t>
      </w:r>
      <w:r>
        <w:rPr>
          <w:rFonts w:ascii="Gill Sans MT" w:hAnsi="Gill Sans MT"/>
        </w:rPr>
        <w:t xml:space="preserve"> February 2016.</w:t>
      </w:r>
    </w:p>
    <w:p w14:paraId="478C2953" w14:textId="77777777" w:rsidR="008816CD" w:rsidRPr="00BA728D" w:rsidRDefault="008816CD" w:rsidP="008816CD">
      <w:pPr>
        <w:spacing w:after="0"/>
        <w:rPr>
          <w:rFonts w:ascii="Gill Sans MT" w:hAnsi="Gill Sans MT"/>
        </w:rPr>
      </w:pPr>
      <w:r>
        <w:rPr>
          <w:rFonts w:ascii="Gill Sans MT" w:hAnsi="Gill Sans MT"/>
        </w:rPr>
        <w:t xml:space="preserve">Svensson, I., Lundberg, I., Jacobson, C., 2003, The nature of reading difficulties among inmates in juvenile institutions, </w:t>
      </w:r>
      <w:r>
        <w:rPr>
          <w:rFonts w:ascii="Gill Sans MT" w:hAnsi="Gill Sans MT"/>
          <w:i/>
        </w:rPr>
        <w:t>Reading and Writing</w:t>
      </w:r>
      <w:r>
        <w:rPr>
          <w:rFonts w:ascii="Gill Sans MT" w:hAnsi="Gill Sans MT"/>
        </w:rPr>
        <w:t>, 16(7), 667-691.</w:t>
      </w:r>
    </w:p>
    <w:p w14:paraId="671A2C71" w14:textId="4154DF4A" w:rsidR="008816CD" w:rsidRDefault="008816CD" w:rsidP="008816CD">
      <w:pPr>
        <w:spacing w:after="0"/>
        <w:rPr>
          <w:rFonts w:ascii="Gill Sans MT" w:hAnsi="Gill Sans MT"/>
        </w:rPr>
      </w:pPr>
      <w:r w:rsidRPr="009015A1">
        <w:rPr>
          <w:rFonts w:ascii="Gill Sans MT" w:hAnsi="Gill Sans MT"/>
        </w:rPr>
        <w:t xml:space="preserve">Swagerman, S.C., van Bergen, E., Dolan, C., de Geus, E.J.C., Koenis, M.M.G., Pol, H.E.H., Moomsma, D.I., 2017, Genetic transmission of reading ability, </w:t>
      </w:r>
      <w:r w:rsidRPr="009015A1">
        <w:rPr>
          <w:rFonts w:ascii="Gill Sans MT" w:hAnsi="Gill Sans MT"/>
          <w:i/>
        </w:rPr>
        <w:t>Brain &amp; Language</w:t>
      </w:r>
      <w:r w:rsidRPr="009015A1">
        <w:rPr>
          <w:rFonts w:ascii="Gill Sans MT" w:hAnsi="Gill Sans MT"/>
        </w:rPr>
        <w:t>, 172(1), 3-8.</w:t>
      </w:r>
    </w:p>
    <w:p w14:paraId="7006FF8F" w14:textId="236C2200" w:rsidR="002669DC" w:rsidRPr="002669DC" w:rsidRDefault="002669DC" w:rsidP="008816CD">
      <w:pPr>
        <w:spacing w:after="0"/>
        <w:rPr>
          <w:rFonts w:ascii="Gill Sans MT" w:hAnsi="Gill Sans MT"/>
        </w:rPr>
      </w:pPr>
      <w:r>
        <w:rPr>
          <w:rFonts w:ascii="Gill Sans MT" w:hAnsi="Gill Sans MT"/>
        </w:rPr>
        <w:t xml:space="preserve">Swanson, H.L., 1989, Instruction derived from the strategy deficit model: Overview of principles and procedures, </w:t>
      </w:r>
      <w:r>
        <w:rPr>
          <w:rFonts w:ascii="Gill Sans MT" w:hAnsi="Gill Sans MT"/>
          <w:i/>
          <w:iCs/>
        </w:rPr>
        <w:t>Learning Disability Quarterly</w:t>
      </w:r>
      <w:r>
        <w:rPr>
          <w:rFonts w:ascii="Gill Sans MT" w:hAnsi="Gill Sans MT"/>
        </w:rPr>
        <w:t>, 12(1), 3-14.</w:t>
      </w:r>
    </w:p>
    <w:p w14:paraId="7227DC57" w14:textId="77777777" w:rsidR="008816CD" w:rsidRDefault="008816CD" w:rsidP="008816CD">
      <w:pPr>
        <w:spacing w:after="0"/>
        <w:rPr>
          <w:rFonts w:ascii="Gill Sans MT" w:hAnsi="Gill Sans MT"/>
        </w:rPr>
      </w:pPr>
      <w:r w:rsidRPr="00133CC2">
        <w:rPr>
          <w:rFonts w:ascii="Gill Sans MT" w:hAnsi="Gill Sans MT"/>
        </w:rPr>
        <w:t xml:space="preserve">Sweller, J., 1988, Cognitive load during problem-solving: Effects on learning, </w:t>
      </w:r>
      <w:r w:rsidRPr="00143372">
        <w:rPr>
          <w:rFonts w:ascii="Gill Sans MT" w:hAnsi="Gill Sans MT"/>
          <w:i/>
        </w:rPr>
        <w:t>Cognitive Science</w:t>
      </w:r>
      <w:r w:rsidRPr="00133CC2">
        <w:rPr>
          <w:rFonts w:ascii="Gill Sans MT" w:hAnsi="Gill Sans MT"/>
        </w:rPr>
        <w:t>, 12(2), 257-285.</w:t>
      </w:r>
    </w:p>
    <w:p w14:paraId="7E3CE804" w14:textId="77777777" w:rsidR="008816CD" w:rsidRPr="00FF569C" w:rsidRDefault="008816CD" w:rsidP="008816CD">
      <w:pPr>
        <w:spacing w:before="240" w:after="0"/>
        <w:rPr>
          <w:rFonts w:ascii="Gill Sans MT" w:hAnsi="Gill Sans MT"/>
        </w:rPr>
      </w:pPr>
      <w:r>
        <w:rPr>
          <w:rFonts w:ascii="Gill Sans MT" w:hAnsi="Gill Sans MT"/>
        </w:rPr>
        <w:t xml:space="preserve">Tabachnick, B.G., Fidell, L.S., 2007, </w:t>
      </w:r>
      <w:r>
        <w:rPr>
          <w:rFonts w:ascii="Gill Sans MT" w:hAnsi="Gill Sans MT"/>
          <w:i/>
        </w:rPr>
        <w:t>Factor analysis and related methods</w:t>
      </w:r>
      <w:r>
        <w:rPr>
          <w:rFonts w:ascii="Gill Sans MT" w:hAnsi="Gill Sans MT"/>
        </w:rPr>
        <w:t>, Hillsdale NJ, Lawrence Erbaum Associates.</w:t>
      </w:r>
    </w:p>
    <w:p w14:paraId="019DEFBF" w14:textId="77777777" w:rsidR="008816CD" w:rsidRPr="002C7ABF" w:rsidRDefault="008816CD" w:rsidP="008816CD">
      <w:pPr>
        <w:spacing w:before="240" w:after="0"/>
        <w:rPr>
          <w:rFonts w:ascii="Gill Sans MT" w:hAnsi="Gill Sans MT"/>
        </w:rPr>
      </w:pPr>
      <w:r w:rsidRPr="002C7ABF">
        <w:rPr>
          <w:rFonts w:ascii="Gill Sans MT" w:hAnsi="Gill Sans MT"/>
        </w:rPr>
        <w:t xml:space="preserve">Tajfel, H., 1982, Social psychology of intergroup relations, </w:t>
      </w:r>
      <w:r w:rsidRPr="001653CA">
        <w:rPr>
          <w:rFonts w:ascii="Gill Sans MT" w:hAnsi="Gill Sans MT"/>
          <w:i/>
        </w:rPr>
        <w:t>Annual Review of Psychology</w:t>
      </w:r>
      <w:r w:rsidRPr="002C7ABF">
        <w:rPr>
          <w:rFonts w:ascii="Gill Sans MT" w:hAnsi="Gill Sans MT"/>
        </w:rPr>
        <w:t>, 33(1), 1-39.</w:t>
      </w:r>
    </w:p>
    <w:p w14:paraId="23032378" w14:textId="77777777" w:rsidR="008816CD" w:rsidRPr="00133CC2" w:rsidRDefault="008816CD" w:rsidP="008816CD">
      <w:pPr>
        <w:spacing w:before="240" w:after="0"/>
        <w:rPr>
          <w:rFonts w:ascii="Gill Sans MT" w:hAnsi="Gill Sans MT"/>
        </w:rPr>
      </w:pPr>
      <w:r w:rsidRPr="002C7ABF">
        <w:rPr>
          <w:rFonts w:ascii="Gill Sans MT" w:hAnsi="Gill Sans MT"/>
        </w:rPr>
        <w:t xml:space="preserve">Tajfel, H., Turner, J.C., 1979, An integrative theory of intergroup conflict, IN: Hogg, M.A., Abrams, D., (eds), 2001, </w:t>
      </w:r>
      <w:r w:rsidRPr="001653CA">
        <w:rPr>
          <w:rFonts w:ascii="Gill Sans MT" w:hAnsi="Gill Sans MT"/>
          <w:i/>
        </w:rPr>
        <w:t>The Social Psychology of Intergroup Relations</w:t>
      </w:r>
      <w:r w:rsidRPr="002C7ABF">
        <w:rPr>
          <w:rFonts w:ascii="Gill Sans MT" w:hAnsi="Gill Sans MT"/>
        </w:rPr>
        <w:t>, New York, Psychology Press.</w:t>
      </w:r>
    </w:p>
    <w:p w14:paraId="4A746519" w14:textId="77777777" w:rsidR="008816CD" w:rsidRDefault="008816CD" w:rsidP="008816CD">
      <w:pPr>
        <w:spacing w:after="0"/>
        <w:rPr>
          <w:rFonts w:ascii="Gill Sans MT" w:hAnsi="Gill Sans MT"/>
        </w:rPr>
      </w:pPr>
      <w:r w:rsidRPr="00F804C1">
        <w:rPr>
          <w:rFonts w:ascii="Gill Sans MT" w:hAnsi="Gill Sans MT"/>
        </w:rPr>
        <w:t xml:space="preserve">Takashaki, A., Takahashi, H., 2015, Anxiety and self-confidence in Ancient Language Studies, </w:t>
      </w:r>
      <w:r w:rsidRPr="00F804C1">
        <w:rPr>
          <w:rFonts w:ascii="Gill Sans MT" w:hAnsi="Gill Sans MT"/>
          <w:i/>
        </w:rPr>
        <w:t>Niigata University Speech Culture Research</w:t>
      </w:r>
      <w:r w:rsidRPr="00F804C1">
        <w:rPr>
          <w:rFonts w:ascii="Gill Sans MT" w:hAnsi="Gill Sans MT"/>
        </w:rPr>
        <w:t>, 1-18.</w:t>
      </w:r>
    </w:p>
    <w:p w14:paraId="6E573F64" w14:textId="77777777" w:rsidR="008816CD" w:rsidRPr="00133CC2" w:rsidRDefault="008816CD" w:rsidP="008816CD">
      <w:pPr>
        <w:spacing w:after="0"/>
        <w:rPr>
          <w:rFonts w:ascii="Gill Sans MT" w:hAnsi="Gill Sans MT"/>
        </w:rPr>
      </w:pPr>
      <w:r w:rsidRPr="00F804C1">
        <w:rPr>
          <w:rFonts w:ascii="Gill Sans MT" w:hAnsi="Gill Sans MT"/>
        </w:rPr>
        <w:t xml:space="preserve">Tallal, P., 1980, Auditory temporal perception, phonics, and reading disabilities in children, </w:t>
      </w:r>
      <w:r w:rsidRPr="00F804C1">
        <w:rPr>
          <w:rFonts w:ascii="Gill Sans MT" w:hAnsi="Gill Sans MT"/>
          <w:i/>
        </w:rPr>
        <w:t>Brain &amp; Language</w:t>
      </w:r>
      <w:r w:rsidRPr="00F804C1">
        <w:rPr>
          <w:rFonts w:ascii="Gill Sans MT" w:hAnsi="Gill Sans MT"/>
        </w:rPr>
        <w:t>, 9(2), 182-198.</w:t>
      </w:r>
    </w:p>
    <w:p w14:paraId="2427D69E" w14:textId="77777777" w:rsidR="008816CD" w:rsidRPr="00133CC2" w:rsidRDefault="008816CD" w:rsidP="008816CD">
      <w:pPr>
        <w:spacing w:after="0"/>
        <w:rPr>
          <w:rFonts w:ascii="Gill Sans MT" w:hAnsi="Gill Sans MT"/>
        </w:rPr>
      </w:pPr>
      <w:r w:rsidRPr="00133CC2">
        <w:rPr>
          <w:rFonts w:ascii="Gill Sans MT" w:hAnsi="Gill Sans MT"/>
        </w:rPr>
        <w:t xml:space="preserve">Tamboer, P., Voorst, H.C.M., 2015, A new self-report inventory of dyslexia for students: criterion and construct validity, </w:t>
      </w:r>
      <w:r w:rsidRPr="00143372">
        <w:rPr>
          <w:rFonts w:ascii="Gill Sans MT" w:hAnsi="Gill Sans MT"/>
          <w:i/>
        </w:rPr>
        <w:t>Dyslexia</w:t>
      </w:r>
      <w:r w:rsidRPr="00133CC2">
        <w:rPr>
          <w:rFonts w:ascii="Gill Sans MT" w:hAnsi="Gill Sans MT"/>
        </w:rPr>
        <w:t xml:space="preserve">, 21(1), 1-34. </w:t>
      </w:r>
    </w:p>
    <w:p w14:paraId="27612578" w14:textId="77777777" w:rsidR="008816CD" w:rsidRPr="00133CC2" w:rsidRDefault="008816CD" w:rsidP="008816CD">
      <w:pPr>
        <w:spacing w:after="0"/>
        <w:rPr>
          <w:rFonts w:ascii="Gill Sans MT" w:hAnsi="Gill Sans MT"/>
        </w:rPr>
      </w:pPr>
      <w:r w:rsidRPr="00133CC2">
        <w:rPr>
          <w:rFonts w:ascii="Gill Sans MT" w:hAnsi="Gill Sans MT"/>
        </w:rPr>
        <w:t xml:space="preserve">Tamboer, P., Voorst, H.C.M., de Jong, P.F., 2017, Six factors of adult dyslexia assessed by cognitive tests and self-report questions: very high predictive validity, </w:t>
      </w:r>
      <w:r w:rsidRPr="00143372">
        <w:rPr>
          <w:rFonts w:ascii="Gill Sans MT" w:hAnsi="Gill Sans MT"/>
          <w:i/>
        </w:rPr>
        <w:t>Research in Developmental Disabilities</w:t>
      </w:r>
      <w:r w:rsidRPr="00133CC2">
        <w:rPr>
          <w:rFonts w:ascii="Gill Sans MT" w:hAnsi="Gill Sans MT"/>
        </w:rPr>
        <w:t>, 71, 143-168.</w:t>
      </w:r>
    </w:p>
    <w:p w14:paraId="54E73DAA" w14:textId="77777777" w:rsidR="008816CD" w:rsidRPr="00133CC2" w:rsidRDefault="008816CD" w:rsidP="008816CD">
      <w:pPr>
        <w:spacing w:after="0"/>
        <w:rPr>
          <w:rFonts w:ascii="Gill Sans MT" w:hAnsi="Gill Sans MT"/>
        </w:rPr>
      </w:pPr>
      <w:r w:rsidRPr="00133CC2">
        <w:rPr>
          <w:rFonts w:ascii="Gill Sans MT" w:hAnsi="Gill Sans MT"/>
        </w:rPr>
        <w:t xml:space="preserve">Tamboer, P., Vorst, H.C.M., Oort, F.J., 2014, Identifying dyslexia in adults: An interative method using the predictive value of item scores and self-report questions, </w:t>
      </w:r>
      <w:r w:rsidRPr="00143372">
        <w:rPr>
          <w:rFonts w:ascii="Gill Sans MT" w:hAnsi="Gill Sans MT"/>
          <w:i/>
        </w:rPr>
        <w:t>Annals of Dyslexia</w:t>
      </w:r>
      <w:r w:rsidRPr="00133CC2">
        <w:rPr>
          <w:rFonts w:ascii="Gill Sans MT" w:hAnsi="Gill Sans MT"/>
        </w:rPr>
        <w:t>, 64(1), 34-56.</w:t>
      </w:r>
    </w:p>
    <w:p w14:paraId="46359121" w14:textId="77777777" w:rsidR="008816CD" w:rsidRPr="00133CC2" w:rsidRDefault="008816CD" w:rsidP="008816CD">
      <w:pPr>
        <w:spacing w:after="0"/>
        <w:rPr>
          <w:rFonts w:ascii="Gill Sans MT" w:hAnsi="Gill Sans MT"/>
        </w:rPr>
      </w:pPr>
      <w:r w:rsidRPr="00133CC2">
        <w:rPr>
          <w:rFonts w:ascii="Gill Sans MT" w:hAnsi="Gill Sans MT"/>
        </w:rPr>
        <w:t xml:space="preserve">Tamboer, P., Vorst, H.C.M., Oort, F.J., 2016, Five describing factors of dyslexia, </w:t>
      </w:r>
      <w:r w:rsidRPr="00143372">
        <w:rPr>
          <w:rFonts w:ascii="Gill Sans MT" w:hAnsi="Gill Sans MT"/>
          <w:i/>
        </w:rPr>
        <w:t>Journal of Learning Disabilities</w:t>
      </w:r>
      <w:r w:rsidRPr="00133CC2">
        <w:rPr>
          <w:rFonts w:ascii="Gill Sans MT" w:hAnsi="Gill Sans MT"/>
        </w:rPr>
        <w:t>, 49(5), 466-483.</w:t>
      </w:r>
    </w:p>
    <w:p w14:paraId="100D67D2" w14:textId="77777777" w:rsidR="008816CD" w:rsidRDefault="008816CD" w:rsidP="008816CD">
      <w:pPr>
        <w:spacing w:after="0"/>
        <w:rPr>
          <w:rFonts w:ascii="Gill Sans MT" w:hAnsi="Gill Sans MT"/>
        </w:rPr>
      </w:pPr>
      <w:r w:rsidRPr="00133CC2">
        <w:rPr>
          <w:rFonts w:ascii="Gill Sans MT" w:hAnsi="Gill Sans MT"/>
        </w:rPr>
        <w:t>Tanner, K., 2009, Adult dyslexia and the 'conundrum of failure', Disability &amp; Society, 24(6), 785-797.</w:t>
      </w:r>
    </w:p>
    <w:p w14:paraId="6D54AC0B" w14:textId="2DB26ABC" w:rsidR="008816CD" w:rsidRDefault="008816CD" w:rsidP="008816CD">
      <w:pPr>
        <w:spacing w:after="0"/>
        <w:rPr>
          <w:rFonts w:ascii="Gill Sans MT" w:hAnsi="Gill Sans MT"/>
        </w:rPr>
      </w:pPr>
      <w:r>
        <w:rPr>
          <w:rFonts w:ascii="Gill Sans MT" w:hAnsi="Gill Sans MT"/>
        </w:rPr>
        <w:t xml:space="preserve">Tariq, V., Cochrane, A.C., 2003, Reflections on key skills: implementing change in a traditional university, </w:t>
      </w:r>
      <w:r>
        <w:rPr>
          <w:rFonts w:ascii="Gill Sans MT" w:hAnsi="Gill Sans MT"/>
          <w:i/>
        </w:rPr>
        <w:t>Journal of Educational Policy</w:t>
      </w:r>
      <w:r>
        <w:rPr>
          <w:rFonts w:ascii="Gill Sans MT" w:hAnsi="Gill Sans MT"/>
        </w:rPr>
        <w:t>, 18(5), 481-498.</w:t>
      </w:r>
    </w:p>
    <w:p w14:paraId="30B57003" w14:textId="2764DF89" w:rsidR="00451907" w:rsidRPr="00D50EB5" w:rsidRDefault="00451907" w:rsidP="008816CD">
      <w:pPr>
        <w:spacing w:after="0"/>
        <w:rPr>
          <w:rFonts w:ascii="Gill Sans MT" w:hAnsi="Gill Sans MT"/>
        </w:rPr>
      </w:pPr>
      <w:r w:rsidRPr="00451907">
        <w:rPr>
          <w:rFonts w:ascii="Gill Sans MT" w:hAnsi="Gill Sans MT"/>
        </w:rPr>
        <w:t>Tavakol, M., Dennick, R., 2011, Making sense of Cronbach's alpha, International Journal of Medical Education, 2, 53-55.</w:t>
      </w:r>
    </w:p>
    <w:p w14:paraId="64590A25" w14:textId="77777777" w:rsidR="008816CD" w:rsidRPr="00133CC2" w:rsidRDefault="008816CD" w:rsidP="008816CD">
      <w:pPr>
        <w:spacing w:after="0"/>
        <w:rPr>
          <w:rFonts w:ascii="Gill Sans MT" w:hAnsi="Gill Sans MT"/>
        </w:rPr>
      </w:pPr>
      <w:r w:rsidRPr="00133CC2">
        <w:rPr>
          <w:rFonts w:ascii="Gill Sans MT" w:hAnsi="Gill Sans MT"/>
        </w:rPr>
        <w:lastRenderedPageBreak/>
        <w:t xml:space="preserve">Taylor, J., House, B., 2010, An exploration of identity, motivations and concerns of non-traditional students at different stages of higher education, </w:t>
      </w:r>
      <w:r w:rsidRPr="00143372">
        <w:rPr>
          <w:rFonts w:ascii="Gill Sans MT" w:hAnsi="Gill Sans MT"/>
          <w:i/>
        </w:rPr>
        <w:t>Psychology Teaching Review</w:t>
      </w:r>
      <w:r w:rsidRPr="00133CC2">
        <w:rPr>
          <w:rFonts w:ascii="Gill Sans MT" w:hAnsi="Gill Sans MT"/>
        </w:rPr>
        <w:t xml:space="preserve">, 16(1), 46-57. </w:t>
      </w:r>
    </w:p>
    <w:p w14:paraId="46E719DD" w14:textId="77777777" w:rsidR="008816CD" w:rsidRPr="00CB1197" w:rsidRDefault="008816CD" w:rsidP="008816CD">
      <w:pPr>
        <w:spacing w:after="0"/>
        <w:rPr>
          <w:rFonts w:ascii="Gill Sans MT" w:hAnsi="Gill Sans MT"/>
        </w:rPr>
      </w:pPr>
      <w:r>
        <w:rPr>
          <w:rFonts w:ascii="Gill Sans MT" w:hAnsi="Gill Sans MT"/>
        </w:rPr>
        <w:t>Taylor, M.J., Duffy, S., England, D., 2009, Teaching students with dyslexia in higher education,</w:t>
      </w:r>
      <w:r>
        <w:rPr>
          <w:rFonts w:ascii="Gill Sans MT" w:hAnsi="Gill Sans MT"/>
          <w:i/>
        </w:rPr>
        <w:t xml:space="preserve"> Education and Training</w:t>
      </w:r>
      <w:r>
        <w:rPr>
          <w:rFonts w:ascii="Gill Sans MT" w:hAnsi="Gill Sans MT"/>
        </w:rPr>
        <w:t>, 51(2), 139-149.</w:t>
      </w:r>
    </w:p>
    <w:p w14:paraId="2AD806C2" w14:textId="77777777" w:rsidR="008816CD" w:rsidRDefault="008816CD" w:rsidP="008816CD">
      <w:pPr>
        <w:spacing w:after="0"/>
        <w:rPr>
          <w:rFonts w:ascii="Gill Sans MT" w:hAnsi="Gill Sans MT"/>
        </w:rPr>
      </w:pPr>
      <w:r w:rsidRPr="00133CC2">
        <w:rPr>
          <w:rFonts w:ascii="Gill Sans MT" w:hAnsi="Gill Sans MT"/>
        </w:rPr>
        <w:t xml:space="preserve">Teare, P., 2001, Thoughts on the current state of computerized screening assessment, </w:t>
      </w:r>
      <w:r w:rsidRPr="00143372">
        <w:rPr>
          <w:rFonts w:ascii="Gill Sans MT" w:hAnsi="Gill Sans MT"/>
          <w:i/>
        </w:rPr>
        <w:t>Dyslexia</w:t>
      </w:r>
      <w:r w:rsidRPr="00133CC2">
        <w:rPr>
          <w:rFonts w:ascii="Gill Sans MT" w:hAnsi="Gill Sans MT"/>
        </w:rPr>
        <w:t>, 7, 53-55.</w:t>
      </w:r>
    </w:p>
    <w:p w14:paraId="3C88014A" w14:textId="77777777" w:rsidR="008816CD" w:rsidRDefault="008816CD" w:rsidP="008816CD">
      <w:pPr>
        <w:spacing w:after="0"/>
        <w:rPr>
          <w:rFonts w:ascii="Gill Sans MT" w:hAnsi="Gill Sans MT"/>
        </w:rPr>
      </w:pPr>
      <w:r>
        <w:rPr>
          <w:rFonts w:ascii="Gill Sans MT" w:hAnsi="Gill Sans MT"/>
        </w:rPr>
        <w:t xml:space="preserve">Tella, A., 2007, The impact of motivation on students’ academic achievement and learning outcomes in mathematics among secondary school students in Nigeria, </w:t>
      </w:r>
      <w:r>
        <w:rPr>
          <w:rFonts w:ascii="Gill Sans MT" w:hAnsi="Gill Sans MT"/>
          <w:i/>
        </w:rPr>
        <w:t>Eurasia Journal of Mathematics, Science &amp; Technology</w:t>
      </w:r>
      <w:r>
        <w:rPr>
          <w:rFonts w:ascii="Gill Sans MT" w:hAnsi="Gill Sans MT"/>
        </w:rPr>
        <w:t>, 3(2), 149-156.</w:t>
      </w:r>
    </w:p>
    <w:p w14:paraId="48A6524B" w14:textId="77777777" w:rsidR="008816CD" w:rsidRDefault="008816CD" w:rsidP="008816CD">
      <w:pPr>
        <w:spacing w:after="0"/>
        <w:rPr>
          <w:rFonts w:ascii="Gill Sans MT" w:hAnsi="Gill Sans MT"/>
        </w:rPr>
      </w:pPr>
      <w:r>
        <w:rPr>
          <w:rFonts w:ascii="Gill Sans MT" w:hAnsi="Gill Sans MT"/>
        </w:rPr>
        <w:t xml:space="preserve">Temple, E., Poldrack, R.A., Salidis, J., Deutsch, G.K., Tallal, P., Merzenich, M.M., Gabrielli, J.D.E., 2001, Disrupted neural responses to phonological and orthographic processimg in dyslexic children: an fMRI study, </w:t>
      </w:r>
      <w:r>
        <w:rPr>
          <w:rFonts w:ascii="Gill Sans MT" w:hAnsi="Gill Sans MT"/>
          <w:i/>
        </w:rPr>
        <w:t>NeuroReport</w:t>
      </w:r>
      <w:r>
        <w:rPr>
          <w:rFonts w:ascii="Gill Sans MT" w:hAnsi="Gill Sans MT"/>
        </w:rPr>
        <w:t>, 12(2), 299-307.</w:t>
      </w:r>
    </w:p>
    <w:p w14:paraId="2FAFDBFE" w14:textId="77777777" w:rsidR="008816CD" w:rsidRPr="00BB6581" w:rsidRDefault="008816CD" w:rsidP="008816CD">
      <w:pPr>
        <w:spacing w:after="0"/>
        <w:rPr>
          <w:rFonts w:ascii="Gill Sans MT" w:hAnsi="Gill Sans MT"/>
        </w:rPr>
      </w:pPr>
      <w:r>
        <w:rPr>
          <w:rFonts w:ascii="Gill Sans MT" w:hAnsi="Gill Sans MT"/>
        </w:rPr>
        <w:t xml:space="preserve">Temple, E., Deutsch, G.K., Poldrack, R.A., Miller, S.L., Tallal, P., Merzenich, M.M., Gabrielli, J.D., 2003, Neural deficits in children with dyslexia ameliorated by behavioural remediation evidence from functional MRI, </w:t>
      </w:r>
      <w:r>
        <w:rPr>
          <w:rFonts w:ascii="Gill Sans MT" w:hAnsi="Gill Sans MT"/>
          <w:i/>
        </w:rPr>
        <w:t>Proceedings of the National Academy of Sciences</w:t>
      </w:r>
      <w:r>
        <w:rPr>
          <w:rFonts w:ascii="Gill Sans MT" w:hAnsi="Gill Sans MT"/>
        </w:rPr>
        <w:t>, 100(5), 2860-2865.</w:t>
      </w:r>
    </w:p>
    <w:p w14:paraId="08976376" w14:textId="77777777" w:rsidR="008816CD" w:rsidRDefault="008816CD" w:rsidP="008816CD">
      <w:pPr>
        <w:spacing w:after="0"/>
        <w:rPr>
          <w:rFonts w:ascii="Gill Sans MT" w:hAnsi="Gill Sans MT"/>
        </w:rPr>
      </w:pPr>
      <w:r w:rsidRPr="00133CC2">
        <w:rPr>
          <w:rFonts w:ascii="Gill Sans MT" w:hAnsi="Gill Sans MT"/>
        </w:rPr>
        <w:t xml:space="preserve">Terras, M.M., Thompson, L.C., Minnis, H., 2009, Dyslexia and psycho-social functioning: An exploratory study of the role of self-esteem and understanding, </w:t>
      </w:r>
      <w:r w:rsidRPr="00143372">
        <w:rPr>
          <w:rFonts w:ascii="Gill Sans MT" w:hAnsi="Gill Sans MT"/>
          <w:i/>
        </w:rPr>
        <w:t>Dyslexia</w:t>
      </w:r>
      <w:r w:rsidRPr="00133CC2">
        <w:rPr>
          <w:rFonts w:ascii="Gill Sans MT" w:hAnsi="Gill Sans MT"/>
        </w:rPr>
        <w:t>, 15(4), 304-327.</w:t>
      </w:r>
    </w:p>
    <w:p w14:paraId="32CF6495" w14:textId="77777777" w:rsidR="008816CD" w:rsidRPr="000724B8" w:rsidRDefault="008816CD" w:rsidP="008816CD">
      <w:pPr>
        <w:spacing w:after="0"/>
        <w:rPr>
          <w:rFonts w:ascii="Gill Sans MT" w:hAnsi="Gill Sans MT"/>
        </w:rPr>
      </w:pPr>
      <w:r>
        <w:rPr>
          <w:rFonts w:ascii="Gill Sans MT" w:hAnsi="Gill Sans MT"/>
        </w:rPr>
        <w:t xml:space="preserve">Terzi, L., 2005, Beyond the dilemma of difference: the capability approach to disability and special educational needs, </w:t>
      </w:r>
      <w:r>
        <w:rPr>
          <w:rFonts w:ascii="Gill Sans MT" w:hAnsi="Gill Sans MT"/>
          <w:i/>
        </w:rPr>
        <w:t>Journal of Philosophy of Education</w:t>
      </w:r>
      <w:r>
        <w:rPr>
          <w:rFonts w:ascii="Gill Sans MT" w:hAnsi="Gill Sans MT"/>
        </w:rPr>
        <w:t>, 39(3), 443-459.</w:t>
      </w:r>
    </w:p>
    <w:p w14:paraId="5952833E" w14:textId="77777777" w:rsidR="008816CD" w:rsidRDefault="008816CD" w:rsidP="008816CD">
      <w:pPr>
        <w:spacing w:after="0"/>
        <w:rPr>
          <w:rFonts w:ascii="Gill Sans MT" w:hAnsi="Gill Sans MT"/>
        </w:rPr>
      </w:pPr>
      <w:r>
        <w:rPr>
          <w:rFonts w:ascii="Gill Sans MT" w:hAnsi="Gill Sans MT"/>
        </w:rPr>
        <w:t xml:space="preserve">Texthelp Ltd., 2015, </w:t>
      </w:r>
      <w:r>
        <w:rPr>
          <w:rFonts w:ascii="Gill Sans MT" w:hAnsi="Gill Sans MT"/>
          <w:i/>
        </w:rPr>
        <w:t>Texthelp</w:t>
      </w:r>
      <w:r>
        <w:rPr>
          <w:rFonts w:ascii="Gill Sans MT" w:hAnsi="Gill Sans MT"/>
        </w:rPr>
        <w:t xml:space="preserve">, Available at: </w:t>
      </w:r>
      <w:hyperlink r:id="rId71" w:history="1">
        <w:r w:rsidRPr="007612E0">
          <w:rPr>
            <w:rStyle w:val="Hyperlink"/>
            <w:rFonts w:ascii="Gill Sans MT" w:hAnsi="Gill Sans MT"/>
          </w:rPr>
          <w:t>https://www.texthelp.com/en-gb/default.aspx</w:t>
        </w:r>
      </w:hyperlink>
      <w:r>
        <w:rPr>
          <w:rFonts w:ascii="Gill Sans MT" w:hAnsi="Gill Sans MT"/>
        </w:rPr>
        <w:t>, Accessed on: 25</w:t>
      </w:r>
      <w:r w:rsidRPr="00267B2F">
        <w:rPr>
          <w:rFonts w:ascii="Gill Sans MT" w:hAnsi="Gill Sans MT"/>
          <w:vertAlign w:val="superscript"/>
        </w:rPr>
        <w:t>th</w:t>
      </w:r>
      <w:r>
        <w:rPr>
          <w:rFonts w:ascii="Gill Sans MT" w:hAnsi="Gill Sans MT"/>
        </w:rPr>
        <w:t xml:space="preserve"> February 2017.</w:t>
      </w:r>
    </w:p>
    <w:p w14:paraId="4D81B691" w14:textId="77777777" w:rsidR="008816CD" w:rsidRPr="00161730" w:rsidRDefault="008816CD" w:rsidP="008816CD">
      <w:pPr>
        <w:spacing w:after="0"/>
        <w:rPr>
          <w:rFonts w:ascii="Gill Sans MT" w:hAnsi="Gill Sans MT"/>
        </w:rPr>
      </w:pPr>
      <w:r>
        <w:rPr>
          <w:rFonts w:ascii="Gill Sans MT" w:hAnsi="Gill Sans MT"/>
        </w:rPr>
        <w:t xml:space="preserve">Thalheimer, W., Cook, S., 2002, How to calculate effect sizes from published research: A simplified methodology, </w:t>
      </w:r>
      <w:r>
        <w:rPr>
          <w:rFonts w:ascii="Gill Sans MT" w:hAnsi="Gill Sans MT"/>
          <w:i/>
        </w:rPr>
        <w:t>Work-Learning Research</w:t>
      </w:r>
      <w:r>
        <w:rPr>
          <w:rFonts w:ascii="Gill Sans MT" w:hAnsi="Gill Sans MT"/>
        </w:rPr>
        <w:t xml:space="preserve">, Available at: </w:t>
      </w:r>
      <w:hyperlink r:id="rId72" w:history="1">
        <w:r w:rsidRPr="003844B3">
          <w:rPr>
            <w:rStyle w:val="Hyperlink"/>
            <w:rFonts w:ascii="Gill Sans MT" w:hAnsi="Gill Sans MT"/>
          </w:rPr>
          <w:t>https://www.work-learning.com</w:t>
        </w:r>
      </w:hyperlink>
      <w:r>
        <w:rPr>
          <w:rFonts w:ascii="Gill Sans MT" w:hAnsi="Gill Sans MT"/>
        </w:rPr>
        <w:t>, Accessed on 5</w:t>
      </w:r>
      <w:r w:rsidRPr="00D24687">
        <w:rPr>
          <w:rFonts w:ascii="Gill Sans MT" w:hAnsi="Gill Sans MT"/>
          <w:vertAlign w:val="superscript"/>
        </w:rPr>
        <w:t>th</w:t>
      </w:r>
      <w:r>
        <w:rPr>
          <w:rFonts w:ascii="Gill Sans MT" w:hAnsi="Gill Sans MT"/>
        </w:rPr>
        <w:t xml:space="preserve"> May 2018.</w:t>
      </w:r>
    </w:p>
    <w:p w14:paraId="0445B8BD" w14:textId="77777777" w:rsidR="008816CD" w:rsidRPr="00133CC2" w:rsidRDefault="008816CD" w:rsidP="008816CD">
      <w:pPr>
        <w:spacing w:after="0"/>
        <w:rPr>
          <w:rFonts w:ascii="Gill Sans MT" w:hAnsi="Gill Sans MT"/>
        </w:rPr>
      </w:pPr>
      <w:r w:rsidRPr="00133CC2">
        <w:rPr>
          <w:rFonts w:ascii="Gill Sans MT" w:hAnsi="Gill Sans MT"/>
        </w:rPr>
        <w:t xml:space="preserve">Thompson, C., Bacon, A., Auburn, T., 2015, Dyslexic identities in online forum postings, </w:t>
      </w:r>
      <w:r w:rsidRPr="00143372">
        <w:rPr>
          <w:rFonts w:ascii="Gill Sans MT" w:hAnsi="Gill Sans MT"/>
          <w:i/>
        </w:rPr>
        <w:t>Disability and Society</w:t>
      </w:r>
      <w:r w:rsidRPr="00133CC2">
        <w:rPr>
          <w:rFonts w:ascii="Gill Sans MT" w:hAnsi="Gill Sans MT"/>
        </w:rPr>
        <w:t>, 30(9), 1328-1344.</w:t>
      </w:r>
    </w:p>
    <w:p w14:paraId="01CCD8E5" w14:textId="77777777" w:rsidR="008816CD" w:rsidRPr="00133CC2" w:rsidRDefault="008816CD" w:rsidP="008816CD">
      <w:pPr>
        <w:spacing w:after="0"/>
        <w:rPr>
          <w:rFonts w:ascii="Gill Sans MT" w:hAnsi="Gill Sans MT"/>
        </w:rPr>
      </w:pPr>
      <w:r w:rsidRPr="00133CC2">
        <w:rPr>
          <w:rFonts w:ascii="Gill Sans MT" w:hAnsi="Gill Sans MT"/>
        </w:rPr>
        <w:t xml:space="preserve">Thomson, M.E., 1999, Subtypes of dyslexia: a teaching artefact? </w:t>
      </w:r>
      <w:r w:rsidRPr="00143372">
        <w:rPr>
          <w:rFonts w:ascii="Gill Sans MT" w:hAnsi="Gill Sans MT"/>
          <w:i/>
        </w:rPr>
        <w:t>Dyslexia</w:t>
      </w:r>
      <w:r w:rsidRPr="00133CC2">
        <w:rPr>
          <w:rFonts w:ascii="Gill Sans MT" w:hAnsi="Gill Sans MT"/>
        </w:rPr>
        <w:t xml:space="preserve">, 5(3), 127-137. </w:t>
      </w:r>
    </w:p>
    <w:p w14:paraId="2AA97F71" w14:textId="77777777" w:rsidR="008816CD" w:rsidRPr="00133CC2" w:rsidRDefault="008816CD" w:rsidP="008816CD">
      <w:pPr>
        <w:spacing w:after="0"/>
        <w:rPr>
          <w:rFonts w:ascii="Gill Sans MT" w:hAnsi="Gill Sans MT"/>
        </w:rPr>
      </w:pPr>
      <w:r w:rsidRPr="00133CC2">
        <w:rPr>
          <w:rFonts w:ascii="Gill Sans MT" w:hAnsi="Gill Sans MT"/>
        </w:rPr>
        <w:t>Thuen, E., Bru, E., 2000, Learning environment, meaningfulness of schoolwor</w:t>
      </w:r>
      <w:r>
        <w:rPr>
          <w:rFonts w:ascii="Gill Sans MT" w:hAnsi="Gill Sans MT"/>
        </w:rPr>
        <w:t>k and on-task-orientation among</w:t>
      </w:r>
      <w:r w:rsidRPr="00133CC2">
        <w:rPr>
          <w:rFonts w:ascii="Gill Sans MT" w:hAnsi="Gill Sans MT"/>
        </w:rPr>
        <w:t xml:space="preserve"> Norwegian 9th grade students, </w:t>
      </w:r>
      <w:r w:rsidRPr="00143372">
        <w:rPr>
          <w:rFonts w:ascii="Gill Sans MT" w:hAnsi="Gill Sans MT"/>
          <w:i/>
        </w:rPr>
        <w:t>School Psychology International</w:t>
      </w:r>
      <w:r w:rsidRPr="00133CC2">
        <w:rPr>
          <w:rFonts w:ascii="Gill Sans MT" w:hAnsi="Gill Sans MT"/>
        </w:rPr>
        <w:t>, 21(4), 393-413.</w:t>
      </w:r>
    </w:p>
    <w:p w14:paraId="438AD903" w14:textId="77777777" w:rsidR="008816CD" w:rsidRPr="00133CC2" w:rsidRDefault="008816CD" w:rsidP="008816CD">
      <w:pPr>
        <w:spacing w:after="0"/>
        <w:rPr>
          <w:rFonts w:ascii="Gill Sans MT" w:hAnsi="Gill Sans MT"/>
        </w:rPr>
      </w:pPr>
      <w:r w:rsidRPr="00133CC2">
        <w:rPr>
          <w:rFonts w:ascii="Gill Sans MT" w:hAnsi="Gill Sans MT"/>
        </w:rPr>
        <w:t xml:space="preserve">Tops, W., Callens, M., Lammertyn, J., Hees, V., Brysbaert, M., 2012, Identifying students with dyslexia in higher education, </w:t>
      </w:r>
      <w:r w:rsidRPr="00143372">
        <w:rPr>
          <w:rFonts w:ascii="Gill Sans MT" w:hAnsi="Gill Sans MT"/>
          <w:i/>
        </w:rPr>
        <w:t>Annals of Dyslexia</w:t>
      </w:r>
      <w:r w:rsidRPr="00133CC2">
        <w:rPr>
          <w:rFonts w:ascii="Gill Sans MT" w:hAnsi="Gill Sans MT"/>
        </w:rPr>
        <w:t xml:space="preserve">, 62(3), 186-203 </w:t>
      </w:r>
    </w:p>
    <w:p w14:paraId="40B41318" w14:textId="77777777" w:rsidR="008816CD" w:rsidRPr="00133CC2" w:rsidRDefault="008816CD" w:rsidP="008816CD">
      <w:pPr>
        <w:spacing w:after="0"/>
        <w:rPr>
          <w:rFonts w:ascii="Gill Sans MT" w:hAnsi="Gill Sans MT"/>
        </w:rPr>
      </w:pPr>
      <w:r w:rsidRPr="00133CC2">
        <w:rPr>
          <w:rFonts w:ascii="Gill Sans MT" w:hAnsi="Gill Sans MT"/>
        </w:rPr>
        <w:t xml:space="preserve">Trammell, J., 2009, Postsecondary students and disability stigma: development of the postsecondary student survey of disability-related stigma (PSSDS), </w:t>
      </w:r>
      <w:r w:rsidRPr="00143372">
        <w:rPr>
          <w:rFonts w:ascii="Gill Sans MT" w:hAnsi="Gill Sans MT"/>
          <w:i/>
        </w:rPr>
        <w:t>Journal of Postsecondary Education &amp; Disability</w:t>
      </w:r>
      <w:r w:rsidRPr="00133CC2">
        <w:rPr>
          <w:rFonts w:ascii="Gill Sans MT" w:hAnsi="Gill Sans MT"/>
        </w:rPr>
        <w:t>, 22(2), 106-116</w:t>
      </w:r>
    </w:p>
    <w:p w14:paraId="574D52BD" w14:textId="77777777" w:rsidR="008816CD" w:rsidRDefault="008816CD" w:rsidP="008816CD">
      <w:pPr>
        <w:spacing w:after="0"/>
        <w:rPr>
          <w:rFonts w:ascii="Gill Sans MT" w:hAnsi="Gill Sans MT"/>
        </w:rPr>
      </w:pPr>
      <w:r w:rsidRPr="00133CC2">
        <w:rPr>
          <w:rFonts w:ascii="Gill Sans MT" w:hAnsi="Gill Sans MT"/>
        </w:rPr>
        <w:t xml:space="preserve">Travers, C.J., Morisano, D., Locke, E.A., </w:t>
      </w:r>
      <w:r>
        <w:rPr>
          <w:rFonts w:ascii="Gill Sans MT" w:hAnsi="Gill Sans MT"/>
        </w:rPr>
        <w:t xml:space="preserve">2013, </w:t>
      </w:r>
      <w:r w:rsidRPr="00133CC2">
        <w:rPr>
          <w:rFonts w:ascii="Gill Sans MT" w:hAnsi="Gill Sans MT"/>
        </w:rPr>
        <w:t xml:space="preserve">Growth goals and academic achievement, </w:t>
      </w:r>
      <w:r w:rsidRPr="00143372">
        <w:rPr>
          <w:rFonts w:ascii="Gill Sans MT" w:hAnsi="Gill Sans MT"/>
          <w:i/>
        </w:rPr>
        <w:t>Unpublished paper</w:t>
      </w:r>
      <w:r w:rsidRPr="00133CC2">
        <w:rPr>
          <w:rFonts w:ascii="Gill Sans MT" w:hAnsi="Gill Sans MT"/>
        </w:rPr>
        <w:t>, Loughborough University.</w:t>
      </w:r>
    </w:p>
    <w:p w14:paraId="4C6C0064" w14:textId="77777777" w:rsidR="008816CD" w:rsidRPr="000B6819" w:rsidRDefault="008816CD" w:rsidP="008816CD">
      <w:pPr>
        <w:spacing w:after="0"/>
        <w:rPr>
          <w:rFonts w:ascii="Gill Sans MT" w:hAnsi="Gill Sans MT"/>
        </w:rPr>
      </w:pPr>
      <w:r>
        <w:rPr>
          <w:rFonts w:ascii="Gill Sans MT" w:hAnsi="Gill Sans MT"/>
        </w:rPr>
        <w:t xml:space="preserve">Trecy, M.P., Steve, M., Martine, P., 2013, Impaired short-term memory for order in adults with dyslexia, </w:t>
      </w:r>
      <w:r>
        <w:rPr>
          <w:rFonts w:ascii="Gill Sans MT" w:hAnsi="Gill Sans MT"/>
          <w:i/>
        </w:rPr>
        <w:t>Research in Developmental Disabilities</w:t>
      </w:r>
      <w:r>
        <w:rPr>
          <w:rFonts w:ascii="Gill Sans MT" w:hAnsi="Gill Sans MT"/>
        </w:rPr>
        <w:t>, 34(7), 2211-2223.</w:t>
      </w:r>
    </w:p>
    <w:p w14:paraId="6657CD19" w14:textId="77777777" w:rsidR="008816CD" w:rsidRPr="00133CC2" w:rsidRDefault="008816CD" w:rsidP="008816CD">
      <w:pPr>
        <w:spacing w:after="0"/>
        <w:rPr>
          <w:rFonts w:ascii="Gill Sans MT" w:hAnsi="Gill Sans MT"/>
        </w:rPr>
      </w:pPr>
      <w:r w:rsidRPr="00133CC2">
        <w:rPr>
          <w:rFonts w:ascii="Gill Sans MT" w:hAnsi="Gill Sans MT"/>
        </w:rPr>
        <w:t xml:space="preserve">Treiblmaier, H., Filzmoser, P., 2011, </w:t>
      </w:r>
      <w:r w:rsidRPr="00143372">
        <w:rPr>
          <w:rFonts w:ascii="Gill Sans MT" w:hAnsi="Gill Sans MT"/>
          <w:i/>
        </w:rPr>
        <w:t>Benefits from using continuous rating scales in online survey research</w:t>
      </w:r>
      <w:r w:rsidRPr="00133CC2">
        <w:rPr>
          <w:rFonts w:ascii="Gill Sans MT" w:hAnsi="Gill Sans MT"/>
        </w:rPr>
        <w:t>,</w:t>
      </w:r>
      <w:r>
        <w:rPr>
          <w:rFonts w:ascii="Gill Sans MT" w:hAnsi="Gill Sans MT"/>
        </w:rPr>
        <w:t xml:space="preserve"> </w:t>
      </w:r>
      <w:r w:rsidRPr="00133CC2">
        <w:rPr>
          <w:rFonts w:ascii="Gill Sans MT" w:hAnsi="Gill Sans MT"/>
        </w:rPr>
        <w:t xml:space="preserve">Institut f. Statistik u. Wahrscheinlichkeitstheorie, Vienna. </w:t>
      </w:r>
    </w:p>
    <w:p w14:paraId="516430F1" w14:textId="77777777" w:rsidR="008816CD" w:rsidRPr="00133CC2" w:rsidRDefault="008816CD" w:rsidP="008816CD">
      <w:pPr>
        <w:spacing w:after="0"/>
        <w:rPr>
          <w:rFonts w:ascii="Gill Sans MT" w:hAnsi="Gill Sans MT"/>
        </w:rPr>
      </w:pPr>
      <w:r>
        <w:rPr>
          <w:rFonts w:ascii="Gill Sans MT" w:hAnsi="Gill Sans MT"/>
        </w:rPr>
        <w:lastRenderedPageBreak/>
        <w:t>Trigwell, K., 2010, Judging univ</w:t>
      </w:r>
      <w:r w:rsidRPr="00133CC2">
        <w:rPr>
          <w:rFonts w:ascii="Gill Sans MT" w:hAnsi="Gill Sans MT"/>
        </w:rPr>
        <w:t xml:space="preserve">ersity teaching, </w:t>
      </w:r>
      <w:r w:rsidRPr="00143372">
        <w:rPr>
          <w:rFonts w:ascii="Gill Sans MT" w:hAnsi="Gill Sans MT"/>
          <w:i/>
        </w:rPr>
        <w:t>International Journal for Academic Development</w:t>
      </w:r>
      <w:r w:rsidRPr="00133CC2">
        <w:rPr>
          <w:rFonts w:ascii="Gill Sans MT" w:hAnsi="Gill Sans MT"/>
        </w:rPr>
        <w:t xml:space="preserve">, 6(1), 65-73. </w:t>
      </w:r>
    </w:p>
    <w:p w14:paraId="0BB666DE" w14:textId="77777777" w:rsidR="008816CD" w:rsidRPr="00133CC2" w:rsidRDefault="008816CD" w:rsidP="008816CD">
      <w:pPr>
        <w:spacing w:after="0"/>
        <w:rPr>
          <w:rFonts w:ascii="Gill Sans MT" w:hAnsi="Gill Sans MT"/>
        </w:rPr>
      </w:pPr>
      <w:r w:rsidRPr="00133CC2">
        <w:rPr>
          <w:rFonts w:ascii="Gill Sans MT" w:hAnsi="Gill Sans MT"/>
        </w:rPr>
        <w:t>Tschannen-Moran, M., Barr, M., 2004, Forstering student learning: The relationship of collective teacher efficacy and student achievement</w:t>
      </w:r>
      <w:r w:rsidRPr="00143372">
        <w:rPr>
          <w:rFonts w:ascii="Gill Sans MT" w:hAnsi="Gill Sans MT"/>
          <w:i/>
        </w:rPr>
        <w:t>, Leadership and Policy in Schools</w:t>
      </w:r>
      <w:r w:rsidRPr="00133CC2">
        <w:rPr>
          <w:rFonts w:ascii="Gill Sans MT" w:hAnsi="Gill Sans MT"/>
        </w:rPr>
        <w:t>, 3(3), 189-209.</w:t>
      </w:r>
    </w:p>
    <w:p w14:paraId="6F9519E7" w14:textId="77777777" w:rsidR="008816CD" w:rsidRPr="00133CC2" w:rsidRDefault="008816CD" w:rsidP="008816CD">
      <w:pPr>
        <w:spacing w:after="0"/>
        <w:rPr>
          <w:rFonts w:ascii="Gill Sans MT" w:hAnsi="Gill Sans MT"/>
        </w:rPr>
      </w:pPr>
      <w:r w:rsidRPr="00133CC2">
        <w:rPr>
          <w:rFonts w:ascii="Gill Sans MT" w:hAnsi="Gill Sans MT"/>
        </w:rPr>
        <w:t xml:space="preserve">Tschannen-Moran, M., Wollfolk Hoy, A.E., 2002, </w:t>
      </w:r>
      <w:r w:rsidRPr="00143372">
        <w:rPr>
          <w:rFonts w:ascii="Gill Sans MT" w:hAnsi="Gill Sans MT"/>
          <w:i/>
        </w:rPr>
        <w:t>The influence of resources and support on teachers' efficacy beliefs</w:t>
      </w:r>
      <w:r w:rsidRPr="00133CC2">
        <w:rPr>
          <w:rFonts w:ascii="Gill Sans MT" w:hAnsi="Gill Sans MT"/>
        </w:rPr>
        <w:t>. Conference paper presented at the annual meeting of the Amercian Educational Research Association, New Orleans.</w:t>
      </w:r>
    </w:p>
    <w:p w14:paraId="460FA928" w14:textId="77777777" w:rsidR="008816CD" w:rsidRPr="00133CC2" w:rsidRDefault="008816CD" w:rsidP="008816CD">
      <w:pPr>
        <w:spacing w:after="0"/>
        <w:rPr>
          <w:rFonts w:ascii="Gill Sans MT" w:hAnsi="Gill Sans MT"/>
        </w:rPr>
      </w:pPr>
      <w:r w:rsidRPr="00133CC2">
        <w:rPr>
          <w:rFonts w:ascii="Gill Sans MT" w:hAnsi="Gill Sans MT"/>
        </w:rPr>
        <w:t xml:space="preserve">Tsovili, R.D., 2004, The relationship between language teachers' attitudes and teh state-trait anxiety of adolescents with dyslexia, </w:t>
      </w:r>
      <w:r w:rsidRPr="00143372">
        <w:rPr>
          <w:rFonts w:ascii="Gill Sans MT" w:hAnsi="Gill Sans MT"/>
          <w:i/>
        </w:rPr>
        <w:t>Journal of Research in Reading</w:t>
      </w:r>
      <w:r w:rsidRPr="00133CC2">
        <w:rPr>
          <w:rFonts w:ascii="Gill Sans MT" w:hAnsi="Gill Sans MT"/>
        </w:rPr>
        <w:t>, 27(1), 69-86.</w:t>
      </w:r>
    </w:p>
    <w:p w14:paraId="61D92F48" w14:textId="77777777" w:rsidR="008816CD" w:rsidRPr="00133CC2" w:rsidRDefault="008816CD" w:rsidP="008816CD">
      <w:pPr>
        <w:spacing w:after="0"/>
        <w:rPr>
          <w:rFonts w:ascii="Gill Sans MT" w:hAnsi="Gill Sans MT"/>
        </w:rPr>
      </w:pPr>
      <w:r w:rsidRPr="00133CC2">
        <w:rPr>
          <w:rFonts w:ascii="Gill Sans MT" w:hAnsi="Gill Sans MT"/>
        </w:rPr>
        <w:t>Tuan, L.T., 2011, Matching and stretching learners' learning styles</w:t>
      </w:r>
      <w:r w:rsidRPr="00143372">
        <w:rPr>
          <w:rFonts w:ascii="Gill Sans MT" w:hAnsi="Gill Sans MT"/>
          <w:i/>
        </w:rPr>
        <w:t>, Journal of Language Teaching and Research</w:t>
      </w:r>
      <w:r w:rsidRPr="00133CC2">
        <w:rPr>
          <w:rFonts w:ascii="Gill Sans MT" w:hAnsi="Gill Sans MT"/>
        </w:rPr>
        <w:t>, 2(2), 285-294.</w:t>
      </w:r>
    </w:p>
    <w:p w14:paraId="63F7CF7F" w14:textId="5A41952E" w:rsidR="008816CD" w:rsidRDefault="008816CD" w:rsidP="008816CD">
      <w:pPr>
        <w:spacing w:after="0"/>
        <w:rPr>
          <w:rFonts w:ascii="Gill Sans MT" w:hAnsi="Gill Sans MT"/>
        </w:rPr>
      </w:pPr>
      <w:r w:rsidRPr="00133CC2">
        <w:rPr>
          <w:rFonts w:ascii="Gill Sans MT" w:hAnsi="Gill Sans MT"/>
        </w:rPr>
        <w:t xml:space="preserve">Tunmer, W.E., </w:t>
      </w:r>
      <w:r w:rsidR="008E256B">
        <w:rPr>
          <w:rFonts w:ascii="Gill Sans MT" w:hAnsi="Gill Sans MT"/>
        </w:rPr>
        <w:t>C</w:t>
      </w:r>
      <w:r w:rsidRPr="00133CC2">
        <w:rPr>
          <w:rFonts w:ascii="Gill Sans MT" w:hAnsi="Gill Sans MT"/>
        </w:rPr>
        <w:t xml:space="preserve">hapman, J.W., 1996, A developmental model of dyslexia: Can the construct be saved? </w:t>
      </w:r>
      <w:r w:rsidRPr="00143372">
        <w:rPr>
          <w:rFonts w:ascii="Gill Sans MT" w:hAnsi="Gill Sans MT"/>
          <w:i/>
        </w:rPr>
        <w:t>Dyslexia</w:t>
      </w:r>
      <w:r w:rsidRPr="00133CC2">
        <w:rPr>
          <w:rFonts w:ascii="Gill Sans MT" w:hAnsi="Gill Sans MT"/>
        </w:rPr>
        <w:t>, 2(3), 179-189.</w:t>
      </w:r>
    </w:p>
    <w:p w14:paraId="2104EE8A" w14:textId="37F81D9F" w:rsidR="008E256B" w:rsidRPr="008E256B" w:rsidRDefault="008E256B" w:rsidP="008816CD">
      <w:pPr>
        <w:spacing w:after="0"/>
        <w:rPr>
          <w:rFonts w:ascii="Gill Sans MT" w:hAnsi="Gill Sans MT"/>
        </w:rPr>
      </w:pPr>
      <w:r>
        <w:rPr>
          <w:rFonts w:ascii="Gill Sans MT" w:hAnsi="Gill Sans MT"/>
        </w:rPr>
        <w:t xml:space="preserve">Tunmer, W.E., Greaney, K., 2010, Defining dyslexia, </w:t>
      </w:r>
      <w:r>
        <w:rPr>
          <w:rFonts w:ascii="Gill Sans MT" w:hAnsi="Gill Sans MT"/>
          <w:i/>
          <w:iCs/>
        </w:rPr>
        <w:t>Journal of Learning Disabilities</w:t>
      </w:r>
      <w:r>
        <w:rPr>
          <w:rFonts w:ascii="Gill Sans MT" w:hAnsi="Gill Sans MT"/>
        </w:rPr>
        <w:t>, 43(3), 229-243.</w:t>
      </w:r>
    </w:p>
    <w:p w14:paraId="34E01C05" w14:textId="77777777" w:rsidR="008816CD" w:rsidRPr="00C64EFE" w:rsidRDefault="008816CD" w:rsidP="008816CD">
      <w:pPr>
        <w:spacing w:after="0"/>
        <w:rPr>
          <w:rFonts w:ascii="Gill Sans MT" w:hAnsi="Gill Sans MT"/>
        </w:rPr>
      </w:pPr>
      <w:r>
        <w:rPr>
          <w:rFonts w:ascii="Gill Sans MT" w:hAnsi="Gill Sans MT"/>
        </w:rPr>
        <w:t xml:space="preserve">Typeform S.L., 2016, </w:t>
      </w:r>
      <w:r>
        <w:rPr>
          <w:rFonts w:ascii="Gill Sans MT" w:hAnsi="Gill Sans MT"/>
          <w:i/>
        </w:rPr>
        <w:t>Typeform</w:t>
      </w:r>
      <w:r>
        <w:rPr>
          <w:rFonts w:ascii="Gill Sans MT" w:hAnsi="Gill Sans MT"/>
        </w:rPr>
        <w:t>, Available at: https://www.typeform.com</w:t>
      </w:r>
    </w:p>
    <w:p w14:paraId="149FC057" w14:textId="77777777" w:rsidR="008816CD" w:rsidRDefault="008816CD" w:rsidP="008816CD">
      <w:pPr>
        <w:spacing w:after="0"/>
        <w:rPr>
          <w:rFonts w:ascii="Gill Sans MT" w:hAnsi="Gill Sans MT"/>
        </w:rPr>
      </w:pPr>
      <w:r w:rsidRPr="00133CC2">
        <w:rPr>
          <w:rFonts w:ascii="Gill Sans MT" w:hAnsi="Gill Sans MT"/>
        </w:rPr>
        <w:t xml:space="preserve">UCAS, 2017, </w:t>
      </w:r>
      <w:r w:rsidRPr="00143372">
        <w:rPr>
          <w:rFonts w:ascii="Gill Sans MT" w:hAnsi="Gill Sans MT"/>
          <w:i/>
        </w:rPr>
        <w:t>UK application rates by the January deadline (2017 cycle)</w:t>
      </w:r>
      <w:r w:rsidRPr="00133CC2">
        <w:rPr>
          <w:rFonts w:ascii="Gill Sans MT" w:hAnsi="Gill Sans MT"/>
        </w:rPr>
        <w:t>, UCAS Analysis and Research, UCAS.</w:t>
      </w:r>
    </w:p>
    <w:p w14:paraId="4FA278E2" w14:textId="77777777" w:rsidR="008816CD" w:rsidRDefault="008816CD" w:rsidP="008816CD">
      <w:pPr>
        <w:spacing w:after="0"/>
        <w:rPr>
          <w:rFonts w:ascii="Gill Sans MT" w:hAnsi="Gill Sans MT"/>
        </w:rPr>
      </w:pPr>
      <w:r w:rsidRPr="00390312">
        <w:rPr>
          <w:rFonts w:ascii="Gill Sans MT" w:hAnsi="Gill Sans MT"/>
        </w:rPr>
        <w:t xml:space="preserve">Uccula, A., Enna, M., Mulatti, C., 2014, Colors, colored overlays and reading skills, Frontiers in Psychology, 5, 833, </w:t>
      </w:r>
      <w:r w:rsidRPr="00C952D2">
        <w:rPr>
          <w:rFonts w:ascii="Gill Sans MT" w:hAnsi="Gill Sans MT"/>
          <w:i/>
        </w:rPr>
        <w:t>available at: https://www.frontiersin.org/articles/10.3389/fpsyg.2014.00833/full</w:t>
      </w:r>
      <w:r>
        <w:rPr>
          <w:rFonts w:ascii="Gill Sans MT" w:hAnsi="Gill Sans MT"/>
          <w:i/>
        </w:rPr>
        <w:t>,</w:t>
      </w:r>
      <w:r w:rsidRPr="00390312">
        <w:rPr>
          <w:rFonts w:ascii="Gill Sans MT" w:hAnsi="Gill Sans MT"/>
        </w:rPr>
        <w:t xml:space="preserve"> accessed on: 14th June 2018.</w:t>
      </w:r>
    </w:p>
    <w:p w14:paraId="2704678B" w14:textId="77777777" w:rsidR="008816CD" w:rsidRPr="00133CC2" w:rsidRDefault="008816CD" w:rsidP="008816CD">
      <w:pPr>
        <w:spacing w:after="0"/>
        <w:rPr>
          <w:rFonts w:ascii="Gill Sans MT" w:hAnsi="Gill Sans MT"/>
        </w:rPr>
      </w:pPr>
      <w:r w:rsidRPr="00133CC2">
        <w:rPr>
          <w:rFonts w:ascii="Gill Sans MT" w:hAnsi="Gill Sans MT"/>
        </w:rPr>
        <w:t xml:space="preserve">Uitto, A., 2014, Interest, attitudes and self-efficacy beliefs explaining upper-secondary school students' orientation towards biology-related careers, </w:t>
      </w:r>
      <w:r w:rsidRPr="00143372">
        <w:rPr>
          <w:rFonts w:ascii="Gill Sans MT" w:hAnsi="Gill Sans MT"/>
          <w:i/>
        </w:rPr>
        <w:t>International Journal of Science and Mathematics</w:t>
      </w:r>
      <w:r>
        <w:rPr>
          <w:rFonts w:ascii="Gill Sans MT" w:hAnsi="Gill Sans MT"/>
        </w:rPr>
        <w:t>, 12, 1425-1444.</w:t>
      </w:r>
    </w:p>
    <w:p w14:paraId="6F05197C" w14:textId="77777777" w:rsidR="008816CD" w:rsidRPr="00133CC2" w:rsidRDefault="008816CD" w:rsidP="008816CD">
      <w:pPr>
        <w:spacing w:after="0"/>
        <w:rPr>
          <w:rFonts w:ascii="Gill Sans MT" w:hAnsi="Gill Sans MT"/>
        </w:rPr>
      </w:pPr>
      <w:r w:rsidRPr="00133CC2">
        <w:rPr>
          <w:rFonts w:ascii="Gill Sans MT" w:hAnsi="Gill Sans MT"/>
        </w:rPr>
        <w:t xml:space="preserve">Unachukwu, G.O., Emenike, C.B., 2016, Online social network usage and influence on secondary school students in Anambra State, Nigeria - Implications for school administrators. </w:t>
      </w:r>
      <w:r w:rsidRPr="00143372">
        <w:rPr>
          <w:rFonts w:ascii="Gill Sans MT" w:hAnsi="Gill Sans MT"/>
          <w:i/>
        </w:rPr>
        <w:t>International Educational Scientific Research Journal</w:t>
      </w:r>
      <w:r w:rsidRPr="00133CC2">
        <w:rPr>
          <w:rFonts w:ascii="Gill Sans MT" w:hAnsi="Gill Sans MT"/>
        </w:rPr>
        <w:t>, 2(8), 10-12.</w:t>
      </w:r>
    </w:p>
    <w:p w14:paraId="31AF89A8" w14:textId="77777777" w:rsidR="008816CD" w:rsidRDefault="008816CD" w:rsidP="008816CD">
      <w:pPr>
        <w:spacing w:after="0"/>
        <w:rPr>
          <w:rFonts w:ascii="Gill Sans MT" w:hAnsi="Gill Sans MT"/>
        </w:rPr>
      </w:pPr>
      <w:r w:rsidRPr="00133CC2">
        <w:rPr>
          <w:rFonts w:ascii="Gill Sans MT" w:hAnsi="Gill Sans MT"/>
        </w:rPr>
        <w:t>Undheim, A.M., 2009, A thirteen-year follow-up study of young Norwegian a</w:t>
      </w:r>
      <w:r>
        <w:rPr>
          <w:rFonts w:ascii="Gill Sans MT" w:hAnsi="Gill Sans MT"/>
        </w:rPr>
        <w:t>dults with dyslexia in childhood</w:t>
      </w:r>
      <w:r w:rsidRPr="00133CC2">
        <w:rPr>
          <w:rFonts w:ascii="Gill Sans MT" w:hAnsi="Gill Sans MT"/>
        </w:rPr>
        <w:t xml:space="preserve">: reading development and educational skills, </w:t>
      </w:r>
      <w:r w:rsidRPr="00143372">
        <w:rPr>
          <w:rFonts w:ascii="Gill Sans MT" w:hAnsi="Gill Sans MT"/>
          <w:i/>
        </w:rPr>
        <w:t>Dyslexia</w:t>
      </w:r>
      <w:r>
        <w:rPr>
          <w:rFonts w:ascii="Gill Sans MT" w:hAnsi="Gill Sans MT"/>
        </w:rPr>
        <w:t>, 15(4), 291-303.</w:t>
      </w:r>
    </w:p>
    <w:p w14:paraId="3640C32E" w14:textId="77777777" w:rsidR="008816CD" w:rsidRPr="00133CC2" w:rsidRDefault="008816CD" w:rsidP="008816CD">
      <w:pPr>
        <w:spacing w:before="240" w:after="0"/>
        <w:rPr>
          <w:rFonts w:ascii="Gill Sans MT" w:hAnsi="Gill Sans MT"/>
        </w:rPr>
      </w:pPr>
      <w:r w:rsidRPr="009E436D">
        <w:rPr>
          <w:rFonts w:ascii="Gill Sans MT" w:hAnsi="Gill Sans MT"/>
        </w:rPr>
        <w:t xml:space="preserve">UNESCO, 2017, </w:t>
      </w:r>
      <w:r w:rsidRPr="00545EAB">
        <w:rPr>
          <w:rFonts w:ascii="Gill Sans MT" w:hAnsi="Gill Sans MT"/>
          <w:i/>
        </w:rPr>
        <w:t>In Pursuit of Smart Learning Environments for the 21st Century</w:t>
      </w:r>
      <w:r w:rsidRPr="009E436D">
        <w:rPr>
          <w:rFonts w:ascii="Gill Sans MT" w:hAnsi="Gill Sans MT"/>
        </w:rPr>
        <w:t>, Available at: http://unesdoc.unesco.org/images/0025/002523/252335e.pdf, Accessed on: 14th June 2018.</w:t>
      </w:r>
    </w:p>
    <w:p w14:paraId="6D8C8AAF" w14:textId="676BD417" w:rsidR="008816CD" w:rsidRDefault="008816CD" w:rsidP="008816CD">
      <w:pPr>
        <w:spacing w:after="0"/>
        <w:rPr>
          <w:rFonts w:ascii="Gill Sans MT" w:hAnsi="Gill Sans MT"/>
        </w:rPr>
      </w:pPr>
      <w:r w:rsidRPr="00133CC2">
        <w:rPr>
          <w:rFonts w:ascii="Gill Sans MT" w:hAnsi="Gill Sans MT"/>
        </w:rPr>
        <w:t xml:space="preserve">Upton, D., Adams, S., 2005, Individual differences in online learning, </w:t>
      </w:r>
      <w:r w:rsidRPr="00143372">
        <w:rPr>
          <w:rFonts w:ascii="Gill Sans MT" w:hAnsi="Gill Sans MT"/>
          <w:i/>
        </w:rPr>
        <w:t>Psychology Learning and Teaching</w:t>
      </w:r>
      <w:r w:rsidRPr="00133CC2">
        <w:rPr>
          <w:rFonts w:ascii="Gill Sans MT" w:hAnsi="Gill Sans MT"/>
        </w:rPr>
        <w:t>, 5(2), 141-145.</w:t>
      </w:r>
    </w:p>
    <w:p w14:paraId="2EB46D0B" w14:textId="56BF73AB" w:rsidR="006102C0" w:rsidRPr="006102C0" w:rsidRDefault="006102C0" w:rsidP="008816CD">
      <w:pPr>
        <w:spacing w:after="0"/>
        <w:rPr>
          <w:rFonts w:ascii="Gill Sans MT" w:hAnsi="Gill Sans MT"/>
        </w:rPr>
      </w:pPr>
      <w:r>
        <w:rPr>
          <w:rFonts w:ascii="Gill Sans MT" w:hAnsi="Gill Sans MT"/>
        </w:rPr>
        <w:t xml:space="preserve">Usher, E.L., Pajares, F., 2006, Sources of academic and self-regulatory efficacy beliefs of entering middle school students, </w:t>
      </w:r>
      <w:r>
        <w:rPr>
          <w:rFonts w:ascii="Gill Sans MT" w:hAnsi="Gill Sans MT"/>
          <w:i/>
          <w:iCs/>
        </w:rPr>
        <w:t>Contemporary Educational Psychology</w:t>
      </w:r>
      <w:r>
        <w:rPr>
          <w:rFonts w:ascii="Gill Sans MT" w:hAnsi="Gill Sans MT"/>
        </w:rPr>
        <w:t>, 31(2), 125-141.</w:t>
      </w:r>
    </w:p>
    <w:p w14:paraId="43B146A6" w14:textId="77777777" w:rsidR="008816CD" w:rsidRPr="00133CC2" w:rsidRDefault="008816CD" w:rsidP="008816CD">
      <w:pPr>
        <w:spacing w:after="0"/>
        <w:rPr>
          <w:rFonts w:ascii="Gill Sans MT" w:hAnsi="Gill Sans MT"/>
        </w:rPr>
      </w:pPr>
      <w:r w:rsidRPr="00133CC2">
        <w:rPr>
          <w:rFonts w:ascii="Gill Sans MT" w:hAnsi="Gill Sans MT"/>
        </w:rPr>
        <w:t xml:space="preserve">Usher, E.L., Pajares, F., 2008, Sources of self-efficacy in schools: critical review of the literature and future directions, </w:t>
      </w:r>
      <w:r w:rsidRPr="00143372">
        <w:rPr>
          <w:rFonts w:ascii="Gill Sans MT" w:hAnsi="Gill Sans MT"/>
          <w:i/>
        </w:rPr>
        <w:t>Review of Educational Research</w:t>
      </w:r>
      <w:r w:rsidRPr="00133CC2">
        <w:rPr>
          <w:rFonts w:ascii="Gill Sans MT" w:hAnsi="Gill Sans MT"/>
        </w:rPr>
        <w:t>, 78(4), 751-796.</w:t>
      </w:r>
    </w:p>
    <w:p w14:paraId="02F01784" w14:textId="5B5132DF" w:rsidR="008816CD" w:rsidRDefault="008816CD" w:rsidP="008816CD">
      <w:pPr>
        <w:spacing w:after="0"/>
        <w:rPr>
          <w:rFonts w:ascii="Gill Sans MT" w:hAnsi="Gill Sans MT"/>
        </w:rPr>
      </w:pPr>
      <w:r w:rsidRPr="00133CC2">
        <w:rPr>
          <w:rFonts w:ascii="Gill Sans MT" w:hAnsi="Gill Sans MT"/>
        </w:rPr>
        <w:t xml:space="preserve">Valas, H., 1999, Students with learning disabilities and low-achieving students: peer acceptance, loneliness, self-esteem and depression, </w:t>
      </w:r>
      <w:r w:rsidRPr="00143372">
        <w:rPr>
          <w:rFonts w:ascii="Gill Sans MT" w:hAnsi="Gill Sans MT"/>
          <w:i/>
        </w:rPr>
        <w:t>Social Psychology of Education</w:t>
      </w:r>
      <w:r w:rsidRPr="00133CC2">
        <w:rPr>
          <w:rFonts w:ascii="Gill Sans MT" w:hAnsi="Gill Sans MT"/>
        </w:rPr>
        <w:t>, 3, 173-192.</w:t>
      </w:r>
    </w:p>
    <w:p w14:paraId="55198148" w14:textId="2A987E1C" w:rsidR="00B969C7" w:rsidRDefault="00B969C7" w:rsidP="008816CD">
      <w:pPr>
        <w:spacing w:after="0"/>
        <w:rPr>
          <w:rFonts w:ascii="Gill Sans MT" w:hAnsi="Gill Sans MT"/>
        </w:rPr>
      </w:pPr>
      <w:r>
        <w:rPr>
          <w:rFonts w:ascii="Gill Sans MT" w:hAnsi="Gill Sans MT"/>
        </w:rPr>
        <w:t xml:space="preserve">Velicer, </w:t>
      </w:r>
      <w:r w:rsidR="00847686">
        <w:rPr>
          <w:rFonts w:ascii="Gill Sans MT" w:hAnsi="Gill Sans MT"/>
        </w:rPr>
        <w:t xml:space="preserve">W.F., 1976, Determining the number of factors from the matrix of partial correlations, </w:t>
      </w:r>
      <w:r w:rsidR="00847686">
        <w:rPr>
          <w:rFonts w:ascii="Gill Sans MT" w:hAnsi="Gill Sans MT"/>
          <w:i/>
          <w:iCs/>
        </w:rPr>
        <w:t>Psychometrika</w:t>
      </w:r>
      <w:r w:rsidR="00847686">
        <w:rPr>
          <w:rFonts w:ascii="Gill Sans MT" w:hAnsi="Gill Sans MT"/>
        </w:rPr>
        <w:t>, 41(3), 321-327.</w:t>
      </w:r>
    </w:p>
    <w:p w14:paraId="372AB829" w14:textId="4960CFA9" w:rsidR="00C7508F" w:rsidRPr="00C7508F" w:rsidRDefault="00C7508F" w:rsidP="008816CD">
      <w:pPr>
        <w:spacing w:after="0"/>
        <w:rPr>
          <w:rFonts w:ascii="Gill Sans MT" w:hAnsi="Gill Sans MT"/>
        </w:rPr>
      </w:pPr>
      <w:r>
        <w:rPr>
          <w:rFonts w:ascii="Gill Sans MT" w:hAnsi="Gill Sans MT"/>
        </w:rPr>
        <w:lastRenderedPageBreak/>
        <w:t xml:space="preserve">Velicer, W.F., Eaton, C.A., Fava, J.L., 2000, Construct explication through Factor of Component Analysis: A review and evaluation of alternative procedures for determining the number of factors or components, IN: Goffin, R.D., Helmes, E., (Eds), </w:t>
      </w:r>
      <w:r>
        <w:rPr>
          <w:rFonts w:ascii="Gill Sans MT" w:hAnsi="Gill Sans MT"/>
          <w:i/>
          <w:iCs/>
        </w:rPr>
        <w:t>Problems and Solutions in Human Assessment</w:t>
      </w:r>
      <w:r>
        <w:rPr>
          <w:rFonts w:ascii="Gill Sans MT" w:hAnsi="Gill Sans MT"/>
        </w:rPr>
        <w:t>, Springer, Boston MA.</w:t>
      </w:r>
    </w:p>
    <w:p w14:paraId="4FC2C1D3" w14:textId="77777777" w:rsidR="008816CD" w:rsidRPr="00133CC2" w:rsidRDefault="008816CD" w:rsidP="008816CD">
      <w:pPr>
        <w:spacing w:after="0"/>
        <w:rPr>
          <w:rFonts w:ascii="Gill Sans MT" w:hAnsi="Gill Sans MT"/>
        </w:rPr>
      </w:pPr>
      <w:r w:rsidRPr="00133CC2">
        <w:rPr>
          <w:rFonts w:ascii="Gill Sans MT" w:hAnsi="Gill Sans MT"/>
        </w:rPr>
        <w:t xml:space="preserve">Vellutino, F.R., Fletcher, J.M., Snowling, M.J., Scanlon, D.M., 2004, Specific reading disability (dyslexia): what have we learned in the past four decades? </w:t>
      </w:r>
      <w:r w:rsidRPr="00143372">
        <w:rPr>
          <w:rFonts w:ascii="Gill Sans MT" w:hAnsi="Gill Sans MT"/>
          <w:i/>
        </w:rPr>
        <w:t>Journal of Child Psychology and Psychiatry</w:t>
      </w:r>
      <w:r w:rsidRPr="00133CC2">
        <w:rPr>
          <w:rFonts w:ascii="Gill Sans MT" w:hAnsi="Gill Sans MT"/>
        </w:rPr>
        <w:t>, 45(1), 2-40.</w:t>
      </w:r>
    </w:p>
    <w:p w14:paraId="7D928F32" w14:textId="77777777" w:rsidR="008816CD" w:rsidRPr="00133CC2" w:rsidRDefault="008816CD" w:rsidP="008816CD">
      <w:pPr>
        <w:spacing w:after="0"/>
        <w:rPr>
          <w:rFonts w:ascii="Gill Sans MT" w:hAnsi="Gill Sans MT"/>
        </w:rPr>
      </w:pPr>
      <w:r w:rsidRPr="00133CC2">
        <w:rPr>
          <w:rFonts w:ascii="Gill Sans MT" w:hAnsi="Gill Sans MT"/>
        </w:rPr>
        <w:t xml:space="preserve">Vellutino, F.R., Scanlon, D.M., Sipay, E., Small, S., Pratt, A., Chen, R., Denckla, M., 1996, Cognitive profiles of difficult to remediate and readily remediated poor readers: Early intervention as a vehicle for distinguishing between cognitive and experiential deficits as basic causes of specific reading disability,, </w:t>
      </w:r>
      <w:r w:rsidRPr="00143372">
        <w:rPr>
          <w:rFonts w:ascii="Gill Sans MT" w:hAnsi="Gill Sans MT"/>
          <w:i/>
        </w:rPr>
        <w:t>Journal of Educational Psychology</w:t>
      </w:r>
      <w:r w:rsidRPr="00133CC2">
        <w:rPr>
          <w:rFonts w:ascii="Gill Sans MT" w:hAnsi="Gill Sans MT"/>
        </w:rPr>
        <w:t>, 88(4), 601-638.</w:t>
      </w:r>
    </w:p>
    <w:p w14:paraId="7A8C764F" w14:textId="77777777" w:rsidR="008816CD" w:rsidRPr="00133CC2" w:rsidRDefault="008816CD" w:rsidP="008816CD">
      <w:pPr>
        <w:spacing w:after="0"/>
        <w:rPr>
          <w:rFonts w:ascii="Gill Sans MT" w:hAnsi="Gill Sans MT"/>
        </w:rPr>
      </w:pPr>
      <w:r w:rsidRPr="00133CC2">
        <w:rPr>
          <w:rFonts w:ascii="Gill Sans MT" w:hAnsi="Gill Sans MT"/>
        </w:rPr>
        <w:t xml:space="preserve">Vellutino, F.R., Scanlon, D.M., Tanzman, M.S., 1991, Bridging the gap between cognitive and neuro-psychological conceptualizations of reading disability, </w:t>
      </w:r>
      <w:r w:rsidRPr="00143372">
        <w:rPr>
          <w:rFonts w:ascii="Gill Sans MT" w:hAnsi="Gill Sans MT"/>
          <w:i/>
        </w:rPr>
        <w:t>Learning and Individual Differences</w:t>
      </w:r>
      <w:r w:rsidRPr="00133CC2">
        <w:rPr>
          <w:rFonts w:ascii="Gill Sans MT" w:hAnsi="Gill Sans MT"/>
        </w:rPr>
        <w:t>, 3, 181-203.</w:t>
      </w:r>
    </w:p>
    <w:p w14:paraId="79A3AC5B" w14:textId="7D01B27D" w:rsidR="008816CD" w:rsidRDefault="008816CD" w:rsidP="008816CD">
      <w:pPr>
        <w:spacing w:after="0"/>
        <w:rPr>
          <w:rFonts w:ascii="Gill Sans MT" w:hAnsi="Gill Sans MT"/>
        </w:rPr>
      </w:pPr>
      <w:r>
        <w:rPr>
          <w:rFonts w:ascii="Gill Sans MT" w:hAnsi="Gill Sans MT"/>
        </w:rPr>
        <w:t>Vignoles, A., Murray, N., 2016, Widening participation in Higher Education</w:t>
      </w:r>
      <w:r>
        <w:rPr>
          <w:rFonts w:ascii="Gill Sans MT" w:hAnsi="Gill Sans MT"/>
          <w:i/>
        </w:rPr>
        <w:t>, Education Sciences</w:t>
      </w:r>
      <w:r>
        <w:rPr>
          <w:rFonts w:ascii="Gill Sans MT" w:hAnsi="Gill Sans MT"/>
        </w:rPr>
        <w:t>, 6(2), 13-15.</w:t>
      </w:r>
    </w:p>
    <w:p w14:paraId="45295E58" w14:textId="4F0D3454" w:rsidR="009D5419" w:rsidRPr="009D5419" w:rsidRDefault="009D5419" w:rsidP="008816CD">
      <w:pPr>
        <w:spacing w:after="0"/>
        <w:rPr>
          <w:rFonts w:ascii="Gill Sans MT" w:hAnsi="Gill Sans MT"/>
        </w:rPr>
      </w:pPr>
      <w:r>
        <w:rPr>
          <w:rFonts w:ascii="Gill Sans MT" w:hAnsi="Gill Sans MT"/>
        </w:rPr>
        <w:t xml:space="preserve">Vila, P.M., Townsend, M.E., Bhatt, N.K., 2016, The </w:t>
      </w:r>
      <w:r>
        <w:rPr>
          <w:rFonts w:ascii="Gill Sans MT" w:hAnsi="Gill Sans MT"/>
          <w:i/>
          <w:iCs/>
        </w:rPr>
        <w:t>P</w:t>
      </w:r>
      <w:r>
        <w:rPr>
          <w:rFonts w:ascii="Gill Sans MT" w:hAnsi="Gill Sans MT"/>
        </w:rPr>
        <w:t xml:space="preserve">-value outcome in Otolaryngology: Shifting to effect sizes and confidence intervals, </w:t>
      </w:r>
      <w:r>
        <w:rPr>
          <w:rFonts w:ascii="Gill Sans MT" w:hAnsi="Gill Sans MT"/>
          <w:i/>
          <w:iCs/>
        </w:rPr>
        <w:t>Otolaryngology - Head and Neck Surgery</w:t>
      </w:r>
      <w:r>
        <w:rPr>
          <w:rFonts w:ascii="Gill Sans MT" w:hAnsi="Gill Sans MT"/>
        </w:rPr>
        <w:t>, 156(6), 978-980.</w:t>
      </w:r>
    </w:p>
    <w:p w14:paraId="17182269" w14:textId="77777777" w:rsidR="008816CD" w:rsidRDefault="008816CD" w:rsidP="008816CD">
      <w:pPr>
        <w:spacing w:after="0"/>
        <w:rPr>
          <w:rFonts w:ascii="Gill Sans MT" w:hAnsi="Gill Sans MT"/>
        </w:rPr>
      </w:pPr>
      <w:r w:rsidRPr="00133CC2">
        <w:rPr>
          <w:rFonts w:ascii="Gill Sans MT" w:hAnsi="Gill Sans MT"/>
        </w:rPr>
        <w:t xml:space="preserve">Vinegrad, M., 1994, A revised dyslexia checklist, </w:t>
      </w:r>
      <w:r w:rsidRPr="00143372">
        <w:rPr>
          <w:rFonts w:ascii="Gill Sans MT" w:hAnsi="Gill Sans MT"/>
          <w:i/>
        </w:rPr>
        <w:t>Educare</w:t>
      </w:r>
      <w:r w:rsidRPr="00133CC2">
        <w:rPr>
          <w:rFonts w:ascii="Gill Sans MT" w:hAnsi="Gill Sans MT"/>
        </w:rPr>
        <w:t>, 48(3), 21-23.</w:t>
      </w:r>
    </w:p>
    <w:p w14:paraId="13ECD9A8" w14:textId="77777777" w:rsidR="008816CD" w:rsidRPr="00133CC2" w:rsidRDefault="008816CD" w:rsidP="008816CD">
      <w:pPr>
        <w:spacing w:after="0"/>
        <w:rPr>
          <w:rFonts w:ascii="Gill Sans MT" w:hAnsi="Gill Sans MT"/>
        </w:rPr>
      </w:pPr>
      <w:r w:rsidRPr="00133CC2">
        <w:rPr>
          <w:rFonts w:ascii="Gill Sans MT" w:hAnsi="Gill Sans MT"/>
        </w:rPr>
        <w:t xml:space="preserve">Virtanen, P., Nevgi, A., 2010, Disciplinary and gender differences among higher education students in self-regulated learning strategies, </w:t>
      </w:r>
      <w:r w:rsidRPr="00143372">
        <w:rPr>
          <w:rFonts w:ascii="Gill Sans MT" w:hAnsi="Gill Sans MT"/>
          <w:i/>
        </w:rPr>
        <w:t>Educational Psychology</w:t>
      </w:r>
      <w:r w:rsidRPr="00133CC2">
        <w:rPr>
          <w:rFonts w:ascii="Gill Sans MT" w:hAnsi="Gill Sans MT"/>
        </w:rPr>
        <w:t>, 30(3), 323-347.</w:t>
      </w:r>
    </w:p>
    <w:p w14:paraId="0066CEC3" w14:textId="77777777" w:rsidR="008816CD" w:rsidRPr="00133CC2" w:rsidRDefault="008816CD" w:rsidP="008816CD">
      <w:pPr>
        <w:spacing w:after="0"/>
        <w:rPr>
          <w:rFonts w:ascii="Gill Sans MT" w:hAnsi="Gill Sans MT"/>
        </w:rPr>
      </w:pPr>
      <w:r w:rsidRPr="00133CC2">
        <w:rPr>
          <w:rFonts w:ascii="Gill Sans MT" w:hAnsi="Gill Sans MT"/>
        </w:rPr>
        <w:t xml:space="preserve">W3C WAI, 2016, </w:t>
      </w:r>
      <w:r w:rsidRPr="00143372">
        <w:rPr>
          <w:rFonts w:ascii="Gill Sans MT" w:hAnsi="Gill Sans MT"/>
          <w:i/>
        </w:rPr>
        <w:t>Selecting web accessibility evaluation tools</w:t>
      </w:r>
      <w:r w:rsidRPr="00133CC2">
        <w:rPr>
          <w:rFonts w:ascii="Gill Sans MT" w:hAnsi="Gill Sans MT"/>
        </w:rPr>
        <w:t>, Available at: https://www.w3.org/WAI/test-evaluate/, Accessed on: throughout March 2016.</w:t>
      </w:r>
    </w:p>
    <w:p w14:paraId="0316C252" w14:textId="77777777" w:rsidR="008816CD" w:rsidRPr="00133CC2" w:rsidRDefault="008816CD" w:rsidP="008816CD">
      <w:pPr>
        <w:spacing w:after="0"/>
        <w:rPr>
          <w:rFonts w:ascii="Gill Sans MT" w:hAnsi="Gill Sans MT"/>
        </w:rPr>
      </w:pPr>
      <w:r w:rsidRPr="00133CC2">
        <w:rPr>
          <w:rFonts w:ascii="Gill Sans MT" w:hAnsi="Gill Sans MT"/>
        </w:rPr>
        <w:t xml:space="preserve">w3schools.com, 2016, </w:t>
      </w:r>
      <w:r w:rsidRPr="00143372">
        <w:rPr>
          <w:rFonts w:ascii="Gill Sans MT" w:hAnsi="Gill Sans MT"/>
          <w:i/>
        </w:rPr>
        <w:t>Browser Statistics</w:t>
      </w:r>
      <w:r w:rsidRPr="00133CC2">
        <w:rPr>
          <w:rFonts w:ascii="Gill Sans MT" w:hAnsi="Gill Sans MT"/>
        </w:rPr>
        <w:t>, Available at: https://www.w3schools.com/BROWSERS/default.asp, Accessed on: throughout March 2016.</w:t>
      </w:r>
    </w:p>
    <w:p w14:paraId="1B296F1A" w14:textId="77777777" w:rsidR="008816CD" w:rsidRDefault="008816CD" w:rsidP="008816CD">
      <w:pPr>
        <w:spacing w:after="0"/>
        <w:rPr>
          <w:rFonts w:ascii="Gill Sans MT" w:hAnsi="Gill Sans MT"/>
        </w:rPr>
      </w:pPr>
      <w:r w:rsidRPr="00133CC2">
        <w:rPr>
          <w:rFonts w:ascii="Gill Sans MT" w:hAnsi="Gill Sans MT"/>
        </w:rPr>
        <w:t xml:space="preserve">Wadlington, E.M., Wadlington, P.L., 2005, What educators really believe about dyslexia, </w:t>
      </w:r>
      <w:r w:rsidRPr="00143372">
        <w:rPr>
          <w:rFonts w:ascii="Gill Sans MT" w:hAnsi="Gill Sans MT"/>
          <w:i/>
        </w:rPr>
        <w:t>Reading Improvement</w:t>
      </w:r>
      <w:r w:rsidRPr="00133CC2">
        <w:rPr>
          <w:rFonts w:ascii="Gill Sans MT" w:hAnsi="Gill Sans MT"/>
        </w:rPr>
        <w:t xml:space="preserve">, 42(1), 16-33. </w:t>
      </w:r>
    </w:p>
    <w:p w14:paraId="1F97F9D9" w14:textId="77777777" w:rsidR="008816CD" w:rsidRPr="00FB3654" w:rsidRDefault="008816CD" w:rsidP="008816CD">
      <w:pPr>
        <w:spacing w:after="0"/>
        <w:rPr>
          <w:rFonts w:ascii="Gill Sans MT" w:hAnsi="Gill Sans MT"/>
        </w:rPr>
      </w:pPr>
      <w:r w:rsidRPr="00FB3654">
        <w:rPr>
          <w:rFonts w:ascii="Gill Sans MT" w:hAnsi="Gill Sans MT"/>
        </w:rPr>
        <w:t xml:space="preserve">Wagner, R.K., Torgesen, J.K., 1987, The nature of phonological processing and its causal role in the acquisition of reading skills, </w:t>
      </w:r>
      <w:r w:rsidRPr="00692315">
        <w:rPr>
          <w:rFonts w:ascii="Gill Sans MT" w:hAnsi="Gill Sans MT"/>
          <w:i/>
        </w:rPr>
        <w:t>Psychological Bulletin</w:t>
      </w:r>
      <w:r w:rsidRPr="00FB3654">
        <w:rPr>
          <w:rFonts w:ascii="Gill Sans MT" w:hAnsi="Gill Sans MT"/>
        </w:rPr>
        <w:t>, 101(2), 192-212.</w:t>
      </w:r>
    </w:p>
    <w:p w14:paraId="2458C360" w14:textId="77777777" w:rsidR="008816CD" w:rsidRPr="00133CC2" w:rsidRDefault="008816CD" w:rsidP="008816CD">
      <w:pPr>
        <w:spacing w:after="0"/>
        <w:rPr>
          <w:rFonts w:ascii="Gill Sans MT" w:hAnsi="Gill Sans MT"/>
        </w:rPr>
      </w:pPr>
      <w:r w:rsidRPr="00FB3654">
        <w:rPr>
          <w:rFonts w:ascii="Gill Sans MT" w:hAnsi="Gill Sans MT"/>
        </w:rPr>
        <w:t>Wagner, R.K., Torgesen, J.K., Rashotte, C.A., 1994, Development of reading-related phonological processing</w:t>
      </w:r>
      <w:r>
        <w:rPr>
          <w:rFonts w:ascii="Gill Sans MT" w:hAnsi="Gill Sans MT"/>
        </w:rPr>
        <w:t xml:space="preserve"> abilities: New evidence of bidi</w:t>
      </w:r>
      <w:r w:rsidRPr="00FB3654">
        <w:rPr>
          <w:rFonts w:ascii="Gill Sans MT" w:hAnsi="Gill Sans MT"/>
        </w:rPr>
        <w:t>r</w:t>
      </w:r>
      <w:r>
        <w:rPr>
          <w:rFonts w:ascii="Gill Sans MT" w:hAnsi="Gill Sans MT"/>
        </w:rPr>
        <w:t>e</w:t>
      </w:r>
      <w:r w:rsidRPr="00FB3654">
        <w:rPr>
          <w:rFonts w:ascii="Gill Sans MT" w:hAnsi="Gill Sans MT"/>
        </w:rPr>
        <w:t xml:space="preserve">ctional causality from a latent variable longitudinal study, </w:t>
      </w:r>
      <w:r w:rsidRPr="00692315">
        <w:rPr>
          <w:rFonts w:ascii="Gill Sans MT" w:hAnsi="Gill Sans MT"/>
          <w:i/>
        </w:rPr>
        <w:t>Developmental Psychology</w:t>
      </w:r>
      <w:r w:rsidRPr="00FB3654">
        <w:rPr>
          <w:rFonts w:ascii="Gill Sans MT" w:hAnsi="Gill Sans MT"/>
        </w:rPr>
        <w:t>, 30(1), 73-97</w:t>
      </w:r>
    </w:p>
    <w:p w14:paraId="7C4C0B48" w14:textId="77777777" w:rsidR="008816CD" w:rsidRDefault="008816CD" w:rsidP="008816CD">
      <w:pPr>
        <w:spacing w:after="0"/>
        <w:rPr>
          <w:rFonts w:ascii="Gill Sans MT" w:hAnsi="Gill Sans MT"/>
        </w:rPr>
      </w:pPr>
      <w:r w:rsidRPr="00133CC2">
        <w:rPr>
          <w:rFonts w:ascii="Gill Sans MT" w:hAnsi="Gill Sans MT"/>
        </w:rPr>
        <w:t xml:space="preserve">Walker, G., 2013, A cognitive approach to threshold concepts, </w:t>
      </w:r>
      <w:r w:rsidRPr="00143372">
        <w:rPr>
          <w:rFonts w:ascii="Gill Sans MT" w:hAnsi="Gill Sans MT"/>
          <w:i/>
        </w:rPr>
        <w:t>Higher Education</w:t>
      </w:r>
      <w:r w:rsidRPr="00133CC2">
        <w:rPr>
          <w:rFonts w:ascii="Gill Sans MT" w:hAnsi="Gill Sans MT"/>
        </w:rPr>
        <w:t>, 65(2), 247-263.</w:t>
      </w:r>
    </w:p>
    <w:p w14:paraId="0C59C3B4" w14:textId="77777777" w:rsidR="008816CD" w:rsidRDefault="008816CD" w:rsidP="008816CD">
      <w:pPr>
        <w:spacing w:after="0"/>
        <w:rPr>
          <w:rFonts w:ascii="Gill Sans MT" w:hAnsi="Gill Sans MT"/>
        </w:rPr>
      </w:pPr>
      <w:r w:rsidRPr="00133CC2">
        <w:rPr>
          <w:rFonts w:ascii="Gill Sans MT" w:hAnsi="Gill Sans MT"/>
        </w:rPr>
        <w:t xml:space="preserve">Warmington, M., Stothard, S.E., Snowling, M.J., 2013, Assessing dyslexia in higher education: the York adult assessment battery revisited, </w:t>
      </w:r>
      <w:r w:rsidRPr="00143372">
        <w:rPr>
          <w:rFonts w:ascii="Gill Sans MT" w:hAnsi="Gill Sans MT"/>
          <w:i/>
        </w:rPr>
        <w:t>Journal of Research in Special Educational Needs</w:t>
      </w:r>
      <w:r w:rsidRPr="00133CC2">
        <w:rPr>
          <w:rFonts w:ascii="Gill Sans MT" w:hAnsi="Gill Sans MT"/>
        </w:rPr>
        <w:t xml:space="preserve">, 13(1), 48-56. </w:t>
      </w:r>
    </w:p>
    <w:p w14:paraId="6AB599E5" w14:textId="77777777" w:rsidR="008816CD" w:rsidRPr="003515A2" w:rsidRDefault="008816CD" w:rsidP="008816CD">
      <w:pPr>
        <w:spacing w:after="0"/>
        <w:rPr>
          <w:rFonts w:ascii="Gill Sans MT" w:hAnsi="Gill Sans MT"/>
        </w:rPr>
      </w:pPr>
      <w:r>
        <w:rPr>
          <w:rFonts w:ascii="Gill Sans MT" w:hAnsi="Gill Sans MT"/>
        </w:rPr>
        <w:t xml:space="preserve">Warnock, M., 2005, </w:t>
      </w:r>
      <w:r w:rsidRPr="003515A2">
        <w:rPr>
          <w:rFonts w:ascii="Gill Sans MT" w:hAnsi="Gill Sans MT"/>
        </w:rPr>
        <w:t>Special educational needs:</w:t>
      </w:r>
      <w:r>
        <w:rPr>
          <w:rFonts w:ascii="Gill Sans MT" w:hAnsi="Gill Sans MT"/>
        </w:rPr>
        <w:t xml:space="preserve"> A new look, </w:t>
      </w:r>
      <w:r>
        <w:rPr>
          <w:rFonts w:ascii="Gill Sans MT" w:hAnsi="Gill Sans MT"/>
          <w:i/>
        </w:rPr>
        <w:t>Impact (Journal of the Philosophy of Education Society of Great Britain)</w:t>
      </w:r>
      <w:r>
        <w:rPr>
          <w:rFonts w:ascii="Gill Sans MT" w:hAnsi="Gill Sans MT"/>
        </w:rPr>
        <w:t>, 11.</w:t>
      </w:r>
    </w:p>
    <w:p w14:paraId="53DDC74C" w14:textId="77777777" w:rsidR="008816CD" w:rsidRPr="007C3539" w:rsidRDefault="008816CD" w:rsidP="008816CD">
      <w:pPr>
        <w:spacing w:after="0"/>
        <w:rPr>
          <w:rFonts w:ascii="Gill Sans MT" w:hAnsi="Gill Sans MT"/>
        </w:rPr>
      </w:pPr>
      <w:r>
        <w:rPr>
          <w:rFonts w:ascii="Gill Sans MT" w:hAnsi="Gill Sans MT"/>
        </w:rPr>
        <w:t xml:space="preserve">Washburn, E.K., Joshi, R.M., Binks-Cantrell, E.S., 2011, Teacher knowledge of basic language concepts and dyslexia, </w:t>
      </w:r>
      <w:r>
        <w:rPr>
          <w:rFonts w:ascii="Gill Sans MT" w:hAnsi="Gill Sans MT"/>
          <w:i/>
        </w:rPr>
        <w:t>Dyslexia</w:t>
      </w:r>
      <w:r>
        <w:rPr>
          <w:rFonts w:ascii="Gill Sans MT" w:hAnsi="Gill Sans MT"/>
        </w:rPr>
        <w:t>, 17(2), 165-183.</w:t>
      </w:r>
    </w:p>
    <w:p w14:paraId="7E339808" w14:textId="77777777" w:rsidR="008816CD" w:rsidRPr="00133CC2" w:rsidRDefault="008816CD" w:rsidP="008816CD">
      <w:pPr>
        <w:spacing w:after="0"/>
        <w:rPr>
          <w:rFonts w:ascii="Gill Sans MT" w:hAnsi="Gill Sans MT"/>
        </w:rPr>
      </w:pPr>
      <w:r w:rsidRPr="00133CC2">
        <w:rPr>
          <w:rFonts w:ascii="Gill Sans MT" w:hAnsi="Gill Sans MT"/>
        </w:rPr>
        <w:t xml:space="preserve">Watson, J.B., 1913, Psychology as the behaviourist views it, </w:t>
      </w:r>
      <w:r w:rsidRPr="00143372">
        <w:rPr>
          <w:rFonts w:ascii="Gill Sans MT" w:hAnsi="Gill Sans MT"/>
          <w:i/>
        </w:rPr>
        <w:t>Psychology Review</w:t>
      </w:r>
      <w:r w:rsidRPr="00133CC2">
        <w:rPr>
          <w:rFonts w:ascii="Gill Sans MT" w:hAnsi="Gill Sans MT"/>
        </w:rPr>
        <w:t>, 20, 158-177.</w:t>
      </w:r>
    </w:p>
    <w:p w14:paraId="1C5C5A8D" w14:textId="77777777" w:rsidR="008816CD" w:rsidRPr="00133CC2" w:rsidRDefault="008816CD" w:rsidP="008816CD">
      <w:pPr>
        <w:spacing w:after="0"/>
        <w:rPr>
          <w:rFonts w:ascii="Gill Sans MT" w:hAnsi="Gill Sans MT"/>
        </w:rPr>
      </w:pPr>
      <w:r w:rsidRPr="00133CC2">
        <w:rPr>
          <w:rFonts w:ascii="Gill Sans MT" w:hAnsi="Gill Sans MT"/>
        </w:rPr>
        <w:t xml:space="preserve">Weaver, T., 1982, Notes on Education for Capability, </w:t>
      </w:r>
      <w:r w:rsidRPr="00143372">
        <w:rPr>
          <w:rFonts w:ascii="Gill Sans MT" w:hAnsi="Gill Sans MT"/>
          <w:i/>
        </w:rPr>
        <w:t>Higher Education Review</w:t>
      </w:r>
      <w:r w:rsidRPr="00133CC2">
        <w:rPr>
          <w:rFonts w:ascii="Gill Sans MT" w:hAnsi="Gill Sans MT"/>
        </w:rPr>
        <w:t>, 14(3), 65.</w:t>
      </w:r>
    </w:p>
    <w:p w14:paraId="1E0A9F94" w14:textId="77777777" w:rsidR="008816CD" w:rsidRPr="00133CC2" w:rsidRDefault="008816CD" w:rsidP="008816CD">
      <w:pPr>
        <w:spacing w:after="0"/>
        <w:rPr>
          <w:rFonts w:ascii="Gill Sans MT" w:hAnsi="Gill Sans MT"/>
        </w:rPr>
      </w:pPr>
      <w:r w:rsidRPr="00133CC2">
        <w:rPr>
          <w:rFonts w:ascii="Gill Sans MT" w:hAnsi="Gill Sans MT"/>
        </w:rPr>
        <w:lastRenderedPageBreak/>
        <w:t>Weijters, B., C</w:t>
      </w:r>
      <w:r>
        <w:rPr>
          <w:rFonts w:ascii="Gill Sans MT" w:hAnsi="Gill Sans MT"/>
        </w:rPr>
        <w:t>a</w:t>
      </w:r>
      <w:r w:rsidRPr="00133CC2">
        <w:rPr>
          <w:rFonts w:ascii="Gill Sans MT" w:hAnsi="Gill Sans MT"/>
        </w:rPr>
        <w:t xml:space="preserve">booter, E., Schillewaert, N., 2010, The effect of rating scale format on response styles: the number of response categories and response category labels, </w:t>
      </w:r>
      <w:r w:rsidRPr="00143372">
        <w:rPr>
          <w:rFonts w:ascii="Gill Sans MT" w:hAnsi="Gill Sans MT"/>
          <w:i/>
        </w:rPr>
        <w:t>International Journal of Research in Marketing</w:t>
      </w:r>
      <w:r w:rsidRPr="00133CC2">
        <w:rPr>
          <w:rFonts w:ascii="Gill Sans MT" w:hAnsi="Gill Sans MT"/>
        </w:rPr>
        <w:t>, 27, 236-247.</w:t>
      </w:r>
    </w:p>
    <w:p w14:paraId="1898A7C4" w14:textId="77777777" w:rsidR="008816CD" w:rsidRDefault="008816CD" w:rsidP="008816CD">
      <w:pPr>
        <w:spacing w:after="0"/>
        <w:rPr>
          <w:rFonts w:ascii="Gill Sans MT" w:hAnsi="Gill Sans MT"/>
        </w:rPr>
      </w:pPr>
      <w:r w:rsidRPr="00133CC2">
        <w:rPr>
          <w:rFonts w:ascii="Gill Sans MT" w:hAnsi="Gill Sans MT"/>
        </w:rPr>
        <w:t xml:space="preserve">Weijters, B., Schollewaert, N., Geuens, M., 2004, Measurement bias due to response styles: a structural equation model assessing the effect of modes of data-collection, </w:t>
      </w:r>
      <w:r w:rsidRPr="003707D7">
        <w:rPr>
          <w:rFonts w:ascii="Gill Sans MT" w:hAnsi="Gill Sans MT"/>
          <w:i/>
        </w:rPr>
        <w:t>Vlerick Leuven Gent Working Paper Series 2004/20</w:t>
      </w:r>
      <w:r w:rsidRPr="00133CC2">
        <w:rPr>
          <w:rFonts w:ascii="Gill Sans MT" w:hAnsi="Gill Sans MT"/>
        </w:rPr>
        <w:t>, Autonomous Management School of Ghent University.</w:t>
      </w:r>
    </w:p>
    <w:p w14:paraId="3368CA1E" w14:textId="77777777" w:rsidR="008816CD" w:rsidRPr="00E67D1D" w:rsidRDefault="008816CD" w:rsidP="008816CD">
      <w:pPr>
        <w:spacing w:after="0"/>
        <w:rPr>
          <w:rFonts w:ascii="Gill Sans MT" w:hAnsi="Gill Sans MT"/>
        </w:rPr>
      </w:pPr>
      <w:r>
        <w:rPr>
          <w:rFonts w:ascii="Gill Sans MT" w:hAnsi="Gill Sans MT"/>
        </w:rPr>
        <w:t xml:space="preserve">Weschler, D., 1974, </w:t>
      </w:r>
      <w:r>
        <w:rPr>
          <w:rFonts w:ascii="Gill Sans MT" w:hAnsi="Gill Sans MT"/>
          <w:i/>
          <w:iCs/>
        </w:rPr>
        <w:t>Weschler intelligence scale for children – revised</w:t>
      </w:r>
      <w:r>
        <w:rPr>
          <w:rFonts w:ascii="Gill Sans MT" w:hAnsi="Gill Sans MT"/>
        </w:rPr>
        <w:t>, Psychological Corporation, New York.</w:t>
      </w:r>
    </w:p>
    <w:p w14:paraId="561EB86A" w14:textId="77777777" w:rsidR="008816CD" w:rsidRPr="00E22365" w:rsidRDefault="008816CD" w:rsidP="008816CD">
      <w:pPr>
        <w:spacing w:after="0"/>
        <w:rPr>
          <w:rFonts w:ascii="Gill Sans MT" w:hAnsi="Gill Sans MT"/>
        </w:rPr>
      </w:pPr>
      <w:r>
        <w:rPr>
          <w:rFonts w:ascii="Gill Sans MT" w:hAnsi="Gill Sans MT"/>
        </w:rPr>
        <w:t xml:space="preserve">Wesson, C.J., Derrer-Randall, N.M., 2011, Self-beliefs and student goal achievement, </w:t>
      </w:r>
      <w:r>
        <w:rPr>
          <w:rFonts w:ascii="Gill Sans MT" w:hAnsi="Gill Sans MT"/>
          <w:i/>
        </w:rPr>
        <w:t>Psychology Teacing Review</w:t>
      </w:r>
      <w:r>
        <w:rPr>
          <w:rFonts w:ascii="Gill Sans MT" w:hAnsi="Gill Sans MT"/>
        </w:rPr>
        <w:t>, 17(1), 3-12.</w:t>
      </w:r>
    </w:p>
    <w:p w14:paraId="73959A57" w14:textId="77777777" w:rsidR="008816CD" w:rsidRDefault="008816CD" w:rsidP="008816CD">
      <w:pPr>
        <w:spacing w:after="0"/>
        <w:rPr>
          <w:rFonts w:ascii="Gill Sans MT" w:hAnsi="Gill Sans MT"/>
        </w:rPr>
      </w:pPr>
      <w:r w:rsidRPr="00133CC2">
        <w:rPr>
          <w:rFonts w:ascii="Gill Sans MT" w:hAnsi="Gill Sans MT"/>
        </w:rPr>
        <w:t>Weston, D., Rosenthall, R., 2003, Quantifying construct validity: Two simple measures</w:t>
      </w:r>
      <w:r w:rsidRPr="003707D7">
        <w:rPr>
          <w:rFonts w:ascii="Gill Sans MT" w:hAnsi="Gill Sans MT"/>
          <w:i/>
        </w:rPr>
        <w:t>, Journal of Personality and Social Psychology</w:t>
      </w:r>
      <w:r w:rsidRPr="00133CC2">
        <w:rPr>
          <w:rFonts w:ascii="Gill Sans MT" w:hAnsi="Gill Sans MT"/>
        </w:rPr>
        <w:t>, 84(3), 608-618.</w:t>
      </w:r>
    </w:p>
    <w:p w14:paraId="4D4EE1A8" w14:textId="77777777" w:rsidR="008816CD" w:rsidRDefault="008816CD" w:rsidP="008816CD">
      <w:pPr>
        <w:spacing w:after="0"/>
        <w:rPr>
          <w:rFonts w:ascii="Gill Sans MT" w:hAnsi="Gill Sans MT"/>
        </w:rPr>
      </w:pPr>
      <w:r w:rsidRPr="00133CC2">
        <w:rPr>
          <w:rFonts w:ascii="Gill Sans MT" w:hAnsi="Gill Sans MT"/>
        </w:rPr>
        <w:t>White, D.W., 2006, The influence of collaborative videotape assessment processes on preservice technology education teachers' confidence, lesson plan prepara</w:t>
      </w:r>
      <w:r>
        <w:rPr>
          <w:rFonts w:ascii="Gill Sans MT" w:hAnsi="Gill Sans MT"/>
        </w:rPr>
        <w:t xml:space="preserve">tion and teaching experiences, </w:t>
      </w:r>
      <w:r w:rsidRPr="003707D7">
        <w:rPr>
          <w:rFonts w:ascii="Gill Sans MT" w:hAnsi="Gill Sans MT"/>
          <w:i/>
        </w:rPr>
        <w:t>Unpublished doctoral thesis</w:t>
      </w:r>
      <w:r w:rsidRPr="00133CC2">
        <w:rPr>
          <w:rFonts w:ascii="Gill Sans MT" w:hAnsi="Gill Sans MT"/>
        </w:rPr>
        <w:t>, University of Ohio.</w:t>
      </w:r>
    </w:p>
    <w:p w14:paraId="6633D327" w14:textId="77777777" w:rsidR="008816CD" w:rsidRPr="00F2552A" w:rsidRDefault="008816CD" w:rsidP="008816CD">
      <w:pPr>
        <w:spacing w:after="0"/>
        <w:rPr>
          <w:rFonts w:ascii="Gill Sans MT" w:hAnsi="Gill Sans MT"/>
        </w:rPr>
      </w:pPr>
      <w:r>
        <w:rPr>
          <w:rFonts w:ascii="Gill Sans MT" w:hAnsi="Gill Sans MT"/>
        </w:rPr>
        <w:t xml:space="preserve">Widgix, 2016, </w:t>
      </w:r>
      <w:r>
        <w:rPr>
          <w:rFonts w:ascii="Gill Sans MT" w:hAnsi="Gill Sans MT"/>
          <w:i/>
        </w:rPr>
        <w:t>Surveygizmo</w:t>
      </w:r>
      <w:r>
        <w:rPr>
          <w:rFonts w:ascii="Gill Sans MT" w:hAnsi="Gill Sans MT"/>
        </w:rPr>
        <w:t>,</w:t>
      </w:r>
      <w:r>
        <w:rPr>
          <w:rFonts w:ascii="Gill Sans MT" w:hAnsi="Gill Sans MT"/>
          <w:i/>
        </w:rPr>
        <w:t xml:space="preserve"> </w:t>
      </w:r>
      <w:r>
        <w:rPr>
          <w:rFonts w:ascii="Gill Sans MT" w:hAnsi="Gill Sans MT"/>
        </w:rPr>
        <w:t xml:space="preserve">Available at: </w:t>
      </w:r>
      <w:hyperlink r:id="rId73" w:history="1">
        <w:r w:rsidRPr="00977F08">
          <w:rPr>
            <w:rStyle w:val="Hyperlink"/>
            <w:rFonts w:ascii="Gill Sans MT" w:hAnsi="Gill Sans MT"/>
          </w:rPr>
          <w:t>https://www.surveygizmo.com</w:t>
        </w:r>
      </w:hyperlink>
      <w:r>
        <w:rPr>
          <w:rFonts w:ascii="Gill Sans MT" w:hAnsi="Gill Sans MT"/>
        </w:rPr>
        <w:t>, Accessed on 5</w:t>
      </w:r>
      <w:r w:rsidRPr="00F2552A">
        <w:rPr>
          <w:rFonts w:ascii="Gill Sans MT" w:hAnsi="Gill Sans MT"/>
          <w:vertAlign w:val="superscript"/>
        </w:rPr>
        <w:t>th</w:t>
      </w:r>
      <w:r>
        <w:rPr>
          <w:rFonts w:ascii="Gill Sans MT" w:hAnsi="Gill Sans MT"/>
        </w:rPr>
        <w:t xml:space="preserve"> February, 2016.</w:t>
      </w:r>
    </w:p>
    <w:p w14:paraId="6D38794C" w14:textId="77777777" w:rsidR="008816CD" w:rsidRDefault="008816CD" w:rsidP="008816CD">
      <w:pPr>
        <w:spacing w:after="0"/>
        <w:rPr>
          <w:rFonts w:ascii="Gill Sans MT" w:hAnsi="Gill Sans MT"/>
        </w:rPr>
      </w:pPr>
      <w:r w:rsidRPr="00133CC2">
        <w:rPr>
          <w:rFonts w:ascii="Gill Sans MT" w:hAnsi="Gill Sans MT"/>
        </w:rPr>
        <w:t xml:space="preserve">Wiggins, G., McTighe, J., 2008, Put understanding first, </w:t>
      </w:r>
      <w:r w:rsidRPr="003707D7">
        <w:rPr>
          <w:rFonts w:ascii="Gill Sans MT" w:hAnsi="Gill Sans MT"/>
          <w:i/>
        </w:rPr>
        <w:t>Educational Leadership</w:t>
      </w:r>
      <w:r w:rsidRPr="00133CC2">
        <w:rPr>
          <w:rFonts w:ascii="Gill Sans MT" w:hAnsi="Gill Sans MT"/>
        </w:rPr>
        <w:t>, 65(8), 36-41.</w:t>
      </w:r>
    </w:p>
    <w:p w14:paraId="2A925BA9" w14:textId="77777777" w:rsidR="008816CD" w:rsidRPr="00133CC2" w:rsidRDefault="008816CD" w:rsidP="008816CD">
      <w:pPr>
        <w:spacing w:after="0"/>
        <w:rPr>
          <w:rFonts w:ascii="Gill Sans MT" w:hAnsi="Gill Sans MT"/>
        </w:rPr>
      </w:pPr>
      <w:r w:rsidRPr="00E150F2">
        <w:rPr>
          <w:rFonts w:ascii="Gill Sans MT" w:hAnsi="Gill Sans MT"/>
        </w:rPr>
        <w:t xml:space="preserve">Wilkins, A., 1995, </w:t>
      </w:r>
      <w:r w:rsidRPr="00515098">
        <w:rPr>
          <w:rFonts w:ascii="Gill Sans MT" w:hAnsi="Gill Sans MT"/>
          <w:i/>
        </w:rPr>
        <w:t>Oxford psychology series No. 24: Visual stress</w:t>
      </w:r>
      <w:r w:rsidRPr="00E150F2">
        <w:rPr>
          <w:rFonts w:ascii="Gill Sans MT" w:hAnsi="Gill Sans MT"/>
        </w:rPr>
        <w:t>, New York, Oxford University Press.</w:t>
      </w:r>
    </w:p>
    <w:p w14:paraId="4BD33065" w14:textId="77777777" w:rsidR="008816CD" w:rsidRPr="00133CC2" w:rsidRDefault="008816CD" w:rsidP="008816CD">
      <w:pPr>
        <w:spacing w:after="0"/>
        <w:rPr>
          <w:rFonts w:ascii="Gill Sans MT" w:hAnsi="Gill Sans MT"/>
        </w:rPr>
      </w:pPr>
      <w:r w:rsidRPr="00133CC2">
        <w:rPr>
          <w:rFonts w:ascii="Gill Sans MT" w:hAnsi="Gill Sans MT"/>
        </w:rPr>
        <w:t>Willetts, D., 2014, </w:t>
      </w:r>
      <w:r w:rsidRPr="003707D7">
        <w:rPr>
          <w:rFonts w:ascii="Gill Sans MT" w:hAnsi="Gill Sans MT"/>
          <w:i/>
        </w:rPr>
        <w:t>Written statement to Parliament: Higher education: student support: changes to Disabled Students' Allowances (DSA), HM Government Department for Business, Innovation &amp; Skills</w:t>
      </w:r>
      <w:r w:rsidRPr="00133CC2">
        <w:rPr>
          <w:rFonts w:ascii="Gill Sans MT" w:hAnsi="Gill Sans MT"/>
        </w:rPr>
        <w:t>, Available at: https://www.gov.uk/government/speeches/higher-education-student-support-changes-to-disabled-students-allowances-dsa, Accessed on: 12th October 2016.</w:t>
      </w:r>
    </w:p>
    <w:p w14:paraId="7FF46FE6" w14:textId="77777777" w:rsidR="008816CD" w:rsidRPr="00133CC2" w:rsidRDefault="008816CD" w:rsidP="008816CD">
      <w:pPr>
        <w:spacing w:after="0"/>
        <w:rPr>
          <w:rFonts w:ascii="Gill Sans MT" w:hAnsi="Gill Sans MT"/>
        </w:rPr>
      </w:pPr>
      <w:r w:rsidRPr="00133CC2">
        <w:rPr>
          <w:rFonts w:ascii="Gill Sans MT" w:hAnsi="Gill Sans MT"/>
        </w:rPr>
        <w:t xml:space="preserve">Williams, D.M., 2010, Outcome expectancy and self-efficacy: theoretical implications of an unresolved contradiction, </w:t>
      </w:r>
      <w:r w:rsidRPr="003707D7">
        <w:rPr>
          <w:rFonts w:ascii="Gill Sans MT" w:hAnsi="Gill Sans MT"/>
          <w:i/>
        </w:rPr>
        <w:t>Personality and Social Psychology Review</w:t>
      </w:r>
      <w:r w:rsidRPr="00133CC2">
        <w:rPr>
          <w:rFonts w:ascii="Gill Sans MT" w:hAnsi="Gill Sans MT"/>
        </w:rPr>
        <w:t>, 14(4), 417-425.</w:t>
      </w:r>
    </w:p>
    <w:p w14:paraId="5F75C942" w14:textId="77777777" w:rsidR="008816CD" w:rsidRPr="00133CC2" w:rsidRDefault="008816CD" w:rsidP="008816CD">
      <w:pPr>
        <w:spacing w:after="0"/>
        <w:rPr>
          <w:rFonts w:ascii="Gill Sans MT" w:hAnsi="Gill Sans MT"/>
        </w:rPr>
      </w:pPr>
      <w:r w:rsidRPr="00133CC2">
        <w:rPr>
          <w:rFonts w:ascii="Gill Sans MT" w:hAnsi="Gill Sans MT"/>
        </w:rPr>
        <w:t xml:space="preserve">Williams, W.M., Ceci, S.J., 1999, Accommodating learning disabilities can bestow unfair advantages, </w:t>
      </w:r>
      <w:r w:rsidRPr="003707D7">
        <w:rPr>
          <w:rFonts w:ascii="Gill Sans MT" w:hAnsi="Gill Sans MT"/>
          <w:i/>
        </w:rPr>
        <w:t>Chronicle of Higher Education</w:t>
      </w:r>
      <w:r w:rsidRPr="00133CC2">
        <w:rPr>
          <w:rFonts w:ascii="Gill Sans MT" w:hAnsi="Gill Sans MT"/>
        </w:rPr>
        <w:t>, 45(48).</w:t>
      </w:r>
    </w:p>
    <w:p w14:paraId="44B6C8CF" w14:textId="77777777" w:rsidR="008816CD" w:rsidRPr="00133CC2" w:rsidRDefault="008816CD" w:rsidP="008816CD">
      <w:pPr>
        <w:spacing w:after="0"/>
        <w:rPr>
          <w:rFonts w:ascii="Gill Sans MT" w:hAnsi="Gill Sans MT"/>
        </w:rPr>
      </w:pPr>
      <w:r w:rsidRPr="00133CC2">
        <w:rPr>
          <w:rFonts w:ascii="Gill Sans MT" w:hAnsi="Gill Sans MT"/>
        </w:rPr>
        <w:t xml:space="preserve">Willis, W.A., 2010, </w:t>
      </w:r>
      <w:r w:rsidRPr="003707D7">
        <w:rPr>
          <w:rFonts w:ascii="Gill Sans MT" w:hAnsi="Gill Sans MT"/>
          <w:i/>
        </w:rPr>
        <w:t>Background characteristics and academic factors associated with the Academic Behavioural Confidence of international graduate students in Ohio's public institutions</w:t>
      </w:r>
      <w:r w:rsidRPr="00133CC2">
        <w:rPr>
          <w:rFonts w:ascii="Gill Sans MT" w:hAnsi="Gill Sans MT"/>
        </w:rPr>
        <w:t xml:space="preserve">, Research Paper, Kent State University. </w:t>
      </w:r>
    </w:p>
    <w:p w14:paraId="33429341" w14:textId="77777777" w:rsidR="008816CD" w:rsidRPr="000C651B" w:rsidRDefault="008816CD" w:rsidP="008816CD">
      <w:pPr>
        <w:spacing w:after="0"/>
        <w:rPr>
          <w:rFonts w:ascii="Gill Sans MT" w:hAnsi="Gill Sans MT"/>
        </w:rPr>
      </w:pPr>
      <w:r>
        <w:rPr>
          <w:rFonts w:ascii="Gill Sans MT" w:hAnsi="Gill Sans MT"/>
        </w:rPr>
        <w:t xml:space="preserve">Willow, D.M., Terepocki, M., 1993, The relation of reversal errors to reading disabilities, IN: Willows, D.M., Kruk, R.S., Corcos, E., </w:t>
      </w:r>
      <w:r>
        <w:rPr>
          <w:rFonts w:ascii="Gill Sans MT" w:hAnsi="Gill Sans MT"/>
          <w:i/>
        </w:rPr>
        <w:t>Visual Processes in Reading and Reading Disabilities</w:t>
      </w:r>
      <w:r>
        <w:rPr>
          <w:rFonts w:ascii="Gill Sans MT" w:hAnsi="Gill Sans MT"/>
        </w:rPr>
        <w:t>, New York, Routledge, 31-56</w:t>
      </w:r>
    </w:p>
    <w:p w14:paraId="1C17E73A" w14:textId="77777777" w:rsidR="008816CD" w:rsidRPr="00D36B9F" w:rsidRDefault="008816CD" w:rsidP="008816CD">
      <w:pPr>
        <w:spacing w:after="0"/>
        <w:rPr>
          <w:rFonts w:ascii="Gill Sans MT" w:hAnsi="Gill Sans MT"/>
        </w:rPr>
      </w:pPr>
      <w:r>
        <w:rPr>
          <w:rFonts w:ascii="Gill Sans MT" w:hAnsi="Gill Sans MT"/>
        </w:rPr>
        <w:t xml:space="preserve">Wilson, F., Kickul, J., Marlino, D., 2007, Gender, entrepreneurial self-efficacy and entrepreneurial career intentions: Implications for Entrepreneurship education, </w:t>
      </w:r>
      <w:r>
        <w:rPr>
          <w:rFonts w:ascii="Gill Sans MT" w:hAnsi="Gill Sans MT"/>
          <w:i/>
        </w:rPr>
        <w:t>Entrepreneurship theory and practice</w:t>
      </w:r>
      <w:r>
        <w:rPr>
          <w:rFonts w:ascii="Gill Sans MT" w:hAnsi="Gill Sans MT"/>
        </w:rPr>
        <w:t>, 31(3), 387-406.</w:t>
      </w:r>
    </w:p>
    <w:p w14:paraId="5C0E61E7" w14:textId="77777777" w:rsidR="008816CD" w:rsidRDefault="008816CD" w:rsidP="008816CD">
      <w:pPr>
        <w:spacing w:after="0"/>
        <w:rPr>
          <w:rFonts w:ascii="Gill Sans MT" w:hAnsi="Gill Sans MT"/>
        </w:rPr>
      </w:pPr>
      <w:r w:rsidRPr="00133CC2">
        <w:rPr>
          <w:rFonts w:ascii="Gill Sans MT" w:hAnsi="Gill Sans MT"/>
        </w:rPr>
        <w:t xml:space="preserve">Wilson, J., 1996, Reflective practice: a guide, </w:t>
      </w:r>
      <w:r w:rsidRPr="003707D7">
        <w:rPr>
          <w:rFonts w:ascii="Gill Sans MT" w:hAnsi="Gill Sans MT"/>
          <w:i/>
        </w:rPr>
        <w:t>Accident and Emergency Nursing</w:t>
      </w:r>
      <w:r w:rsidRPr="00133CC2">
        <w:rPr>
          <w:rFonts w:ascii="Gill Sans MT" w:hAnsi="Gill Sans MT"/>
        </w:rPr>
        <w:t>, 4(3), 135-138.</w:t>
      </w:r>
    </w:p>
    <w:p w14:paraId="2ECEBFD9" w14:textId="77777777" w:rsidR="008816CD" w:rsidRDefault="008816CD" w:rsidP="008816CD">
      <w:pPr>
        <w:spacing w:after="0"/>
        <w:rPr>
          <w:rFonts w:ascii="Gill Sans MT" w:hAnsi="Gill Sans MT"/>
        </w:rPr>
      </w:pPr>
      <w:r w:rsidRPr="00133CC2">
        <w:rPr>
          <w:rFonts w:ascii="Gill Sans MT" w:hAnsi="Gill Sans MT"/>
        </w:rPr>
        <w:t xml:space="preserve">Wilson, K., Lizzio, A., 2008, A 'just in time intervention' to support the academic efficacy of at-risk first-year students, </w:t>
      </w:r>
      <w:r w:rsidRPr="003707D7">
        <w:rPr>
          <w:rFonts w:ascii="Gill Sans MT" w:hAnsi="Gill Sans MT"/>
          <w:i/>
        </w:rPr>
        <w:t>Paper presented at the 11th Pacific Rim First Year in Higher Education Conference</w:t>
      </w:r>
      <w:r>
        <w:rPr>
          <w:rFonts w:ascii="Gill Sans MT" w:hAnsi="Gill Sans MT"/>
        </w:rPr>
        <w:t>,</w:t>
      </w:r>
      <w:r w:rsidRPr="00133CC2">
        <w:rPr>
          <w:rFonts w:ascii="Gill Sans MT" w:hAnsi="Gill Sans MT"/>
        </w:rPr>
        <w:t xml:space="preserve"> Hobart, Tasmania.</w:t>
      </w:r>
    </w:p>
    <w:p w14:paraId="4CA2B502" w14:textId="77777777" w:rsidR="008816CD" w:rsidRDefault="008816CD" w:rsidP="008816CD">
      <w:pPr>
        <w:spacing w:after="0"/>
        <w:rPr>
          <w:rFonts w:ascii="Gill Sans MT" w:hAnsi="Gill Sans MT"/>
        </w:rPr>
      </w:pPr>
      <w:r w:rsidRPr="00086907">
        <w:rPr>
          <w:rFonts w:ascii="Gill Sans MT" w:hAnsi="Gill Sans MT"/>
        </w:rPr>
        <w:t xml:space="preserve">Wimmer, H., Mayringer, H., Raberger, T., 1999, Reading and dual-task balancing: evidence against the automatization deficit explanation of developmental dyslexia, </w:t>
      </w:r>
      <w:r w:rsidRPr="00086907">
        <w:rPr>
          <w:rFonts w:ascii="Gill Sans MT" w:hAnsi="Gill Sans MT"/>
          <w:i/>
        </w:rPr>
        <w:t>Journal of Learning Disabilities</w:t>
      </w:r>
      <w:r w:rsidRPr="00086907">
        <w:rPr>
          <w:rFonts w:ascii="Gill Sans MT" w:hAnsi="Gill Sans MT"/>
        </w:rPr>
        <w:t>, 32(5), 473-478.</w:t>
      </w:r>
    </w:p>
    <w:p w14:paraId="1906EB04" w14:textId="77777777" w:rsidR="008816CD" w:rsidRPr="00133CC2" w:rsidRDefault="008816CD" w:rsidP="008816CD">
      <w:pPr>
        <w:spacing w:after="0"/>
        <w:rPr>
          <w:rFonts w:ascii="Gill Sans MT" w:hAnsi="Gill Sans MT"/>
        </w:rPr>
      </w:pPr>
      <w:r w:rsidRPr="00014419">
        <w:rPr>
          <w:rFonts w:ascii="Gill Sans MT" w:hAnsi="Gill Sans MT"/>
        </w:rPr>
        <w:lastRenderedPageBreak/>
        <w:t xml:space="preserve">Witton, C., Talcott, J.B., 2018, Auditory processing in developmental dyslexia: some considerations and challenges, IN: Lachmann, T., Weiss, T., (eds), </w:t>
      </w:r>
      <w:r w:rsidRPr="002B41CA">
        <w:rPr>
          <w:rFonts w:ascii="Gill Sans MT" w:hAnsi="Gill Sans MT"/>
          <w:i/>
        </w:rPr>
        <w:t>Reading and Dyslexia: From basic functions to higher order cognition</w:t>
      </w:r>
      <w:r w:rsidRPr="00014419">
        <w:rPr>
          <w:rFonts w:ascii="Gill Sans MT" w:hAnsi="Gill Sans MT"/>
        </w:rPr>
        <w:t>, Cham Switzerland, Springer, 129-140.</w:t>
      </w:r>
    </w:p>
    <w:p w14:paraId="3972B166" w14:textId="77777777" w:rsidR="008816CD" w:rsidRPr="00133CC2" w:rsidRDefault="008816CD" w:rsidP="008816CD">
      <w:pPr>
        <w:spacing w:after="0"/>
        <w:rPr>
          <w:rFonts w:ascii="Gill Sans MT" w:hAnsi="Gill Sans MT"/>
        </w:rPr>
      </w:pPr>
      <w:r w:rsidRPr="00133CC2">
        <w:rPr>
          <w:rFonts w:ascii="Gill Sans MT" w:hAnsi="Gill Sans MT"/>
        </w:rPr>
        <w:t xml:space="preserve">Wood, R., Bandura, A., 1989, Social cognitive theory of organizational management, </w:t>
      </w:r>
      <w:r w:rsidRPr="003707D7">
        <w:rPr>
          <w:rFonts w:ascii="Gill Sans MT" w:hAnsi="Gill Sans MT"/>
          <w:i/>
        </w:rPr>
        <w:t>Academy of Management Review</w:t>
      </w:r>
      <w:r w:rsidRPr="00133CC2">
        <w:rPr>
          <w:rFonts w:ascii="Gill Sans MT" w:hAnsi="Gill Sans MT"/>
        </w:rPr>
        <w:t>, 14(3), 361-384.</w:t>
      </w:r>
    </w:p>
    <w:p w14:paraId="000C71B2" w14:textId="77777777" w:rsidR="008816CD" w:rsidRPr="00133CC2" w:rsidRDefault="008816CD" w:rsidP="008816CD">
      <w:pPr>
        <w:spacing w:after="0"/>
        <w:rPr>
          <w:rFonts w:ascii="Gill Sans MT" w:hAnsi="Gill Sans MT"/>
        </w:rPr>
      </w:pPr>
      <w:r w:rsidRPr="00133CC2">
        <w:rPr>
          <w:rFonts w:ascii="Gill Sans MT" w:hAnsi="Gill Sans MT"/>
        </w:rPr>
        <w:t xml:space="preserve">Woodall, T., Hiller, A., Resnick, S., 2014, Making sense of higher education: students as consumers and the value of the university experience, </w:t>
      </w:r>
      <w:r w:rsidRPr="003707D7">
        <w:rPr>
          <w:rFonts w:ascii="Gill Sans MT" w:hAnsi="Gill Sans MT"/>
          <w:i/>
        </w:rPr>
        <w:t>Studies in Higher Education</w:t>
      </w:r>
      <w:r w:rsidRPr="00133CC2">
        <w:rPr>
          <w:rFonts w:ascii="Gill Sans MT" w:hAnsi="Gill Sans MT"/>
        </w:rPr>
        <w:t xml:space="preserve">, 39(1), 48-67. </w:t>
      </w:r>
    </w:p>
    <w:p w14:paraId="787272C2" w14:textId="77777777" w:rsidR="008816CD" w:rsidRDefault="008816CD" w:rsidP="008816CD">
      <w:pPr>
        <w:spacing w:after="0"/>
        <w:rPr>
          <w:rFonts w:ascii="Gill Sans MT" w:hAnsi="Gill Sans MT"/>
        </w:rPr>
      </w:pPr>
      <w:r>
        <w:rPr>
          <w:rFonts w:ascii="Gill Sans MT" w:hAnsi="Gill Sans MT"/>
        </w:rPr>
        <w:t xml:space="preserve">Xerte Community, 2015, </w:t>
      </w:r>
      <w:r>
        <w:rPr>
          <w:rFonts w:ascii="Gill Sans MT" w:hAnsi="Gill Sans MT"/>
          <w:i/>
        </w:rPr>
        <w:t>Xerte Online Toolkits</w:t>
      </w:r>
      <w:r>
        <w:rPr>
          <w:rFonts w:ascii="Gill Sans MT" w:hAnsi="Gill Sans MT"/>
        </w:rPr>
        <w:t xml:space="preserve">, Available at: </w:t>
      </w:r>
      <w:hyperlink r:id="rId74" w:history="1">
        <w:r w:rsidRPr="00757843">
          <w:rPr>
            <w:rStyle w:val="Hyperlink"/>
            <w:rFonts w:ascii="Gill Sans MT" w:hAnsi="Gill Sans MT"/>
          </w:rPr>
          <w:t>https://www.xerte.org.uk/index.php?lang=en</w:t>
        </w:r>
      </w:hyperlink>
      <w:r>
        <w:rPr>
          <w:rFonts w:ascii="Gill Sans MT" w:hAnsi="Gill Sans MT"/>
        </w:rPr>
        <w:t>, accessed on: 24</w:t>
      </w:r>
      <w:r w:rsidRPr="003D3A71">
        <w:rPr>
          <w:rFonts w:ascii="Gill Sans MT" w:hAnsi="Gill Sans MT"/>
          <w:vertAlign w:val="superscript"/>
        </w:rPr>
        <w:t>th</w:t>
      </w:r>
      <w:r>
        <w:rPr>
          <w:rFonts w:ascii="Gill Sans MT" w:hAnsi="Gill Sans MT"/>
        </w:rPr>
        <w:t xml:space="preserve"> August 2018.</w:t>
      </w:r>
    </w:p>
    <w:p w14:paraId="59A9660D" w14:textId="77777777" w:rsidR="008816CD" w:rsidRPr="008527BC" w:rsidRDefault="008816CD" w:rsidP="008816CD">
      <w:pPr>
        <w:spacing w:after="0"/>
        <w:rPr>
          <w:rFonts w:ascii="Gill Sans MT" w:hAnsi="Gill Sans MT"/>
        </w:rPr>
      </w:pPr>
      <w:r>
        <w:rPr>
          <w:rFonts w:ascii="Gill Sans MT" w:hAnsi="Gill Sans MT"/>
        </w:rPr>
        <w:t xml:space="preserve">Zacherman, A., Foubert, J., 2014, The relationship between engagement in co-curricular activities and academic performance: exploring gender differences, </w:t>
      </w:r>
      <w:r>
        <w:rPr>
          <w:rFonts w:ascii="Gill Sans MT" w:hAnsi="Gill Sans MT"/>
          <w:i/>
        </w:rPr>
        <w:t>Journal of Student Affairs, Research and Practice</w:t>
      </w:r>
      <w:r>
        <w:rPr>
          <w:rFonts w:ascii="Gill Sans MT" w:hAnsi="Gill Sans MT"/>
        </w:rPr>
        <w:t>, 51(2), 157-169.</w:t>
      </w:r>
    </w:p>
    <w:p w14:paraId="52BCE5A6" w14:textId="77777777" w:rsidR="008816CD" w:rsidRDefault="008816CD" w:rsidP="008816CD">
      <w:pPr>
        <w:spacing w:after="0"/>
        <w:rPr>
          <w:rFonts w:ascii="Gill Sans MT" w:hAnsi="Gill Sans MT"/>
        </w:rPr>
      </w:pPr>
      <w:r w:rsidRPr="00133CC2">
        <w:rPr>
          <w:rFonts w:ascii="Gill Sans MT" w:hAnsi="Gill Sans MT"/>
        </w:rPr>
        <w:t xml:space="preserve">Zagorska, A., Guszkowska, M., 2014, A program to support self-efficacy among athletes, </w:t>
      </w:r>
      <w:r w:rsidRPr="003707D7">
        <w:rPr>
          <w:rFonts w:ascii="Gill Sans MT" w:hAnsi="Gill Sans MT"/>
          <w:i/>
        </w:rPr>
        <w:t>Scandinavian Journal of Medicine &amp; Science in Sports</w:t>
      </w:r>
      <w:r w:rsidRPr="00133CC2">
        <w:rPr>
          <w:rFonts w:ascii="Gill Sans MT" w:hAnsi="Gill Sans MT"/>
        </w:rPr>
        <w:t>, 24(3), e121-e128.</w:t>
      </w:r>
    </w:p>
    <w:p w14:paraId="33C304D8" w14:textId="77777777" w:rsidR="008816CD" w:rsidRPr="00554838" w:rsidRDefault="008816CD" w:rsidP="008816CD">
      <w:pPr>
        <w:spacing w:after="0"/>
        <w:rPr>
          <w:rFonts w:ascii="Gill Sans MT" w:hAnsi="Gill Sans MT"/>
        </w:rPr>
      </w:pPr>
      <w:r>
        <w:rPr>
          <w:rFonts w:ascii="Gill Sans MT" w:hAnsi="Gill Sans MT"/>
        </w:rPr>
        <w:t xml:space="preserve">Zapier Inc., 2016, </w:t>
      </w:r>
      <w:r>
        <w:rPr>
          <w:rFonts w:ascii="Gill Sans MT" w:hAnsi="Gill Sans MT"/>
          <w:i/>
        </w:rPr>
        <w:t>SurveyNuts</w:t>
      </w:r>
      <w:r>
        <w:rPr>
          <w:rFonts w:ascii="Gill Sans MT" w:hAnsi="Gill Sans MT"/>
        </w:rPr>
        <w:t xml:space="preserve">, Available at: </w:t>
      </w:r>
      <w:hyperlink r:id="rId75" w:history="1">
        <w:r w:rsidRPr="00D51964">
          <w:rPr>
            <w:rStyle w:val="Hyperlink"/>
            <w:rFonts w:ascii="Gill Sans MT" w:hAnsi="Gill Sans MT"/>
          </w:rPr>
          <w:t>https://www.surveynuts.com/en</w:t>
        </w:r>
      </w:hyperlink>
      <w:r>
        <w:rPr>
          <w:rFonts w:ascii="Gill Sans MT" w:hAnsi="Gill Sans MT"/>
        </w:rPr>
        <w:t>, Accessed on: 17</w:t>
      </w:r>
      <w:r w:rsidRPr="00554838">
        <w:rPr>
          <w:rFonts w:ascii="Gill Sans MT" w:hAnsi="Gill Sans MT"/>
          <w:vertAlign w:val="superscript"/>
        </w:rPr>
        <w:t>th</w:t>
      </w:r>
      <w:r>
        <w:rPr>
          <w:rFonts w:ascii="Gill Sans MT" w:hAnsi="Gill Sans MT"/>
        </w:rPr>
        <w:t xml:space="preserve"> February 2016.</w:t>
      </w:r>
    </w:p>
    <w:p w14:paraId="5B9DAFC1" w14:textId="77777777" w:rsidR="008816CD" w:rsidRPr="00133CC2" w:rsidRDefault="008816CD" w:rsidP="008816CD">
      <w:pPr>
        <w:spacing w:after="0"/>
        <w:rPr>
          <w:rFonts w:ascii="Gill Sans MT" w:hAnsi="Gill Sans MT"/>
        </w:rPr>
      </w:pPr>
      <w:r w:rsidRPr="00133CC2">
        <w:rPr>
          <w:rFonts w:ascii="Gill Sans MT" w:hAnsi="Gill Sans MT"/>
        </w:rPr>
        <w:t>Zdzienski, D., 1998, Dyslexia in Higher Education: An exploratory study of learning support, screen</w:t>
      </w:r>
      <w:r>
        <w:rPr>
          <w:rFonts w:ascii="Gill Sans MT" w:hAnsi="Gill Sans MT"/>
        </w:rPr>
        <w:t xml:space="preserve">ing and diagnostic assessment, </w:t>
      </w:r>
      <w:r w:rsidRPr="003707D7">
        <w:rPr>
          <w:rFonts w:ascii="Gill Sans MT" w:hAnsi="Gill Sans MT"/>
          <w:i/>
        </w:rPr>
        <w:t>Unpublished doctoral thesis</w:t>
      </w:r>
      <w:r>
        <w:rPr>
          <w:rFonts w:ascii="Gill Sans MT" w:hAnsi="Gill Sans MT"/>
          <w:i/>
        </w:rPr>
        <w:t>,</w:t>
      </w:r>
      <w:r w:rsidRPr="00133CC2">
        <w:rPr>
          <w:rFonts w:ascii="Gill Sans MT" w:hAnsi="Gill Sans MT"/>
        </w:rPr>
        <w:t xml:space="preserve"> University of Leicester.</w:t>
      </w:r>
    </w:p>
    <w:p w14:paraId="4B6C5E6C" w14:textId="77777777" w:rsidR="008816CD" w:rsidRPr="00133CC2" w:rsidRDefault="008816CD" w:rsidP="008816CD">
      <w:pPr>
        <w:spacing w:after="0"/>
        <w:rPr>
          <w:rFonts w:ascii="Gill Sans MT" w:hAnsi="Gill Sans MT"/>
        </w:rPr>
      </w:pPr>
      <w:r w:rsidRPr="00133CC2">
        <w:rPr>
          <w:rFonts w:ascii="Gill Sans MT" w:hAnsi="Gill Sans MT"/>
        </w:rPr>
        <w:t xml:space="preserve">Zhang, D., 2009, The application of blog in English writing, </w:t>
      </w:r>
      <w:r w:rsidRPr="003707D7">
        <w:rPr>
          <w:rFonts w:ascii="Gill Sans MT" w:hAnsi="Gill Sans MT"/>
          <w:i/>
        </w:rPr>
        <w:t>Journal of Cambridge Studies</w:t>
      </w:r>
      <w:r w:rsidRPr="00133CC2">
        <w:rPr>
          <w:rFonts w:ascii="Gill Sans MT" w:hAnsi="Gill Sans MT"/>
        </w:rPr>
        <w:t>, 4(1), 64-72.</w:t>
      </w:r>
    </w:p>
    <w:p w14:paraId="176F30E0" w14:textId="77777777" w:rsidR="008816CD" w:rsidRPr="00133CC2" w:rsidRDefault="008816CD" w:rsidP="008816CD">
      <w:pPr>
        <w:spacing w:after="0"/>
        <w:rPr>
          <w:rFonts w:ascii="Gill Sans MT" w:hAnsi="Gill Sans MT"/>
        </w:rPr>
      </w:pPr>
      <w:r w:rsidRPr="00133CC2">
        <w:rPr>
          <w:rFonts w:ascii="Gill Sans MT" w:hAnsi="Gill Sans MT"/>
        </w:rPr>
        <w:t>Zhou, M., 2011, Learning styles and teaching styles in college English teaching, International Education Studies, 4(1), 73-77.</w:t>
      </w:r>
    </w:p>
    <w:p w14:paraId="1FB2BA79" w14:textId="77777777" w:rsidR="008816CD" w:rsidRPr="00133CC2" w:rsidRDefault="008816CD" w:rsidP="008816CD">
      <w:pPr>
        <w:spacing w:after="0"/>
        <w:rPr>
          <w:rFonts w:ascii="Gill Sans MT" w:hAnsi="Gill Sans MT"/>
        </w:rPr>
      </w:pPr>
      <w:r w:rsidRPr="00133CC2">
        <w:rPr>
          <w:rFonts w:ascii="Gill Sans MT" w:hAnsi="Gill Sans MT"/>
        </w:rPr>
        <w:t xml:space="preserve">Zimmerman, B.J., 1989, A social cognitive view of self-regulated academic learning, </w:t>
      </w:r>
      <w:r w:rsidRPr="003707D7">
        <w:rPr>
          <w:rFonts w:ascii="Gill Sans MT" w:hAnsi="Gill Sans MT"/>
          <w:i/>
        </w:rPr>
        <w:t>Journal of Educational Psychology</w:t>
      </w:r>
      <w:r w:rsidRPr="00133CC2">
        <w:rPr>
          <w:rFonts w:ascii="Gill Sans MT" w:hAnsi="Gill Sans MT"/>
        </w:rPr>
        <w:t>, 81(3), 329-339.</w:t>
      </w:r>
    </w:p>
    <w:p w14:paraId="26A8772B" w14:textId="77777777" w:rsidR="008816CD" w:rsidRPr="00133CC2" w:rsidRDefault="008816CD" w:rsidP="008816CD">
      <w:pPr>
        <w:spacing w:after="0"/>
        <w:rPr>
          <w:rFonts w:ascii="Gill Sans MT" w:hAnsi="Gill Sans MT"/>
        </w:rPr>
      </w:pPr>
      <w:r>
        <w:rPr>
          <w:rFonts w:ascii="Gill Sans MT" w:hAnsi="Gill Sans MT"/>
        </w:rPr>
        <w:t>Zi</w:t>
      </w:r>
      <w:r w:rsidRPr="00133CC2">
        <w:rPr>
          <w:rFonts w:ascii="Gill Sans MT" w:hAnsi="Gill Sans MT"/>
        </w:rPr>
        <w:t xml:space="preserve">mmerman, B.J., 1990, Self-regulating academic learning and achievement: the emergence of a social cognitive perspective, </w:t>
      </w:r>
      <w:r w:rsidRPr="003707D7">
        <w:rPr>
          <w:rFonts w:ascii="Gill Sans MT" w:hAnsi="Gill Sans MT"/>
          <w:i/>
        </w:rPr>
        <w:t>Educational Psychology Review</w:t>
      </w:r>
      <w:r w:rsidRPr="00133CC2">
        <w:rPr>
          <w:rFonts w:ascii="Gill Sans MT" w:hAnsi="Gill Sans MT"/>
        </w:rPr>
        <w:t>, 2(2), 173-201.</w:t>
      </w:r>
    </w:p>
    <w:p w14:paraId="27F083D7" w14:textId="3F036C53" w:rsidR="008816CD" w:rsidRDefault="008816CD" w:rsidP="008816CD">
      <w:pPr>
        <w:spacing w:after="0"/>
        <w:rPr>
          <w:rFonts w:ascii="Gill Sans MT" w:hAnsi="Gill Sans MT"/>
        </w:rPr>
      </w:pPr>
      <w:r w:rsidRPr="00133CC2">
        <w:rPr>
          <w:rFonts w:ascii="Gill Sans MT" w:hAnsi="Gill Sans MT"/>
        </w:rPr>
        <w:t>Zimmerman, B.J., 1995, Self-efficacy</w:t>
      </w:r>
      <w:r>
        <w:rPr>
          <w:rFonts w:ascii="Gill Sans MT" w:hAnsi="Gill Sans MT"/>
        </w:rPr>
        <w:t xml:space="preserve"> and educational development, IN</w:t>
      </w:r>
      <w:r w:rsidRPr="00133CC2">
        <w:rPr>
          <w:rFonts w:ascii="Gill Sans MT" w:hAnsi="Gill Sans MT"/>
        </w:rPr>
        <w:t xml:space="preserve">: Bandura, A., </w:t>
      </w:r>
      <w:r w:rsidRPr="003707D7">
        <w:rPr>
          <w:rFonts w:ascii="Gill Sans MT" w:hAnsi="Gill Sans MT"/>
          <w:i/>
        </w:rPr>
        <w:t>Self-efficacy in changing societies</w:t>
      </w:r>
      <w:r w:rsidRPr="00133CC2">
        <w:rPr>
          <w:rFonts w:ascii="Gill Sans MT" w:hAnsi="Gill Sans MT"/>
        </w:rPr>
        <w:t>, Cambridge, Cambridge University Press.</w:t>
      </w:r>
    </w:p>
    <w:p w14:paraId="015F8F70" w14:textId="21B3385A" w:rsidR="007E4F5A" w:rsidRPr="007E4F5A" w:rsidRDefault="007E4F5A" w:rsidP="008816CD">
      <w:pPr>
        <w:spacing w:after="0"/>
        <w:rPr>
          <w:rFonts w:ascii="Gill Sans MT" w:hAnsi="Gill Sans MT"/>
        </w:rPr>
      </w:pPr>
      <w:r>
        <w:rPr>
          <w:rFonts w:ascii="Gill Sans MT" w:hAnsi="Gill Sans MT"/>
        </w:rPr>
        <w:t xml:space="preserve">Zimmerman, B.J., 2000, Self-efficacy: an essential motive to learn, </w:t>
      </w:r>
      <w:r>
        <w:rPr>
          <w:rFonts w:ascii="Gill Sans MT" w:hAnsi="Gill Sans MT"/>
          <w:i/>
          <w:iCs/>
        </w:rPr>
        <w:t>Contemporary educational psychology</w:t>
      </w:r>
      <w:r>
        <w:rPr>
          <w:rFonts w:ascii="Gill Sans MT" w:hAnsi="Gill Sans MT"/>
        </w:rPr>
        <w:t>, 25(1), 82-91.</w:t>
      </w:r>
    </w:p>
    <w:p w14:paraId="50FE9311" w14:textId="6EF4D4DF" w:rsidR="008816CD" w:rsidRDefault="008816CD" w:rsidP="008816CD">
      <w:pPr>
        <w:spacing w:after="0"/>
        <w:rPr>
          <w:rFonts w:ascii="Gill Sans MT" w:hAnsi="Gill Sans MT"/>
        </w:rPr>
      </w:pPr>
      <w:r>
        <w:rPr>
          <w:rFonts w:ascii="Gill Sans MT" w:hAnsi="Gill Sans MT"/>
        </w:rPr>
        <w:t xml:space="preserve">Zimmerman, B.J., Schunk, D.H, 2011, </w:t>
      </w:r>
      <w:r>
        <w:rPr>
          <w:rFonts w:ascii="Gill Sans MT" w:hAnsi="Gill Sans MT"/>
          <w:i/>
          <w:iCs/>
        </w:rPr>
        <w:t>Handbook of self-regulation of learning and performance</w:t>
      </w:r>
      <w:r>
        <w:rPr>
          <w:rFonts w:ascii="Gill Sans MT" w:hAnsi="Gill Sans MT"/>
        </w:rPr>
        <w:t>, Routledge, New York.</w:t>
      </w:r>
    </w:p>
    <w:p w14:paraId="419760D4" w14:textId="7883697F" w:rsidR="00CF2EDC" w:rsidRPr="00CF2EDC" w:rsidRDefault="00CF2EDC" w:rsidP="008816CD">
      <w:pPr>
        <w:spacing w:after="0"/>
        <w:rPr>
          <w:rFonts w:ascii="Gill Sans MT" w:hAnsi="Gill Sans MT"/>
        </w:rPr>
      </w:pPr>
      <w:r>
        <w:rPr>
          <w:rFonts w:ascii="Gill Sans MT" w:hAnsi="Gill Sans MT"/>
        </w:rPr>
        <w:t xml:space="preserve">Zwick, W.R., Velicer, W.F., 1986, Comparison of five rules for determining the number of components to retain, </w:t>
      </w:r>
      <w:r>
        <w:rPr>
          <w:rFonts w:ascii="Gill Sans MT" w:hAnsi="Gill Sans MT"/>
          <w:i/>
          <w:iCs/>
        </w:rPr>
        <w:t xml:space="preserve">Psychological Bulletin, </w:t>
      </w:r>
      <w:r w:rsidR="00EC3192">
        <w:rPr>
          <w:rFonts w:ascii="Gill Sans MT" w:hAnsi="Gill Sans MT"/>
        </w:rPr>
        <w:t>99(3), 432-442.</w:t>
      </w:r>
    </w:p>
    <w:p w14:paraId="515CC359" w14:textId="77777777" w:rsidR="008816CD" w:rsidRPr="00C64EFE" w:rsidRDefault="008816CD" w:rsidP="008816CD">
      <w:pPr>
        <w:spacing w:after="0"/>
        <w:rPr>
          <w:rFonts w:ascii="Gill Sans MT" w:hAnsi="Gill Sans MT"/>
        </w:rPr>
      </w:pPr>
      <w:r>
        <w:rPr>
          <w:rFonts w:ascii="Gill Sans MT" w:hAnsi="Gill Sans MT"/>
        </w:rPr>
        <w:t xml:space="preserve">Zoho Corp., 2016, </w:t>
      </w:r>
      <w:r>
        <w:rPr>
          <w:rFonts w:ascii="Gill Sans MT" w:hAnsi="Gill Sans MT"/>
          <w:i/>
        </w:rPr>
        <w:t>Zoho Survey</w:t>
      </w:r>
      <w:r>
        <w:rPr>
          <w:rFonts w:ascii="Gill Sans MT" w:hAnsi="Gill Sans MT"/>
        </w:rPr>
        <w:t xml:space="preserve">, Available at: </w:t>
      </w:r>
      <w:hyperlink r:id="rId76" w:history="1">
        <w:r w:rsidRPr="00D51964">
          <w:rPr>
            <w:rStyle w:val="Hyperlink"/>
            <w:rFonts w:ascii="Gill Sans MT" w:hAnsi="Gill Sans MT"/>
          </w:rPr>
          <w:t>https://zoho.com/survey/</w:t>
        </w:r>
      </w:hyperlink>
      <w:r>
        <w:rPr>
          <w:rFonts w:ascii="Gill Sans MT" w:hAnsi="Gill Sans MT"/>
        </w:rPr>
        <w:t>,</w:t>
      </w:r>
      <w:r>
        <w:rPr>
          <w:rFonts w:ascii="Gill Sans MT" w:hAnsi="Gill Sans MT"/>
          <w:i/>
        </w:rPr>
        <w:t xml:space="preserve"> </w:t>
      </w:r>
      <w:r>
        <w:rPr>
          <w:rFonts w:ascii="Gill Sans MT" w:hAnsi="Gill Sans MT"/>
        </w:rPr>
        <w:t>Accessed on: 19</w:t>
      </w:r>
      <w:r w:rsidRPr="00C64EFE">
        <w:rPr>
          <w:rFonts w:ascii="Gill Sans MT" w:hAnsi="Gill Sans MT"/>
          <w:vertAlign w:val="superscript"/>
        </w:rPr>
        <w:t>th</w:t>
      </w:r>
      <w:r>
        <w:rPr>
          <w:rFonts w:ascii="Gill Sans MT" w:hAnsi="Gill Sans MT"/>
        </w:rPr>
        <w:t xml:space="preserve"> February 2016.</w:t>
      </w:r>
    </w:p>
    <w:p w14:paraId="6EBF14CE" w14:textId="77777777" w:rsidR="008816CD" w:rsidRDefault="008816CD" w:rsidP="008816CD"/>
    <w:p w14:paraId="6386796B" w14:textId="77777777" w:rsidR="008816CD" w:rsidRDefault="008816CD" w:rsidP="008816CD">
      <w:pPr>
        <w:pStyle w:val="Heading1"/>
      </w:pPr>
      <w:bookmarkStart w:id="283" w:name="_Toc525053270"/>
      <w:bookmarkStart w:id="284" w:name="_Toc533669234"/>
    </w:p>
    <w:p w14:paraId="7911AF80" w14:textId="39BD96CE" w:rsidR="00664C4D" w:rsidRDefault="00664C4D" w:rsidP="00664C4D">
      <w:pPr>
        <w:pStyle w:val="Heading1"/>
      </w:pPr>
      <w:bookmarkStart w:id="285" w:name="_Toc54019912"/>
      <w:bookmarkStart w:id="286" w:name="_Toc57035953"/>
      <w:bookmarkEnd w:id="283"/>
      <w:bookmarkEnd w:id="284"/>
      <w:r>
        <w:t>8</w:t>
      </w:r>
      <w:r w:rsidR="004D5123">
        <w:tab/>
      </w:r>
      <w:r>
        <w:t>Appendices</w:t>
      </w:r>
      <w:bookmarkEnd w:id="285"/>
      <w:bookmarkEnd w:id="286"/>
    </w:p>
    <w:p w14:paraId="0F685909" w14:textId="15571D44" w:rsidR="001039E6" w:rsidRDefault="001039E6" w:rsidP="001039E6">
      <w:pPr>
        <w:pStyle w:val="Heading5"/>
        <w:spacing w:before="0"/>
      </w:pPr>
      <w:bookmarkStart w:id="287" w:name="_Toc525053273"/>
      <w:bookmarkStart w:id="288" w:name="_Toc533669244"/>
      <w:bookmarkStart w:id="289" w:name="_Toc9795801"/>
      <w:bookmarkStart w:id="290" w:name="_Toc54019913"/>
      <w:bookmarkStart w:id="291" w:name="_Toc57035954"/>
      <w:bookmarkStart w:id="292" w:name="_Hlk3886975"/>
      <w:r>
        <w:t>8</w:t>
      </w:r>
      <w:r>
        <w:t>.1</w:t>
      </w:r>
      <w:r>
        <w:tab/>
      </w:r>
      <w:r>
        <w:t>The Research Questionnaire</w:t>
      </w:r>
    </w:p>
    <w:p w14:paraId="7A27F5C2" w14:textId="77777777" w:rsidR="001039E6" w:rsidRDefault="001039E6" w:rsidP="001039E6">
      <w:pPr>
        <w:pStyle w:val="Heading5"/>
        <w:spacing w:before="0"/>
        <w:ind w:left="720"/>
      </w:pPr>
      <w:r>
        <w:t>I</w:t>
      </w:r>
      <w:r>
        <w:tab/>
        <w:t>Scale limitation</w:t>
      </w:r>
      <w:r>
        <w:t>s</w:t>
      </w:r>
    </w:p>
    <w:p w14:paraId="2C2489FA" w14:textId="77777777" w:rsidR="001039E6" w:rsidRDefault="001039E6" w:rsidP="001039E6">
      <w:pPr>
        <w:pStyle w:val="Heading5"/>
        <w:spacing w:before="0"/>
        <w:ind w:left="720"/>
      </w:pPr>
      <w:r>
        <w:t>II</w:t>
      </w:r>
      <w:r>
        <w:tab/>
        <w:t>The research questionnaire</w:t>
      </w:r>
    </w:p>
    <w:p w14:paraId="565859B2" w14:textId="77777777" w:rsidR="001039E6" w:rsidRDefault="001039E6" w:rsidP="001039E6">
      <w:pPr>
        <w:pStyle w:val="Heading5"/>
        <w:spacing w:before="0"/>
      </w:pPr>
      <w:r>
        <w:t>8.2</w:t>
      </w:r>
      <w:r>
        <w:tab/>
        <w:t>Ethics Approval Documentation</w:t>
      </w:r>
    </w:p>
    <w:p w14:paraId="07A3E9B2" w14:textId="77777777" w:rsidR="001039E6" w:rsidRDefault="001039E6" w:rsidP="001039E6">
      <w:pPr>
        <w:pStyle w:val="Heading5"/>
        <w:spacing w:before="0"/>
      </w:pPr>
      <w:r>
        <w:tab/>
        <w:t>I</w:t>
      </w:r>
      <w:r>
        <w:tab/>
        <w:t>Middlesex University Ethics Review Form A</w:t>
      </w:r>
    </w:p>
    <w:p w14:paraId="10865094" w14:textId="77777777" w:rsidR="001039E6" w:rsidRDefault="001039E6" w:rsidP="001039E6">
      <w:pPr>
        <w:pStyle w:val="Heading5"/>
        <w:spacing w:before="0"/>
      </w:pPr>
      <w:r>
        <w:tab/>
        <w:t>II</w:t>
      </w:r>
      <w:r>
        <w:tab/>
        <w:t>Middlesex University Ethics Sub-committee request for research clarification</w:t>
      </w:r>
    </w:p>
    <w:p w14:paraId="224F46D2" w14:textId="77777777" w:rsidR="001039E6" w:rsidRDefault="001039E6" w:rsidP="001039E6">
      <w:pPr>
        <w:pStyle w:val="Heading5"/>
        <w:spacing w:before="0"/>
      </w:pPr>
      <w:r>
        <w:tab/>
        <w:t>III</w:t>
      </w:r>
      <w:r>
        <w:tab/>
        <w:t>Response to request for research clarification</w:t>
      </w:r>
    </w:p>
    <w:p w14:paraId="1F787BFE" w14:textId="77777777" w:rsidR="001039E6" w:rsidRDefault="001039E6" w:rsidP="001039E6">
      <w:pPr>
        <w:pStyle w:val="Heading5"/>
        <w:spacing w:before="0"/>
      </w:pPr>
      <w:r>
        <w:tab/>
        <w:t>IV</w:t>
      </w:r>
      <w:r>
        <w:tab/>
        <w:t>Middlesex University Form ED17 Ethics Approval</w:t>
      </w:r>
    </w:p>
    <w:p w14:paraId="6C467698" w14:textId="77777777" w:rsidR="001039E6" w:rsidRDefault="001039E6" w:rsidP="001039E6">
      <w:pPr>
        <w:pStyle w:val="Heading5"/>
        <w:spacing w:before="0"/>
      </w:pPr>
      <w:r>
        <w:tab/>
        <w:t>V</w:t>
      </w:r>
      <w:r>
        <w:tab/>
        <w:t>Middlesex University Independent field/location work risk assessment form</w:t>
      </w:r>
    </w:p>
    <w:p w14:paraId="25858C69" w14:textId="5779049A" w:rsidR="001039E6" w:rsidRPr="001039E6" w:rsidRDefault="001039E6" w:rsidP="001039E6">
      <w:pPr>
        <w:pStyle w:val="Heading5"/>
        <w:spacing w:before="0"/>
      </w:pPr>
      <w:r>
        <w:t xml:space="preserve"> </w:t>
      </w:r>
      <w:r>
        <w:tab/>
      </w:r>
      <w:r>
        <w:tab/>
        <w:t>FRA1</w:t>
      </w:r>
      <w:r>
        <w:br w:type="page"/>
      </w:r>
    </w:p>
    <w:p w14:paraId="3686C9DF" w14:textId="3B4A1E9F" w:rsidR="00664C4D" w:rsidRDefault="00664C4D" w:rsidP="00664C4D">
      <w:pPr>
        <w:pStyle w:val="Heading2"/>
      </w:pPr>
      <w:r>
        <w:lastRenderedPageBreak/>
        <w:t>8.</w:t>
      </w:r>
      <w:r w:rsidR="004D5123">
        <w:t>1</w:t>
      </w:r>
      <w:r w:rsidR="004D5123">
        <w:tab/>
      </w:r>
      <w:r>
        <w:t>The Research Questionnaire</w:t>
      </w:r>
      <w:bookmarkEnd w:id="287"/>
      <w:bookmarkEnd w:id="288"/>
      <w:bookmarkEnd w:id="289"/>
      <w:r>
        <w:t xml:space="preserve"> (qnr)</w:t>
      </w:r>
      <w:bookmarkEnd w:id="290"/>
      <w:bookmarkEnd w:id="291"/>
    </w:p>
    <w:p w14:paraId="6BFB4581" w14:textId="77777777" w:rsidR="00664C4D" w:rsidRDefault="00664C4D" w:rsidP="00664C4D">
      <w:r>
        <w:t>The project’s research questionnaire was only available electronically. The questionnaire was constructed as a web-based electronic form using Adobe Dreamweaver web-authoring software. Once complete and tested, the questionnaire was hosted on the project webpages where it remains available for inspection</w:t>
      </w:r>
      <w:r>
        <w:rPr>
          <w:rStyle w:val="FootnoteReference"/>
        </w:rPr>
        <w:footnoteReference w:id="1"/>
      </w:r>
      <w:r>
        <w:t>. Students who responded to the Invitations to Participate, either directly through the link e-mailed to them by the University’s Dyslexia and Disability Service, or from the publicity notice published on the University’s student-facing intranet, were taken to the opening page of the suite of questionnaire pages. Explaining briefly the context of the research, this opening page also provided access to the Participant Information Statement and the Participant Informed Consent Statement. Participants were required to acknowledge that they had viewed both of these documents in order to gain access to the research questionnaire</w:t>
      </w:r>
      <w:bookmarkEnd w:id="292"/>
      <w:r>
        <w:t>.</w:t>
      </w:r>
    </w:p>
    <w:p w14:paraId="21A6495F" w14:textId="77777777" w:rsidR="00664C4D" w:rsidRDefault="00664C4D" w:rsidP="00664C4D">
      <w:r>
        <w:t>Listed below are the preliminary pages and the complete questionnaire, reformatted into MS Word so that it can be incorporated into the complete thesis document.</w:t>
      </w:r>
    </w:p>
    <w:p w14:paraId="03597D62" w14:textId="04F99FDE" w:rsidR="00664C4D" w:rsidRDefault="00664C4D" w:rsidP="00664C4D">
      <w:pPr>
        <w:pStyle w:val="Heading3"/>
      </w:pPr>
      <w:bookmarkStart w:id="293" w:name="_Toc9795802"/>
      <w:bookmarkStart w:id="294" w:name="_Toc54019914"/>
      <w:bookmarkStart w:id="295" w:name="_Toc57035955"/>
      <w:r>
        <w:t>I</w:t>
      </w:r>
      <w:r w:rsidR="004D5123">
        <w:tab/>
      </w:r>
      <w:r>
        <w:t>QNR Preliminary information</w:t>
      </w:r>
      <w:bookmarkEnd w:id="293"/>
      <w:bookmarkEnd w:id="294"/>
      <w:bookmarkEnd w:id="295"/>
    </w:p>
    <w:p w14:paraId="1B2BD11A" w14:textId="77777777" w:rsidR="00664C4D" w:rsidRDefault="00664C4D" w:rsidP="00664C4D">
      <w:pPr>
        <w:pStyle w:val="Heading4"/>
      </w:pPr>
    </w:p>
    <w:p w14:paraId="7B018445" w14:textId="77777777" w:rsidR="00664C4D" w:rsidRDefault="00664C4D" w:rsidP="00664C4D">
      <w:pPr>
        <w:pStyle w:val="Heading4"/>
      </w:pPr>
      <w:r>
        <w:t>Research participant Information Statement</w:t>
      </w:r>
    </w:p>
    <w:p w14:paraId="043C4341" w14:textId="77777777" w:rsidR="00664C4D" w:rsidRDefault="00664C4D" w:rsidP="00664C4D">
      <w:pPr>
        <w:pStyle w:val="ListParagraph"/>
        <w:numPr>
          <w:ilvl w:val="0"/>
          <w:numId w:val="41"/>
        </w:numPr>
        <w:spacing w:before="0" w:after="0" w:line="276" w:lineRule="auto"/>
      </w:pPr>
      <w:r>
        <w:t>You are being invited to participate in a research study but before you decide to take part, it is important for you to understand why the research is being conducted and what it will involve. Take your time to read the following information carefully and discuss it with others if you wish. Please contact the researcher or the researcher's supervisor if there is anything that is not clear or if you would like more information.</w:t>
      </w:r>
    </w:p>
    <w:p w14:paraId="16ECD594" w14:textId="77777777" w:rsidR="00664C4D" w:rsidRDefault="00664C4D" w:rsidP="00664C4D">
      <w:pPr>
        <w:pStyle w:val="ListParagraph"/>
        <w:numPr>
          <w:ilvl w:val="0"/>
          <w:numId w:val="41"/>
        </w:numPr>
        <w:spacing w:before="0" w:after="0" w:line="276" w:lineRule="auto"/>
      </w:pPr>
      <w:r>
        <w:t>If you decide to take part after reading this information sheet, you will next be asked to give your consent to the data that you provide being used in the research and following that you can access the research questionnaire.</w:t>
      </w:r>
    </w:p>
    <w:p w14:paraId="16CA54C0" w14:textId="77777777" w:rsidR="00664C4D" w:rsidRDefault="00664C4D" w:rsidP="00664C4D">
      <w:pPr>
        <w:pStyle w:val="ListParagraph"/>
        <w:numPr>
          <w:ilvl w:val="0"/>
          <w:numId w:val="41"/>
        </w:numPr>
        <w:spacing w:before="0" w:after="0" w:line="276" w:lineRule="auto"/>
      </w:pPr>
      <w:r>
        <w:t>The research questionnaire is asking about your attitudes towards your learning and your confidence in approaches to studying at university. Your answers will be providing valuable data for the research which is broadly exploring the relationships between academic agency amongst university students and how this is affected by learning differences such as dyslexia or other learning challenges.</w:t>
      </w:r>
    </w:p>
    <w:p w14:paraId="6B221640" w14:textId="77777777" w:rsidR="00664C4D" w:rsidRDefault="00664C4D" w:rsidP="00664C4D">
      <w:pPr>
        <w:pStyle w:val="ListParagraph"/>
        <w:numPr>
          <w:ilvl w:val="0"/>
          <w:numId w:val="41"/>
        </w:numPr>
        <w:spacing w:before="0" w:after="0" w:line="276" w:lineRule="auto"/>
      </w:pPr>
      <w:r>
        <w:t>All data that you provide is collected anonymously, you are not asked to identify yourself or provide any contact details and so everything that you report in the questionnaire cannot be attributed back to you as a named person at any time.</w:t>
      </w:r>
    </w:p>
    <w:p w14:paraId="15BC808D" w14:textId="77777777" w:rsidR="00664C4D" w:rsidRDefault="00664C4D" w:rsidP="00664C4D">
      <w:pPr>
        <w:pStyle w:val="ListParagraph"/>
        <w:numPr>
          <w:ilvl w:val="0"/>
          <w:numId w:val="41"/>
        </w:numPr>
        <w:spacing w:before="0" w:after="0" w:line="276" w:lineRule="auto"/>
      </w:pPr>
      <w:r>
        <w:t xml:space="preserve">Participation in the research is entirely voluntary and if you decide to take part you can withdraw at any time without providing a reason. Even after you have completed the research questionnaire and sent it, you will still be able to </w:t>
      </w:r>
      <w:r>
        <w:lastRenderedPageBreak/>
        <w:t>anonymously request that the data you have provided should be removed and erased.</w:t>
      </w:r>
    </w:p>
    <w:p w14:paraId="7B9C58E4" w14:textId="77777777" w:rsidR="00664C4D" w:rsidRDefault="00664C4D" w:rsidP="00664C4D">
      <w:pPr>
        <w:pStyle w:val="ListParagraph"/>
        <w:numPr>
          <w:ilvl w:val="0"/>
          <w:numId w:val="41"/>
        </w:numPr>
        <w:spacing w:before="0" w:after="0" w:line="276" w:lineRule="auto"/>
      </w:pPr>
      <w:r>
        <w:t>The research questionnaire comprises a number of question item statements which invite you to judge your level of concurrence (agreement) with them using a Likert-style responder. You should be able to complete the complete questionnaire in about 15-20 minutes. The data that it provides will form part of the analysis to inform the discussion section of the research study, which will conclude with a thesis to be submitted as part of this PhD research project and published on these webpages.</w:t>
      </w:r>
    </w:p>
    <w:p w14:paraId="380B2175" w14:textId="77777777" w:rsidR="00664C4D" w:rsidRDefault="00664C4D" w:rsidP="00664C4D">
      <w:pPr>
        <w:pStyle w:val="ListParagraph"/>
        <w:numPr>
          <w:ilvl w:val="0"/>
          <w:numId w:val="41"/>
        </w:numPr>
        <w:spacing w:before="0" w:after="0" w:line="276" w:lineRule="auto"/>
      </w:pPr>
      <w:r>
        <w:t>The ways in which the data will be used together with your rights as a participant are explained in the Research Participant Informed Consent Statement which follows this information sheet.</w:t>
      </w:r>
    </w:p>
    <w:p w14:paraId="1E0F5E72" w14:textId="77777777" w:rsidR="00664C4D" w:rsidRDefault="00664C4D" w:rsidP="00664C4D">
      <w:pPr>
        <w:pStyle w:val="ListParagraph"/>
        <w:numPr>
          <w:ilvl w:val="0"/>
          <w:numId w:val="41"/>
        </w:numPr>
        <w:spacing w:before="0" w:after="0" w:line="276" w:lineRule="auto"/>
      </w:pPr>
      <w:r>
        <w:t>The data collection process of this research project has been approved by Middlesex University Education Department Ethics Sub-committee (July 2015) with documentation available for inspection here</w:t>
      </w:r>
      <w:r>
        <w:rPr>
          <w:rStyle w:val="FootnoteReference"/>
        </w:rPr>
        <w:footnoteReference w:id="2"/>
      </w:r>
      <w:r>
        <w:t>.</w:t>
      </w:r>
    </w:p>
    <w:p w14:paraId="4EA70631" w14:textId="77777777" w:rsidR="00664C4D" w:rsidRDefault="00664C4D" w:rsidP="00664C4D">
      <w:pPr>
        <w:spacing w:before="0" w:after="0" w:line="276" w:lineRule="auto"/>
      </w:pPr>
    </w:p>
    <w:p w14:paraId="78A56A47" w14:textId="77777777" w:rsidR="00664C4D" w:rsidRDefault="00664C4D" w:rsidP="00664C4D">
      <w:pPr>
        <w:pStyle w:val="Heading4"/>
      </w:pPr>
    </w:p>
    <w:p w14:paraId="7CEB15E2" w14:textId="77777777" w:rsidR="00664C4D" w:rsidRDefault="00664C4D" w:rsidP="00664C4D">
      <w:pPr>
        <w:pStyle w:val="Heading4"/>
      </w:pPr>
      <w:r>
        <w:t>Participant informed consent statement</w:t>
      </w:r>
    </w:p>
    <w:p w14:paraId="61B3751D" w14:textId="77777777" w:rsidR="00664C4D" w:rsidRDefault="00664C4D" w:rsidP="00664C4D">
      <w:pPr>
        <w:spacing w:after="240"/>
      </w:pPr>
      <w:r>
        <w:t>Participant Informed Consent Statement - by moving forward from this page to the questionnaire, it will be assumed that you have agreed to participate in the research and that:</w:t>
      </w:r>
    </w:p>
    <w:p w14:paraId="3CA0B6AC" w14:textId="77777777" w:rsidR="00664C4D" w:rsidRDefault="00664C4D" w:rsidP="00664C4D">
      <w:pPr>
        <w:pStyle w:val="ListParagraph"/>
        <w:numPr>
          <w:ilvl w:val="0"/>
          <w:numId w:val="42"/>
        </w:numPr>
        <w:spacing w:before="0" w:after="0" w:line="276" w:lineRule="auto"/>
      </w:pPr>
      <w:r>
        <w:t>you have understood that the answers you provide in the questionnaire and the data that is generated will be completely anonymously received by the researcher and not identifiable directly to you;</w:t>
      </w:r>
    </w:p>
    <w:p w14:paraId="7C8CB5DA" w14:textId="77777777" w:rsidR="00664C4D" w:rsidRDefault="00664C4D" w:rsidP="00664C4D">
      <w:pPr>
        <w:pStyle w:val="ListParagraph"/>
        <w:numPr>
          <w:ilvl w:val="0"/>
          <w:numId w:val="42"/>
        </w:numPr>
        <w:spacing w:before="0" w:after="0" w:line="276" w:lineRule="auto"/>
      </w:pPr>
      <w:r>
        <w:t>you have understood that you have the right to withdraw from participation in the project at any time without any obligation to explain your reasons for doing so;</w:t>
      </w:r>
    </w:p>
    <w:p w14:paraId="3D297670" w14:textId="77777777" w:rsidR="00664C4D" w:rsidRDefault="00664C4D" w:rsidP="00664C4D">
      <w:pPr>
        <w:pStyle w:val="ListParagraph"/>
        <w:numPr>
          <w:ilvl w:val="0"/>
          <w:numId w:val="42"/>
        </w:numPr>
        <w:spacing w:before="0" w:after="0" w:line="276" w:lineRule="auto"/>
      </w:pPr>
      <w:r>
        <w:t>you have understood that you can request the researcher to remove and erase any data that your questionnaire reply generates provided your request to do so is received by the researcher before the formal data analysis process begins in January 2016. (Details about how to request removal of data are provided after the questionnaire has been submitted);</w:t>
      </w:r>
    </w:p>
    <w:p w14:paraId="7AB18578" w14:textId="77777777" w:rsidR="00664C4D" w:rsidRDefault="00664C4D" w:rsidP="00664C4D">
      <w:pPr>
        <w:pStyle w:val="ListParagraph"/>
        <w:numPr>
          <w:ilvl w:val="0"/>
          <w:numId w:val="42"/>
        </w:numPr>
        <w:spacing w:before="0" w:after="0" w:line="276" w:lineRule="auto"/>
      </w:pPr>
      <w:r>
        <w:t>you have understood that the data that your questionnaire reply generates will be used as part of the process of data analysis and will form part of the publication of the research project outcomes, and that as a result of the anonymity of your data as received by the researcher, nothing in any publication can be attributed to your contribution.</w:t>
      </w:r>
    </w:p>
    <w:p w14:paraId="075A442F" w14:textId="77777777" w:rsidR="00664C4D" w:rsidRDefault="00664C4D" w:rsidP="00664C4D">
      <w:pPr>
        <w:spacing w:before="0" w:after="0" w:line="276" w:lineRule="auto"/>
      </w:pPr>
      <w:r>
        <w:br w:type="page"/>
      </w:r>
    </w:p>
    <w:p w14:paraId="2CF66EA8" w14:textId="77777777" w:rsidR="00664C4D" w:rsidRDefault="00664C4D" w:rsidP="00664C4D">
      <w:pPr>
        <w:spacing w:before="0" w:after="200" w:line="276" w:lineRule="auto"/>
        <w:jc w:val="both"/>
        <w:sectPr w:rsidR="00664C4D" w:rsidSect="00A2665A">
          <w:headerReference w:type="default" r:id="rId77"/>
          <w:type w:val="continuous"/>
          <w:pgSz w:w="11906" w:h="16838"/>
          <w:pgMar w:top="720" w:right="964" w:bottom="720" w:left="2268" w:header="708" w:footer="708" w:gutter="0"/>
          <w:cols w:space="708"/>
          <w:titlePg/>
          <w:docGrid w:linePitch="360"/>
        </w:sectPr>
      </w:pPr>
    </w:p>
    <w:p w14:paraId="04FFE3A0" w14:textId="22A4B8E6" w:rsidR="00664C4D" w:rsidRDefault="00664C4D" w:rsidP="00664C4D">
      <w:pPr>
        <w:pStyle w:val="Heading3"/>
      </w:pPr>
      <w:bookmarkStart w:id="296" w:name="_Toc9795803"/>
      <w:bookmarkStart w:id="297" w:name="_Toc54019915"/>
      <w:bookmarkStart w:id="298" w:name="_Toc57035956"/>
      <w:r>
        <w:lastRenderedPageBreak/>
        <w:t>II</w:t>
      </w:r>
      <w:r w:rsidR="004D5123">
        <w:tab/>
      </w:r>
      <w:r>
        <w:t>The Research Questionnaire</w:t>
      </w:r>
      <w:bookmarkEnd w:id="296"/>
      <w:bookmarkEnd w:id="297"/>
      <w:bookmarkEnd w:id="298"/>
    </w:p>
    <w:p w14:paraId="67CC1444" w14:textId="77777777" w:rsidR="00664C4D" w:rsidRDefault="00664C4D" w:rsidP="00664C4D">
      <w:pPr>
        <w:pStyle w:val="Heading5"/>
      </w:pPr>
    </w:p>
    <w:tbl>
      <w:tblPr>
        <w:tblStyle w:val="TableGrid"/>
        <w:tblW w:w="1394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6"/>
        <w:gridCol w:w="1644"/>
        <w:gridCol w:w="2948"/>
        <w:gridCol w:w="1644"/>
        <w:gridCol w:w="1474"/>
      </w:tblGrid>
      <w:tr w:rsidR="00664C4D" w:rsidRPr="00B81BD6" w14:paraId="7565CD43" w14:textId="77777777" w:rsidTr="00664C4D">
        <w:trPr>
          <w:trHeight w:val="227"/>
        </w:trPr>
        <w:tc>
          <w:tcPr>
            <w:tcW w:w="6236" w:type="dxa"/>
            <w:vAlign w:val="center"/>
          </w:tcPr>
          <w:p w14:paraId="1B3255D0" w14:textId="77777777" w:rsidR="00664C4D" w:rsidRDefault="00664C4D" w:rsidP="00664C4D">
            <w:pPr>
              <w:pStyle w:val="Heading5"/>
              <w:outlineLvl w:val="4"/>
              <w:rPr>
                <w:rFonts w:ascii="Gill Sans MT" w:hAnsi="Gill Sans MT"/>
                <w:szCs w:val="18"/>
              </w:rPr>
            </w:pPr>
            <w:r>
              <w:t>Section 1</w:t>
            </w:r>
          </w:p>
        </w:tc>
        <w:tc>
          <w:tcPr>
            <w:tcW w:w="1644" w:type="dxa"/>
            <w:shd w:val="clear" w:color="auto" w:fill="auto"/>
            <w:vAlign w:val="center"/>
          </w:tcPr>
          <w:p w14:paraId="7512CF9F" w14:textId="77777777" w:rsidR="00664C4D" w:rsidRPr="00347985" w:rsidRDefault="00664C4D" w:rsidP="00664C4D">
            <w:pPr>
              <w:spacing w:before="0" w:after="0" w:line="276" w:lineRule="auto"/>
              <w:rPr>
                <w:rFonts w:ascii="Gill Sans MT" w:hAnsi="Gill Sans MT"/>
                <w:color w:val="FFFFFF" w:themeColor="background1"/>
                <w:sz w:val="18"/>
                <w:szCs w:val="18"/>
              </w:rPr>
            </w:pPr>
          </w:p>
        </w:tc>
        <w:tc>
          <w:tcPr>
            <w:tcW w:w="2948" w:type="dxa"/>
            <w:vAlign w:val="center"/>
          </w:tcPr>
          <w:p w14:paraId="6DB3F667" w14:textId="77777777" w:rsidR="00664C4D" w:rsidRPr="00B81BD6" w:rsidRDefault="00664C4D" w:rsidP="00664C4D">
            <w:pPr>
              <w:spacing w:before="0" w:after="0" w:line="276" w:lineRule="auto"/>
              <w:rPr>
                <w:rFonts w:ascii="Gill Sans MT" w:hAnsi="Gill Sans MT"/>
                <w:sz w:val="18"/>
                <w:szCs w:val="18"/>
              </w:rPr>
            </w:pPr>
          </w:p>
        </w:tc>
        <w:tc>
          <w:tcPr>
            <w:tcW w:w="1644" w:type="dxa"/>
            <w:vAlign w:val="center"/>
          </w:tcPr>
          <w:p w14:paraId="2C00C022" w14:textId="77777777" w:rsidR="00664C4D" w:rsidRPr="00B81BD6" w:rsidRDefault="00664C4D" w:rsidP="00664C4D">
            <w:pPr>
              <w:spacing w:before="0" w:after="0" w:line="276" w:lineRule="auto"/>
              <w:rPr>
                <w:rFonts w:ascii="Gill Sans MT" w:hAnsi="Gill Sans MT"/>
                <w:sz w:val="18"/>
                <w:szCs w:val="18"/>
              </w:rPr>
            </w:pPr>
          </w:p>
        </w:tc>
        <w:tc>
          <w:tcPr>
            <w:tcW w:w="1474" w:type="dxa"/>
            <w:vAlign w:val="center"/>
          </w:tcPr>
          <w:p w14:paraId="33D7B5CA"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35B30DFA" w14:textId="77777777" w:rsidTr="00664C4D">
        <w:trPr>
          <w:trHeight w:val="227"/>
        </w:trPr>
        <w:tc>
          <w:tcPr>
            <w:tcW w:w="6236" w:type="dxa"/>
            <w:vAlign w:val="center"/>
          </w:tcPr>
          <w:p w14:paraId="5D807D19"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Your gender</w:t>
            </w:r>
          </w:p>
        </w:tc>
        <w:tc>
          <w:tcPr>
            <w:tcW w:w="1644" w:type="dxa"/>
            <w:shd w:val="clear" w:color="auto" w:fill="AEAAAA" w:themeFill="background2" w:themeFillShade="BF"/>
            <w:vAlign w:val="center"/>
          </w:tcPr>
          <w:p w14:paraId="254C085E" w14:textId="77777777" w:rsidR="00664C4D" w:rsidRPr="00B81BD6" w:rsidRDefault="00664C4D" w:rsidP="00664C4D">
            <w:pPr>
              <w:spacing w:before="0" w:after="0" w:line="276" w:lineRule="auto"/>
              <w:rPr>
                <w:rFonts w:ascii="Gill Sans MT" w:hAnsi="Gill Sans MT"/>
                <w:sz w:val="18"/>
                <w:szCs w:val="18"/>
              </w:rPr>
            </w:pPr>
            <w:r w:rsidRPr="00347985">
              <w:rPr>
                <w:rFonts w:ascii="Gill Sans MT" w:hAnsi="Gill Sans MT"/>
                <w:color w:val="FFFFFF" w:themeColor="background1"/>
                <w:sz w:val="18"/>
                <w:szCs w:val="18"/>
              </w:rPr>
              <w:t>please choose</w:t>
            </w:r>
            <w:r>
              <w:rPr>
                <w:rFonts w:ascii="Gill Sans MT" w:hAnsi="Gill Sans MT"/>
                <w:color w:val="FFFFFF" w:themeColor="background1"/>
                <w:sz w:val="18"/>
                <w:szCs w:val="18"/>
              </w:rPr>
              <w:t>…</w:t>
            </w:r>
            <w:r>
              <w:rPr>
                <w:rFonts w:ascii="Arial" w:hAnsi="Arial" w:cs="Arial"/>
                <w:color w:val="FFFFFF" w:themeColor="background1"/>
              </w:rPr>
              <w:t>▼</w:t>
            </w:r>
          </w:p>
        </w:tc>
        <w:tc>
          <w:tcPr>
            <w:tcW w:w="2948" w:type="dxa"/>
            <w:vAlign w:val="center"/>
          </w:tcPr>
          <w:p w14:paraId="70E9C148" w14:textId="77777777" w:rsidR="00664C4D" w:rsidRPr="00B81BD6" w:rsidRDefault="00664C4D" w:rsidP="00664C4D">
            <w:pPr>
              <w:spacing w:before="0" w:after="0" w:line="276" w:lineRule="auto"/>
              <w:rPr>
                <w:rFonts w:ascii="Gill Sans MT" w:hAnsi="Gill Sans MT"/>
                <w:sz w:val="18"/>
                <w:szCs w:val="18"/>
              </w:rPr>
            </w:pPr>
          </w:p>
        </w:tc>
        <w:tc>
          <w:tcPr>
            <w:tcW w:w="1644" w:type="dxa"/>
            <w:vAlign w:val="center"/>
          </w:tcPr>
          <w:p w14:paraId="52A8DDC4" w14:textId="77777777" w:rsidR="00664C4D" w:rsidRPr="00B81BD6" w:rsidRDefault="00664C4D" w:rsidP="00664C4D">
            <w:pPr>
              <w:spacing w:before="0" w:after="0" w:line="276" w:lineRule="auto"/>
              <w:rPr>
                <w:rFonts w:ascii="Gill Sans MT" w:hAnsi="Gill Sans MT"/>
                <w:sz w:val="18"/>
                <w:szCs w:val="18"/>
              </w:rPr>
            </w:pPr>
          </w:p>
        </w:tc>
        <w:tc>
          <w:tcPr>
            <w:tcW w:w="1474" w:type="dxa"/>
            <w:vAlign w:val="center"/>
          </w:tcPr>
          <w:p w14:paraId="335096B9"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0B5915FB" w14:textId="77777777" w:rsidTr="00664C4D">
        <w:trPr>
          <w:trHeight w:val="227"/>
        </w:trPr>
        <w:tc>
          <w:tcPr>
            <w:tcW w:w="6236" w:type="dxa"/>
            <w:vAlign w:val="center"/>
          </w:tcPr>
          <w:p w14:paraId="312BF056" w14:textId="77777777" w:rsidR="00664C4D" w:rsidRPr="00B81BD6" w:rsidRDefault="00664C4D" w:rsidP="00664C4D">
            <w:pPr>
              <w:spacing w:before="0" w:after="0" w:line="276" w:lineRule="auto"/>
              <w:jc w:val="right"/>
              <w:rPr>
                <w:rFonts w:ascii="Gill Sans MT" w:hAnsi="Gill Sans MT"/>
                <w:sz w:val="18"/>
                <w:szCs w:val="18"/>
              </w:rPr>
            </w:pPr>
          </w:p>
        </w:tc>
        <w:tc>
          <w:tcPr>
            <w:tcW w:w="1644" w:type="dxa"/>
            <w:shd w:val="clear" w:color="auto" w:fill="FFCC99"/>
            <w:vAlign w:val="center"/>
          </w:tcPr>
          <w:p w14:paraId="7DAFD5C6" w14:textId="77777777" w:rsidR="00664C4D" w:rsidRPr="00B81BD6" w:rsidRDefault="00664C4D" w:rsidP="00664C4D">
            <w:pPr>
              <w:spacing w:before="0" w:after="0" w:line="276" w:lineRule="auto"/>
              <w:rPr>
                <w:rFonts w:ascii="Gill Sans MT" w:hAnsi="Gill Sans MT"/>
                <w:sz w:val="18"/>
                <w:szCs w:val="18"/>
              </w:rPr>
            </w:pPr>
            <w:r>
              <w:rPr>
                <w:rFonts w:ascii="Gill Sans MT" w:hAnsi="Gill Sans MT"/>
                <w:sz w:val="18"/>
                <w:szCs w:val="18"/>
              </w:rPr>
              <w:t>female</w:t>
            </w:r>
          </w:p>
        </w:tc>
        <w:tc>
          <w:tcPr>
            <w:tcW w:w="2948" w:type="dxa"/>
            <w:vAlign w:val="center"/>
          </w:tcPr>
          <w:p w14:paraId="5DA91885" w14:textId="77777777" w:rsidR="00664C4D" w:rsidRPr="00B81BD6" w:rsidRDefault="00664C4D" w:rsidP="00664C4D">
            <w:pPr>
              <w:spacing w:before="0" w:after="0" w:line="276" w:lineRule="auto"/>
              <w:rPr>
                <w:rFonts w:ascii="Gill Sans MT" w:hAnsi="Gill Sans MT"/>
                <w:sz w:val="18"/>
                <w:szCs w:val="18"/>
              </w:rPr>
            </w:pPr>
          </w:p>
        </w:tc>
        <w:tc>
          <w:tcPr>
            <w:tcW w:w="1644" w:type="dxa"/>
            <w:vAlign w:val="center"/>
          </w:tcPr>
          <w:p w14:paraId="3B1E8F71" w14:textId="77777777" w:rsidR="00664C4D" w:rsidRPr="00B81BD6" w:rsidRDefault="00664C4D" w:rsidP="00664C4D">
            <w:pPr>
              <w:spacing w:before="0" w:after="0" w:line="276" w:lineRule="auto"/>
              <w:rPr>
                <w:rFonts w:ascii="Gill Sans MT" w:hAnsi="Gill Sans MT"/>
                <w:sz w:val="18"/>
                <w:szCs w:val="18"/>
              </w:rPr>
            </w:pPr>
          </w:p>
        </w:tc>
        <w:tc>
          <w:tcPr>
            <w:tcW w:w="1474" w:type="dxa"/>
            <w:vAlign w:val="center"/>
          </w:tcPr>
          <w:p w14:paraId="1E71B5D3"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2B9C4C49" w14:textId="77777777" w:rsidTr="00664C4D">
        <w:trPr>
          <w:trHeight w:val="227"/>
        </w:trPr>
        <w:tc>
          <w:tcPr>
            <w:tcW w:w="6236" w:type="dxa"/>
            <w:vAlign w:val="center"/>
          </w:tcPr>
          <w:p w14:paraId="73ACE5BE" w14:textId="77777777" w:rsidR="00664C4D" w:rsidRPr="00B81BD6" w:rsidRDefault="00664C4D" w:rsidP="00664C4D">
            <w:pPr>
              <w:spacing w:before="0" w:after="0" w:line="276" w:lineRule="auto"/>
              <w:jc w:val="right"/>
              <w:rPr>
                <w:rFonts w:ascii="Gill Sans MT" w:hAnsi="Gill Sans MT"/>
                <w:sz w:val="18"/>
                <w:szCs w:val="18"/>
              </w:rPr>
            </w:pPr>
          </w:p>
        </w:tc>
        <w:tc>
          <w:tcPr>
            <w:tcW w:w="1644" w:type="dxa"/>
            <w:shd w:val="clear" w:color="auto" w:fill="FFCC99"/>
            <w:vAlign w:val="center"/>
          </w:tcPr>
          <w:p w14:paraId="4AF6A6A1" w14:textId="77777777" w:rsidR="00664C4D" w:rsidRPr="00B81BD6" w:rsidRDefault="00664C4D" w:rsidP="00664C4D">
            <w:pPr>
              <w:spacing w:before="0" w:after="0" w:line="276" w:lineRule="auto"/>
              <w:rPr>
                <w:rFonts w:ascii="Gill Sans MT" w:hAnsi="Gill Sans MT"/>
                <w:sz w:val="18"/>
                <w:szCs w:val="18"/>
              </w:rPr>
            </w:pPr>
            <w:r>
              <w:rPr>
                <w:rFonts w:ascii="Gill Sans MT" w:hAnsi="Gill Sans MT"/>
                <w:sz w:val="18"/>
                <w:szCs w:val="18"/>
              </w:rPr>
              <w:t>male</w:t>
            </w:r>
          </w:p>
        </w:tc>
        <w:tc>
          <w:tcPr>
            <w:tcW w:w="2948" w:type="dxa"/>
            <w:vAlign w:val="center"/>
          </w:tcPr>
          <w:p w14:paraId="73634B06" w14:textId="77777777" w:rsidR="00664C4D" w:rsidRPr="00B81BD6" w:rsidRDefault="00664C4D" w:rsidP="00664C4D">
            <w:pPr>
              <w:spacing w:before="0" w:after="0" w:line="276" w:lineRule="auto"/>
              <w:rPr>
                <w:rFonts w:ascii="Gill Sans MT" w:hAnsi="Gill Sans MT"/>
                <w:sz w:val="18"/>
                <w:szCs w:val="18"/>
              </w:rPr>
            </w:pPr>
          </w:p>
        </w:tc>
        <w:tc>
          <w:tcPr>
            <w:tcW w:w="1644" w:type="dxa"/>
            <w:vAlign w:val="center"/>
          </w:tcPr>
          <w:p w14:paraId="43420B88" w14:textId="77777777" w:rsidR="00664C4D" w:rsidRPr="00B81BD6" w:rsidRDefault="00664C4D" w:rsidP="00664C4D">
            <w:pPr>
              <w:spacing w:before="0" w:after="0" w:line="276" w:lineRule="auto"/>
              <w:rPr>
                <w:rFonts w:ascii="Gill Sans MT" w:hAnsi="Gill Sans MT"/>
                <w:sz w:val="18"/>
                <w:szCs w:val="18"/>
              </w:rPr>
            </w:pPr>
          </w:p>
        </w:tc>
        <w:tc>
          <w:tcPr>
            <w:tcW w:w="1474" w:type="dxa"/>
            <w:vAlign w:val="center"/>
          </w:tcPr>
          <w:p w14:paraId="57C13F0A"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28346065" w14:textId="77777777" w:rsidTr="00664C4D">
        <w:trPr>
          <w:trHeight w:val="227"/>
        </w:trPr>
        <w:tc>
          <w:tcPr>
            <w:tcW w:w="6236" w:type="dxa"/>
            <w:vAlign w:val="center"/>
          </w:tcPr>
          <w:p w14:paraId="26274458" w14:textId="77777777" w:rsidR="00664C4D" w:rsidRPr="00B81BD6" w:rsidRDefault="00664C4D" w:rsidP="00664C4D">
            <w:pPr>
              <w:spacing w:before="0" w:after="0" w:line="276" w:lineRule="auto"/>
              <w:jc w:val="right"/>
              <w:rPr>
                <w:rFonts w:ascii="Gill Sans MT" w:hAnsi="Gill Sans MT"/>
                <w:sz w:val="18"/>
                <w:szCs w:val="18"/>
              </w:rPr>
            </w:pPr>
          </w:p>
        </w:tc>
        <w:tc>
          <w:tcPr>
            <w:tcW w:w="1644" w:type="dxa"/>
            <w:shd w:val="clear" w:color="auto" w:fill="FFCC99"/>
            <w:vAlign w:val="center"/>
          </w:tcPr>
          <w:p w14:paraId="4B75A3CF" w14:textId="77777777" w:rsidR="00664C4D" w:rsidRPr="00B81BD6" w:rsidRDefault="00664C4D" w:rsidP="00664C4D">
            <w:pPr>
              <w:spacing w:before="0" w:after="0" w:line="276" w:lineRule="auto"/>
              <w:rPr>
                <w:rFonts w:ascii="Gill Sans MT" w:hAnsi="Gill Sans MT"/>
                <w:sz w:val="18"/>
                <w:szCs w:val="18"/>
              </w:rPr>
            </w:pPr>
            <w:r>
              <w:rPr>
                <w:rFonts w:ascii="Gill Sans MT" w:hAnsi="Gill Sans MT"/>
                <w:sz w:val="18"/>
                <w:szCs w:val="18"/>
              </w:rPr>
              <w:t>prefer not to say</w:t>
            </w:r>
          </w:p>
        </w:tc>
        <w:tc>
          <w:tcPr>
            <w:tcW w:w="2948" w:type="dxa"/>
            <w:vAlign w:val="center"/>
          </w:tcPr>
          <w:p w14:paraId="7B1A0CBE" w14:textId="77777777" w:rsidR="00664C4D" w:rsidRPr="00B81BD6" w:rsidRDefault="00664C4D" w:rsidP="00664C4D">
            <w:pPr>
              <w:spacing w:before="0" w:after="0" w:line="276" w:lineRule="auto"/>
              <w:rPr>
                <w:rFonts w:ascii="Gill Sans MT" w:hAnsi="Gill Sans MT"/>
                <w:sz w:val="18"/>
                <w:szCs w:val="18"/>
              </w:rPr>
            </w:pPr>
          </w:p>
        </w:tc>
        <w:tc>
          <w:tcPr>
            <w:tcW w:w="1644" w:type="dxa"/>
            <w:vAlign w:val="center"/>
          </w:tcPr>
          <w:p w14:paraId="3167DF58" w14:textId="77777777" w:rsidR="00664C4D" w:rsidRPr="00B81BD6" w:rsidRDefault="00664C4D" w:rsidP="00664C4D">
            <w:pPr>
              <w:spacing w:before="0" w:after="0" w:line="276" w:lineRule="auto"/>
              <w:rPr>
                <w:rFonts w:ascii="Gill Sans MT" w:hAnsi="Gill Sans MT"/>
                <w:sz w:val="18"/>
                <w:szCs w:val="18"/>
              </w:rPr>
            </w:pPr>
          </w:p>
        </w:tc>
        <w:tc>
          <w:tcPr>
            <w:tcW w:w="1474" w:type="dxa"/>
            <w:vAlign w:val="center"/>
          </w:tcPr>
          <w:p w14:paraId="78EFF26E"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3832E690" w14:textId="77777777" w:rsidTr="00664C4D">
        <w:trPr>
          <w:trHeight w:val="227"/>
        </w:trPr>
        <w:tc>
          <w:tcPr>
            <w:tcW w:w="6236" w:type="dxa"/>
            <w:vAlign w:val="center"/>
          </w:tcPr>
          <w:p w14:paraId="7C62D509" w14:textId="77777777" w:rsidR="00664C4D" w:rsidRPr="00B81BD6" w:rsidRDefault="00664C4D" w:rsidP="00664C4D">
            <w:pPr>
              <w:spacing w:before="0" w:after="0" w:line="276" w:lineRule="auto"/>
              <w:jc w:val="right"/>
              <w:rPr>
                <w:rFonts w:ascii="Gill Sans MT" w:hAnsi="Gill Sans MT"/>
                <w:sz w:val="18"/>
                <w:szCs w:val="18"/>
              </w:rPr>
            </w:pPr>
          </w:p>
        </w:tc>
        <w:tc>
          <w:tcPr>
            <w:tcW w:w="1644" w:type="dxa"/>
            <w:vAlign w:val="center"/>
          </w:tcPr>
          <w:p w14:paraId="7693AC02" w14:textId="77777777" w:rsidR="00664C4D" w:rsidRPr="00B81BD6" w:rsidRDefault="00664C4D" w:rsidP="00664C4D">
            <w:pPr>
              <w:spacing w:before="0" w:after="0" w:line="276" w:lineRule="auto"/>
              <w:rPr>
                <w:rFonts w:ascii="Gill Sans MT" w:hAnsi="Gill Sans MT"/>
                <w:sz w:val="18"/>
                <w:szCs w:val="18"/>
              </w:rPr>
            </w:pPr>
          </w:p>
        </w:tc>
        <w:tc>
          <w:tcPr>
            <w:tcW w:w="2948" w:type="dxa"/>
            <w:vAlign w:val="center"/>
          </w:tcPr>
          <w:p w14:paraId="1A3ABEBE" w14:textId="77777777" w:rsidR="00664C4D" w:rsidRPr="00B81BD6" w:rsidRDefault="00664C4D" w:rsidP="00664C4D">
            <w:pPr>
              <w:spacing w:before="0" w:after="0" w:line="276" w:lineRule="auto"/>
              <w:rPr>
                <w:rFonts w:ascii="Gill Sans MT" w:hAnsi="Gill Sans MT"/>
                <w:sz w:val="18"/>
                <w:szCs w:val="18"/>
              </w:rPr>
            </w:pPr>
          </w:p>
        </w:tc>
        <w:tc>
          <w:tcPr>
            <w:tcW w:w="1644" w:type="dxa"/>
            <w:vAlign w:val="center"/>
          </w:tcPr>
          <w:p w14:paraId="5AB435CB" w14:textId="77777777" w:rsidR="00664C4D" w:rsidRPr="00B81BD6" w:rsidRDefault="00664C4D" w:rsidP="00664C4D">
            <w:pPr>
              <w:spacing w:before="0" w:after="0" w:line="276" w:lineRule="auto"/>
              <w:rPr>
                <w:rFonts w:ascii="Gill Sans MT" w:hAnsi="Gill Sans MT"/>
                <w:sz w:val="18"/>
                <w:szCs w:val="18"/>
              </w:rPr>
            </w:pPr>
          </w:p>
        </w:tc>
        <w:tc>
          <w:tcPr>
            <w:tcW w:w="1474" w:type="dxa"/>
            <w:vAlign w:val="center"/>
          </w:tcPr>
          <w:p w14:paraId="4E80A47B"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4274E5E6" w14:textId="77777777" w:rsidTr="00664C4D">
        <w:trPr>
          <w:trHeight w:val="227"/>
        </w:trPr>
        <w:tc>
          <w:tcPr>
            <w:tcW w:w="6236" w:type="dxa"/>
            <w:vAlign w:val="center"/>
          </w:tcPr>
          <w:p w14:paraId="13C40106"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If you have any specific learning challenges that you know about please indicate them here:</w:t>
            </w:r>
          </w:p>
        </w:tc>
        <w:tc>
          <w:tcPr>
            <w:tcW w:w="1644" w:type="dxa"/>
            <w:shd w:val="clear" w:color="auto" w:fill="AEAAAA" w:themeFill="background2" w:themeFillShade="BF"/>
            <w:vAlign w:val="center"/>
          </w:tcPr>
          <w:p w14:paraId="61680D6F" w14:textId="77777777" w:rsidR="00664C4D" w:rsidRPr="00B81BD6" w:rsidRDefault="00664C4D" w:rsidP="00664C4D">
            <w:pPr>
              <w:spacing w:before="0" w:after="0" w:line="276" w:lineRule="auto"/>
              <w:jc w:val="center"/>
              <w:rPr>
                <w:rFonts w:ascii="Gill Sans MT" w:hAnsi="Gill Sans MT"/>
                <w:sz w:val="18"/>
                <w:szCs w:val="18"/>
              </w:rPr>
            </w:pPr>
            <w:r w:rsidRPr="00E40AB6">
              <w:rPr>
                <w:rFonts w:ascii="Gill Sans MT" w:hAnsi="Gill Sans MT"/>
                <w:color w:val="FFFFFF" w:themeColor="background1"/>
                <w:sz w:val="18"/>
                <w:szCs w:val="18"/>
              </w:rPr>
              <w:t>none</w:t>
            </w:r>
          </w:p>
        </w:tc>
        <w:tc>
          <w:tcPr>
            <w:tcW w:w="2948" w:type="dxa"/>
            <w:shd w:val="clear" w:color="auto" w:fill="AEAAAA" w:themeFill="background2" w:themeFillShade="BF"/>
            <w:vAlign w:val="center"/>
          </w:tcPr>
          <w:p w14:paraId="6FD83563" w14:textId="77777777" w:rsidR="00664C4D" w:rsidRPr="00347985" w:rsidRDefault="00664C4D" w:rsidP="00664C4D">
            <w:pPr>
              <w:spacing w:before="0" w:after="0" w:line="276" w:lineRule="auto"/>
              <w:rPr>
                <w:rFonts w:ascii="Gill Sans MT" w:hAnsi="Gill Sans MT"/>
                <w:color w:val="FFFFFF" w:themeColor="background1"/>
                <w:sz w:val="18"/>
                <w:szCs w:val="18"/>
              </w:rPr>
            </w:pPr>
            <w:r w:rsidRPr="00347985">
              <w:rPr>
                <w:rFonts w:ascii="Gill Sans MT" w:hAnsi="Gill Sans MT"/>
                <w:color w:val="FFFFFF" w:themeColor="background1"/>
                <w:sz w:val="18"/>
                <w:szCs w:val="18"/>
              </w:rPr>
              <w:t>[or] those indicated in this list:</w:t>
            </w:r>
          </w:p>
        </w:tc>
        <w:tc>
          <w:tcPr>
            <w:tcW w:w="1644" w:type="dxa"/>
            <w:vAlign w:val="center"/>
          </w:tcPr>
          <w:p w14:paraId="5484FD8A" w14:textId="77777777" w:rsidR="00664C4D" w:rsidRPr="00B81BD6" w:rsidRDefault="00664C4D" w:rsidP="00664C4D">
            <w:pPr>
              <w:spacing w:before="0" w:after="0" w:line="276" w:lineRule="auto"/>
              <w:rPr>
                <w:rFonts w:ascii="Gill Sans MT" w:hAnsi="Gill Sans MT"/>
                <w:sz w:val="18"/>
                <w:szCs w:val="18"/>
              </w:rPr>
            </w:pPr>
          </w:p>
        </w:tc>
        <w:tc>
          <w:tcPr>
            <w:tcW w:w="1474" w:type="dxa"/>
            <w:vAlign w:val="center"/>
          </w:tcPr>
          <w:p w14:paraId="0CFF8A9A"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63324C88" w14:textId="77777777" w:rsidTr="00664C4D">
        <w:trPr>
          <w:trHeight w:val="227"/>
        </w:trPr>
        <w:tc>
          <w:tcPr>
            <w:tcW w:w="6236" w:type="dxa"/>
            <w:vAlign w:val="center"/>
          </w:tcPr>
          <w:p w14:paraId="19A48BFD" w14:textId="77777777" w:rsidR="00664C4D" w:rsidRPr="00B81BD6" w:rsidRDefault="00664C4D" w:rsidP="00664C4D">
            <w:pPr>
              <w:spacing w:before="0" w:after="0" w:line="276" w:lineRule="auto"/>
              <w:jc w:val="right"/>
              <w:rPr>
                <w:rFonts w:ascii="Gill Sans MT" w:hAnsi="Gill Sans MT"/>
                <w:sz w:val="18"/>
                <w:szCs w:val="18"/>
              </w:rPr>
            </w:pPr>
          </w:p>
        </w:tc>
        <w:tc>
          <w:tcPr>
            <w:tcW w:w="1644" w:type="dxa"/>
            <w:vAlign w:val="center"/>
          </w:tcPr>
          <w:p w14:paraId="589B1DCF" w14:textId="77777777" w:rsidR="00664C4D" w:rsidRPr="00B81BD6" w:rsidRDefault="00664C4D" w:rsidP="00664C4D">
            <w:pPr>
              <w:spacing w:before="0" w:after="0" w:line="276" w:lineRule="auto"/>
              <w:rPr>
                <w:rFonts w:ascii="Gill Sans MT" w:hAnsi="Gill Sans MT"/>
                <w:sz w:val="18"/>
                <w:szCs w:val="18"/>
              </w:rPr>
            </w:pPr>
          </w:p>
        </w:tc>
        <w:tc>
          <w:tcPr>
            <w:tcW w:w="2948" w:type="dxa"/>
            <w:shd w:val="clear" w:color="auto" w:fill="FFCC99"/>
            <w:vAlign w:val="center"/>
          </w:tcPr>
          <w:p w14:paraId="51D3712E" w14:textId="77777777" w:rsidR="00664C4D" w:rsidRPr="00B81BD6" w:rsidRDefault="00664C4D" w:rsidP="00664C4D">
            <w:pPr>
              <w:spacing w:before="0" w:after="0" w:line="276" w:lineRule="auto"/>
              <w:rPr>
                <w:rFonts w:ascii="Gill Sans MT" w:hAnsi="Gill Sans MT"/>
                <w:sz w:val="18"/>
                <w:szCs w:val="18"/>
              </w:rPr>
            </w:pPr>
            <w:r>
              <w:rPr>
                <w:rFonts w:ascii="Gill Sans MT" w:hAnsi="Gill Sans MT"/>
                <w:sz w:val="18"/>
                <w:szCs w:val="18"/>
              </w:rPr>
              <w:t>dyslexia</w:t>
            </w:r>
          </w:p>
        </w:tc>
        <w:tc>
          <w:tcPr>
            <w:tcW w:w="1644" w:type="dxa"/>
            <w:vAlign w:val="center"/>
          </w:tcPr>
          <w:p w14:paraId="37A9C987" w14:textId="77777777" w:rsidR="00664C4D" w:rsidRPr="00B81BD6" w:rsidRDefault="00664C4D" w:rsidP="00664C4D">
            <w:pPr>
              <w:spacing w:before="0" w:after="0" w:line="276" w:lineRule="auto"/>
              <w:rPr>
                <w:rFonts w:ascii="Gill Sans MT" w:hAnsi="Gill Sans MT"/>
                <w:sz w:val="18"/>
                <w:szCs w:val="18"/>
              </w:rPr>
            </w:pPr>
          </w:p>
        </w:tc>
        <w:tc>
          <w:tcPr>
            <w:tcW w:w="1474" w:type="dxa"/>
            <w:vAlign w:val="center"/>
          </w:tcPr>
          <w:p w14:paraId="07A51564"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78CB838E" w14:textId="77777777" w:rsidTr="00664C4D">
        <w:trPr>
          <w:trHeight w:val="227"/>
        </w:trPr>
        <w:tc>
          <w:tcPr>
            <w:tcW w:w="6236" w:type="dxa"/>
            <w:vAlign w:val="center"/>
          </w:tcPr>
          <w:p w14:paraId="1BAEE7E2" w14:textId="77777777" w:rsidR="00664C4D" w:rsidRPr="00B81BD6" w:rsidRDefault="00664C4D" w:rsidP="00664C4D">
            <w:pPr>
              <w:spacing w:before="0" w:after="0" w:line="276" w:lineRule="auto"/>
              <w:jc w:val="right"/>
              <w:rPr>
                <w:rFonts w:ascii="Gill Sans MT" w:hAnsi="Gill Sans MT"/>
                <w:sz w:val="18"/>
                <w:szCs w:val="18"/>
              </w:rPr>
            </w:pPr>
          </w:p>
        </w:tc>
        <w:tc>
          <w:tcPr>
            <w:tcW w:w="1644" w:type="dxa"/>
            <w:vAlign w:val="center"/>
          </w:tcPr>
          <w:p w14:paraId="200280DA" w14:textId="77777777" w:rsidR="00664C4D" w:rsidRPr="00B81BD6" w:rsidRDefault="00664C4D" w:rsidP="00664C4D">
            <w:pPr>
              <w:spacing w:before="0" w:after="0" w:line="276" w:lineRule="auto"/>
              <w:rPr>
                <w:rFonts w:ascii="Gill Sans MT" w:hAnsi="Gill Sans MT"/>
                <w:sz w:val="18"/>
                <w:szCs w:val="18"/>
              </w:rPr>
            </w:pPr>
          </w:p>
        </w:tc>
        <w:tc>
          <w:tcPr>
            <w:tcW w:w="2948" w:type="dxa"/>
            <w:shd w:val="clear" w:color="auto" w:fill="FFCC99"/>
            <w:vAlign w:val="center"/>
          </w:tcPr>
          <w:p w14:paraId="1B15E412" w14:textId="77777777" w:rsidR="00664C4D" w:rsidRPr="00B81BD6" w:rsidRDefault="00664C4D" w:rsidP="00664C4D">
            <w:pPr>
              <w:spacing w:before="0" w:after="0" w:line="276" w:lineRule="auto"/>
              <w:rPr>
                <w:rFonts w:ascii="Gill Sans MT" w:hAnsi="Gill Sans MT"/>
                <w:sz w:val="18"/>
                <w:szCs w:val="18"/>
              </w:rPr>
            </w:pPr>
            <w:r>
              <w:rPr>
                <w:rFonts w:ascii="Gill Sans MT" w:hAnsi="Gill Sans MT"/>
                <w:sz w:val="18"/>
                <w:szCs w:val="18"/>
              </w:rPr>
              <w:t>attention deficit hyperactive disorder</w:t>
            </w:r>
          </w:p>
        </w:tc>
        <w:tc>
          <w:tcPr>
            <w:tcW w:w="1644" w:type="dxa"/>
            <w:vAlign w:val="center"/>
          </w:tcPr>
          <w:p w14:paraId="31DB34D9" w14:textId="77777777" w:rsidR="00664C4D" w:rsidRPr="00B81BD6" w:rsidRDefault="00664C4D" w:rsidP="00664C4D">
            <w:pPr>
              <w:spacing w:before="0" w:after="0" w:line="276" w:lineRule="auto"/>
              <w:rPr>
                <w:rFonts w:ascii="Gill Sans MT" w:hAnsi="Gill Sans MT"/>
                <w:sz w:val="18"/>
                <w:szCs w:val="18"/>
              </w:rPr>
            </w:pPr>
          </w:p>
        </w:tc>
        <w:tc>
          <w:tcPr>
            <w:tcW w:w="1474" w:type="dxa"/>
            <w:vAlign w:val="center"/>
          </w:tcPr>
          <w:p w14:paraId="4187260C"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5EDB6821" w14:textId="77777777" w:rsidTr="00664C4D">
        <w:trPr>
          <w:trHeight w:val="227"/>
        </w:trPr>
        <w:tc>
          <w:tcPr>
            <w:tcW w:w="6236" w:type="dxa"/>
            <w:vAlign w:val="center"/>
          </w:tcPr>
          <w:p w14:paraId="3282DFB0" w14:textId="77777777" w:rsidR="00664C4D" w:rsidRPr="00B81BD6" w:rsidRDefault="00664C4D" w:rsidP="00664C4D">
            <w:pPr>
              <w:spacing w:before="0" w:after="0" w:line="276" w:lineRule="auto"/>
              <w:jc w:val="right"/>
              <w:rPr>
                <w:rFonts w:ascii="Gill Sans MT" w:hAnsi="Gill Sans MT"/>
                <w:sz w:val="18"/>
                <w:szCs w:val="18"/>
              </w:rPr>
            </w:pPr>
          </w:p>
        </w:tc>
        <w:tc>
          <w:tcPr>
            <w:tcW w:w="1644" w:type="dxa"/>
            <w:vAlign w:val="center"/>
          </w:tcPr>
          <w:p w14:paraId="61CC3B93" w14:textId="77777777" w:rsidR="00664C4D" w:rsidRPr="00B81BD6" w:rsidRDefault="00664C4D" w:rsidP="00664C4D">
            <w:pPr>
              <w:spacing w:before="0" w:after="0" w:line="276" w:lineRule="auto"/>
              <w:rPr>
                <w:rFonts w:ascii="Gill Sans MT" w:hAnsi="Gill Sans MT"/>
                <w:sz w:val="18"/>
                <w:szCs w:val="18"/>
              </w:rPr>
            </w:pPr>
          </w:p>
        </w:tc>
        <w:tc>
          <w:tcPr>
            <w:tcW w:w="2948" w:type="dxa"/>
            <w:shd w:val="clear" w:color="auto" w:fill="FFCC99"/>
            <w:vAlign w:val="center"/>
          </w:tcPr>
          <w:p w14:paraId="73167208" w14:textId="77777777" w:rsidR="00664C4D" w:rsidRPr="00B81BD6" w:rsidRDefault="00664C4D" w:rsidP="00664C4D">
            <w:pPr>
              <w:spacing w:before="0" w:after="0" w:line="276" w:lineRule="auto"/>
              <w:rPr>
                <w:rFonts w:ascii="Gill Sans MT" w:hAnsi="Gill Sans MT"/>
                <w:sz w:val="18"/>
                <w:szCs w:val="18"/>
              </w:rPr>
            </w:pPr>
            <w:r>
              <w:rPr>
                <w:rFonts w:ascii="Gill Sans MT" w:hAnsi="Gill Sans MT"/>
                <w:sz w:val="18"/>
                <w:szCs w:val="18"/>
              </w:rPr>
              <w:t>attention deficit disorder</w:t>
            </w:r>
          </w:p>
        </w:tc>
        <w:tc>
          <w:tcPr>
            <w:tcW w:w="1644" w:type="dxa"/>
            <w:vAlign w:val="center"/>
          </w:tcPr>
          <w:p w14:paraId="3F2191DF" w14:textId="77777777" w:rsidR="00664C4D" w:rsidRPr="00B81BD6" w:rsidRDefault="00664C4D" w:rsidP="00664C4D">
            <w:pPr>
              <w:spacing w:before="0" w:after="0" w:line="276" w:lineRule="auto"/>
              <w:rPr>
                <w:rFonts w:ascii="Gill Sans MT" w:hAnsi="Gill Sans MT"/>
                <w:sz w:val="18"/>
                <w:szCs w:val="18"/>
              </w:rPr>
            </w:pPr>
          </w:p>
        </w:tc>
        <w:tc>
          <w:tcPr>
            <w:tcW w:w="1474" w:type="dxa"/>
            <w:vAlign w:val="center"/>
          </w:tcPr>
          <w:p w14:paraId="05E5E052"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061B3A49" w14:textId="77777777" w:rsidTr="00664C4D">
        <w:trPr>
          <w:trHeight w:val="227"/>
        </w:trPr>
        <w:tc>
          <w:tcPr>
            <w:tcW w:w="6236" w:type="dxa"/>
            <w:vAlign w:val="center"/>
          </w:tcPr>
          <w:p w14:paraId="223698A0" w14:textId="77777777" w:rsidR="00664C4D" w:rsidRPr="00B81BD6" w:rsidRDefault="00664C4D" w:rsidP="00664C4D">
            <w:pPr>
              <w:spacing w:before="0" w:after="0" w:line="276" w:lineRule="auto"/>
              <w:jc w:val="right"/>
              <w:rPr>
                <w:rFonts w:ascii="Gill Sans MT" w:hAnsi="Gill Sans MT"/>
                <w:sz w:val="18"/>
                <w:szCs w:val="18"/>
              </w:rPr>
            </w:pPr>
          </w:p>
        </w:tc>
        <w:tc>
          <w:tcPr>
            <w:tcW w:w="1644" w:type="dxa"/>
            <w:vAlign w:val="center"/>
          </w:tcPr>
          <w:p w14:paraId="2389F56A" w14:textId="77777777" w:rsidR="00664C4D" w:rsidRPr="00B81BD6" w:rsidRDefault="00664C4D" w:rsidP="00664C4D">
            <w:pPr>
              <w:spacing w:before="0" w:after="0" w:line="276" w:lineRule="auto"/>
              <w:rPr>
                <w:rFonts w:ascii="Gill Sans MT" w:hAnsi="Gill Sans MT"/>
                <w:sz w:val="18"/>
                <w:szCs w:val="18"/>
              </w:rPr>
            </w:pPr>
          </w:p>
        </w:tc>
        <w:tc>
          <w:tcPr>
            <w:tcW w:w="2948" w:type="dxa"/>
            <w:shd w:val="clear" w:color="auto" w:fill="FFCC99"/>
            <w:vAlign w:val="center"/>
          </w:tcPr>
          <w:p w14:paraId="7E989B53" w14:textId="77777777" w:rsidR="00664C4D" w:rsidRPr="00B81BD6" w:rsidRDefault="00664C4D" w:rsidP="00664C4D">
            <w:pPr>
              <w:spacing w:before="0" w:after="0" w:line="276" w:lineRule="auto"/>
              <w:rPr>
                <w:rFonts w:ascii="Gill Sans MT" w:hAnsi="Gill Sans MT"/>
                <w:sz w:val="18"/>
                <w:szCs w:val="18"/>
              </w:rPr>
            </w:pPr>
            <w:r>
              <w:rPr>
                <w:rFonts w:ascii="Gill Sans MT" w:hAnsi="Gill Sans MT"/>
                <w:sz w:val="18"/>
                <w:szCs w:val="18"/>
              </w:rPr>
              <w:t>aspergers syndrome</w:t>
            </w:r>
          </w:p>
        </w:tc>
        <w:tc>
          <w:tcPr>
            <w:tcW w:w="1644" w:type="dxa"/>
            <w:vAlign w:val="center"/>
          </w:tcPr>
          <w:p w14:paraId="3F8BCBB8" w14:textId="77777777" w:rsidR="00664C4D" w:rsidRPr="00B81BD6" w:rsidRDefault="00664C4D" w:rsidP="00664C4D">
            <w:pPr>
              <w:spacing w:before="0" w:after="0" w:line="276" w:lineRule="auto"/>
              <w:rPr>
                <w:rFonts w:ascii="Gill Sans MT" w:hAnsi="Gill Sans MT"/>
                <w:sz w:val="18"/>
                <w:szCs w:val="18"/>
              </w:rPr>
            </w:pPr>
          </w:p>
        </w:tc>
        <w:tc>
          <w:tcPr>
            <w:tcW w:w="1474" w:type="dxa"/>
            <w:vAlign w:val="center"/>
          </w:tcPr>
          <w:p w14:paraId="71132264"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1EB2871D" w14:textId="77777777" w:rsidTr="00664C4D">
        <w:trPr>
          <w:trHeight w:val="227"/>
        </w:trPr>
        <w:tc>
          <w:tcPr>
            <w:tcW w:w="6236" w:type="dxa"/>
            <w:vAlign w:val="center"/>
          </w:tcPr>
          <w:p w14:paraId="5D97C1FB" w14:textId="77777777" w:rsidR="00664C4D" w:rsidRPr="00B81BD6" w:rsidRDefault="00664C4D" w:rsidP="00664C4D">
            <w:pPr>
              <w:spacing w:before="0" w:after="0" w:line="276" w:lineRule="auto"/>
              <w:jc w:val="right"/>
              <w:rPr>
                <w:rFonts w:ascii="Gill Sans MT" w:hAnsi="Gill Sans MT"/>
                <w:sz w:val="18"/>
                <w:szCs w:val="18"/>
              </w:rPr>
            </w:pPr>
          </w:p>
        </w:tc>
        <w:tc>
          <w:tcPr>
            <w:tcW w:w="1644" w:type="dxa"/>
            <w:vAlign w:val="center"/>
          </w:tcPr>
          <w:p w14:paraId="21F9B49E" w14:textId="77777777" w:rsidR="00664C4D" w:rsidRPr="00B81BD6" w:rsidRDefault="00664C4D" w:rsidP="00664C4D">
            <w:pPr>
              <w:spacing w:before="0" w:after="0" w:line="276" w:lineRule="auto"/>
              <w:rPr>
                <w:rFonts w:ascii="Gill Sans MT" w:hAnsi="Gill Sans MT"/>
                <w:sz w:val="18"/>
                <w:szCs w:val="18"/>
              </w:rPr>
            </w:pPr>
          </w:p>
        </w:tc>
        <w:tc>
          <w:tcPr>
            <w:tcW w:w="2948" w:type="dxa"/>
            <w:shd w:val="clear" w:color="auto" w:fill="FFCC99"/>
            <w:vAlign w:val="center"/>
          </w:tcPr>
          <w:p w14:paraId="0392E399" w14:textId="77777777" w:rsidR="00664C4D" w:rsidRPr="00B81BD6" w:rsidRDefault="00664C4D" w:rsidP="00664C4D">
            <w:pPr>
              <w:spacing w:before="0" w:after="0" w:line="276" w:lineRule="auto"/>
              <w:rPr>
                <w:rFonts w:ascii="Gill Sans MT" w:hAnsi="Gill Sans MT"/>
                <w:sz w:val="18"/>
                <w:szCs w:val="18"/>
              </w:rPr>
            </w:pPr>
            <w:r>
              <w:rPr>
                <w:rFonts w:ascii="Gill Sans MT" w:hAnsi="Gill Sans MT"/>
                <w:sz w:val="18"/>
                <w:szCs w:val="18"/>
              </w:rPr>
              <w:t>dyspraxia</w:t>
            </w:r>
          </w:p>
        </w:tc>
        <w:tc>
          <w:tcPr>
            <w:tcW w:w="1644" w:type="dxa"/>
            <w:vAlign w:val="center"/>
          </w:tcPr>
          <w:p w14:paraId="35322206" w14:textId="77777777" w:rsidR="00664C4D" w:rsidRPr="00B81BD6" w:rsidRDefault="00664C4D" w:rsidP="00664C4D">
            <w:pPr>
              <w:spacing w:before="0" w:after="0" w:line="276" w:lineRule="auto"/>
              <w:rPr>
                <w:rFonts w:ascii="Gill Sans MT" w:hAnsi="Gill Sans MT"/>
                <w:sz w:val="18"/>
                <w:szCs w:val="18"/>
              </w:rPr>
            </w:pPr>
          </w:p>
        </w:tc>
        <w:tc>
          <w:tcPr>
            <w:tcW w:w="1474" w:type="dxa"/>
            <w:vAlign w:val="center"/>
          </w:tcPr>
          <w:p w14:paraId="5F5017EB"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7D52F10A" w14:textId="77777777" w:rsidTr="00664C4D">
        <w:trPr>
          <w:trHeight w:val="227"/>
        </w:trPr>
        <w:tc>
          <w:tcPr>
            <w:tcW w:w="6236" w:type="dxa"/>
            <w:vAlign w:val="center"/>
          </w:tcPr>
          <w:p w14:paraId="41F616DC" w14:textId="77777777" w:rsidR="00664C4D" w:rsidRPr="00B81BD6" w:rsidRDefault="00664C4D" w:rsidP="00664C4D">
            <w:pPr>
              <w:spacing w:before="0" w:after="0" w:line="276" w:lineRule="auto"/>
              <w:jc w:val="right"/>
              <w:rPr>
                <w:rFonts w:ascii="Gill Sans MT" w:hAnsi="Gill Sans MT"/>
                <w:sz w:val="18"/>
                <w:szCs w:val="18"/>
              </w:rPr>
            </w:pPr>
          </w:p>
        </w:tc>
        <w:tc>
          <w:tcPr>
            <w:tcW w:w="1644" w:type="dxa"/>
            <w:vAlign w:val="center"/>
          </w:tcPr>
          <w:p w14:paraId="18D7E006" w14:textId="77777777" w:rsidR="00664C4D" w:rsidRPr="00B81BD6" w:rsidRDefault="00664C4D" w:rsidP="00664C4D">
            <w:pPr>
              <w:spacing w:before="0" w:after="0" w:line="276" w:lineRule="auto"/>
              <w:rPr>
                <w:rFonts w:ascii="Gill Sans MT" w:hAnsi="Gill Sans MT"/>
                <w:sz w:val="18"/>
                <w:szCs w:val="18"/>
              </w:rPr>
            </w:pPr>
          </w:p>
        </w:tc>
        <w:tc>
          <w:tcPr>
            <w:tcW w:w="2948" w:type="dxa"/>
            <w:shd w:val="clear" w:color="auto" w:fill="FFCC99"/>
            <w:vAlign w:val="center"/>
          </w:tcPr>
          <w:p w14:paraId="2CBA0173" w14:textId="77777777" w:rsidR="00664C4D" w:rsidRPr="00B81BD6" w:rsidRDefault="00664C4D" w:rsidP="00664C4D">
            <w:pPr>
              <w:spacing w:before="0" w:after="0" w:line="276" w:lineRule="auto"/>
              <w:rPr>
                <w:rFonts w:ascii="Gill Sans MT" w:hAnsi="Gill Sans MT"/>
                <w:sz w:val="18"/>
                <w:szCs w:val="18"/>
              </w:rPr>
            </w:pPr>
            <w:r>
              <w:rPr>
                <w:rFonts w:ascii="Gill Sans MT" w:hAnsi="Gill Sans MT"/>
                <w:sz w:val="18"/>
                <w:szCs w:val="18"/>
              </w:rPr>
              <w:t>dyscalculia</w:t>
            </w:r>
          </w:p>
        </w:tc>
        <w:tc>
          <w:tcPr>
            <w:tcW w:w="1644" w:type="dxa"/>
            <w:vAlign w:val="center"/>
          </w:tcPr>
          <w:p w14:paraId="76D66640" w14:textId="77777777" w:rsidR="00664C4D" w:rsidRPr="00B81BD6" w:rsidRDefault="00664C4D" w:rsidP="00664C4D">
            <w:pPr>
              <w:spacing w:before="0" w:after="0" w:line="276" w:lineRule="auto"/>
              <w:rPr>
                <w:rFonts w:ascii="Gill Sans MT" w:hAnsi="Gill Sans MT"/>
                <w:sz w:val="18"/>
                <w:szCs w:val="18"/>
              </w:rPr>
            </w:pPr>
          </w:p>
        </w:tc>
        <w:tc>
          <w:tcPr>
            <w:tcW w:w="1474" w:type="dxa"/>
            <w:vAlign w:val="center"/>
          </w:tcPr>
          <w:p w14:paraId="1A1D9E69"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610D1D81" w14:textId="77777777" w:rsidTr="00664C4D">
        <w:trPr>
          <w:trHeight w:val="227"/>
        </w:trPr>
        <w:tc>
          <w:tcPr>
            <w:tcW w:w="6236" w:type="dxa"/>
            <w:vAlign w:val="center"/>
          </w:tcPr>
          <w:p w14:paraId="71F61719" w14:textId="77777777" w:rsidR="00664C4D" w:rsidRPr="00B81BD6" w:rsidRDefault="00664C4D" w:rsidP="00664C4D">
            <w:pPr>
              <w:spacing w:before="0" w:after="0" w:line="276" w:lineRule="auto"/>
              <w:jc w:val="right"/>
              <w:rPr>
                <w:rFonts w:ascii="Gill Sans MT" w:hAnsi="Gill Sans MT"/>
                <w:sz w:val="18"/>
                <w:szCs w:val="18"/>
              </w:rPr>
            </w:pPr>
          </w:p>
        </w:tc>
        <w:tc>
          <w:tcPr>
            <w:tcW w:w="1644" w:type="dxa"/>
            <w:vAlign w:val="center"/>
          </w:tcPr>
          <w:p w14:paraId="08E10DB3" w14:textId="77777777" w:rsidR="00664C4D" w:rsidRPr="00B81BD6" w:rsidRDefault="00664C4D" w:rsidP="00664C4D">
            <w:pPr>
              <w:spacing w:before="0" w:after="0" w:line="276" w:lineRule="auto"/>
              <w:rPr>
                <w:rFonts w:ascii="Gill Sans MT" w:hAnsi="Gill Sans MT"/>
                <w:sz w:val="18"/>
                <w:szCs w:val="18"/>
              </w:rPr>
            </w:pPr>
          </w:p>
        </w:tc>
        <w:tc>
          <w:tcPr>
            <w:tcW w:w="2948" w:type="dxa"/>
            <w:shd w:val="clear" w:color="auto" w:fill="FFCC99"/>
            <w:vAlign w:val="center"/>
          </w:tcPr>
          <w:p w14:paraId="3CD749FE" w14:textId="77777777" w:rsidR="00664C4D" w:rsidRPr="00B81BD6" w:rsidRDefault="00664C4D" w:rsidP="00664C4D">
            <w:pPr>
              <w:spacing w:before="0" w:after="0" w:line="276" w:lineRule="auto"/>
              <w:rPr>
                <w:rFonts w:ascii="Gill Sans MT" w:hAnsi="Gill Sans MT"/>
                <w:sz w:val="18"/>
                <w:szCs w:val="18"/>
              </w:rPr>
            </w:pPr>
            <w:r>
              <w:rPr>
                <w:rFonts w:ascii="Gill Sans MT" w:hAnsi="Gill Sans MT"/>
                <w:sz w:val="18"/>
                <w:szCs w:val="18"/>
              </w:rPr>
              <w:t>something else</w:t>
            </w:r>
          </w:p>
        </w:tc>
        <w:tc>
          <w:tcPr>
            <w:tcW w:w="1644" w:type="dxa"/>
            <w:vAlign w:val="center"/>
          </w:tcPr>
          <w:p w14:paraId="2A3E776E" w14:textId="77777777" w:rsidR="00664C4D" w:rsidRPr="00B81BD6" w:rsidRDefault="00664C4D" w:rsidP="00664C4D">
            <w:pPr>
              <w:spacing w:before="0" w:after="0" w:line="276" w:lineRule="auto"/>
              <w:rPr>
                <w:rFonts w:ascii="Gill Sans MT" w:hAnsi="Gill Sans MT"/>
                <w:sz w:val="18"/>
                <w:szCs w:val="18"/>
              </w:rPr>
            </w:pPr>
          </w:p>
        </w:tc>
        <w:tc>
          <w:tcPr>
            <w:tcW w:w="1474" w:type="dxa"/>
            <w:vAlign w:val="center"/>
          </w:tcPr>
          <w:p w14:paraId="39788EDA"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616BC138" w14:textId="77777777" w:rsidTr="00664C4D">
        <w:trPr>
          <w:trHeight w:val="227"/>
        </w:trPr>
        <w:tc>
          <w:tcPr>
            <w:tcW w:w="6236" w:type="dxa"/>
            <w:vAlign w:val="center"/>
          </w:tcPr>
          <w:p w14:paraId="4F31D5AC" w14:textId="77777777" w:rsidR="00664C4D" w:rsidRPr="00B81BD6" w:rsidRDefault="00664C4D" w:rsidP="00664C4D">
            <w:pPr>
              <w:spacing w:before="0" w:after="0" w:line="276" w:lineRule="auto"/>
              <w:jc w:val="right"/>
              <w:rPr>
                <w:rFonts w:ascii="Gill Sans MT" w:hAnsi="Gill Sans MT"/>
                <w:sz w:val="18"/>
                <w:szCs w:val="18"/>
              </w:rPr>
            </w:pPr>
          </w:p>
        </w:tc>
        <w:tc>
          <w:tcPr>
            <w:tcW w:w="1644" w:type="dxa"/>
            <w:vAlign w:val="center"/>
          </w:tcPr>
          <w:p w14:paraId="45DF1255" w14:textId="77777777" w:rsidR="00664C4D" w:rsidRPr="00B81BD6" w:rsidRDefault="00664C4D" w:rsidP="00664C4D">
            <w:pPr>
              <w:spacing w:before="0" w:after="0" w:line="276" w:lineRule="auto"/>
              <w:rPr>
                <w:rFonts w:ascii="Gill Sans MT" w:hAnsi="Gill Sans MT"/>
                <w:sz w:val="18"/>
                <w:szCs w:val="18"/>
              </w:rPr>
            </w:pPr>
          </w:p>
        </w:tc>
        <w:tc>
          <w:tcPr>
            <w:tcW w:w="2948" w:type="dxa"/>
            <w:vAlign w:val="center"/>
          </w:tcPr>
          <w:p w14:paraId="19CF2178" w14:textId="77777777" w:rsidR="00664C4D" w:rsidRDefault="00664C4D" w:rsidP="00664C4D">
            <w:pPr>
              <w:spacing w:before="0" w:after="0" w:line="276" w:lineRule="auto"/>
              <w:rPr>
                <w:rFonts w:ascii="Gill Sans MT" w:hAnsi="Gill Sans MT"/>
                <w:sz w:val="18"/>
                <w:szCs w:val="18"/>
              </w:rPr>
            </w:pPr>
          </w:p>
        </w:tc>
        <w:tc>
          <w:tcPr>
            <w:tcW w:w="1644" w:type="dxa"/>
            <w:vAlign w:val="center"/>
          </w:tcPr>
          <w:p w14:paraId="3A43C339" w14:textId="77777777" w:rsidR="00664C4D" w:rsidRPr="00B81BD6" w:rsidRDefault="00664C4D" w:rsidP="00664C4D">
            <w:pPr>
              <w:spacing w:before="0" w:after="0" w:line="276" w:lineRule="auto"/>
              <w:rPr>
                <w:rFonts w:ascii="Gill Sans MT" w:hAnsi="Gill Sans MT"/>
                <w:sz w:val="18"/>
                <w:szCs w:val="18"/>
              </w:rPr>
            </w:pPr>
          </w:p>
        </w:tc>
        <w:tc>
          <w:tcPr>
            <w:tcW w:w="1474" w:type="dxa"/>
            <w:vAlign w:val="center"/>
          </w:tcPr>
          <w:p w14:paraId="54A53840"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25A365BC" w14:textId="77777777" w:rsidTr="00664C4D">
        <w:trPr>
          <w:trHeight w:val="227"/>
        </w:trPr>
        <w:tc>
          <w:tcPr>
            <w:tcW w:w="6236" w:type="dxa"/>
            <w:vAlign w:val="center"/>
          </w:tcPr>
          <w:p w14:paraId="7DE0769A" w14:textId="77777777" w:rsidR="00664C4D" w:rsidRPr="00B81BD6" w:rsidRDefault="00664C4D" w:rsidP="00664C4D">
            <w:pPr>
              <w:spacing w:before="0" w:after="0" w:line="276" w:lineRule="auto"/>
              <w:jc w:val="right"/>
              <w:rPr>
                <w:rFonts w:ascii="Gill Sans MT" w:hAnsi="Gill Sans MT"/>
                <w:sz w:val="18"/>
                <w:szCs w:val="18"/>
              </w:rPr>
            </w:pPr>
          </w:p>
        </w:tc>
        <w:tc>
          <w:tcPr>
            <w:tcW w:w="7710" w:type="dxa"/>
            <w:gridSpan w:val="4"/>
            <w:vAlign w:val="center"/>
          </w:tcPr>
          <w:p w14:paraId="2732FC6A" w14:textId="77777777" w:rsidR="00664C4D" w:rsidRDefault="00664C4D" w:rsidP="00664C4D">
            <w:pPr>
              <w:spacing w:before="0" w:after="0" w:line="276" w:lineRule="auto"/>
              <w:rPr>
                <w:rFonts w:ascii="Gill Sans MT" w:hAnsi="Gill Sans MT"/>
                <w:sz w:val="18"/>
                <w:szCs w:val="18"/>
              </w:rPr>
            </w:pPr>
            <w:r>
              <w:rPr>
                <w:rFonts w:ascii="Gill Sans MT" w:hAnsi="Gill Sans MT"/>
                <w:sz w:val="18"/>
                <w:szCs w:val="18"/>
              </w:rPr>
              <w:t>If you ticked ‘dyslexia’ in the list, please choose from the available options to complete the sentence below to most closely indicate how you learned of your dyslexia:</w:t>
            </w:r>
          </w:p>
          <w:p w14:paraId="6A0A3BC2"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645218A0" w14:textId="77777777" w:rsidTr="00664C4D">
        <w:trPr>
          <w:trHeight w:val="227"/>
        </w:trPr>
        <w:tc>
          <w:tcPr>
            <w:tcW w:w="6236" w:type="dxa"/>
            <w:vAlign w:val="center"/>
          </w:tcPr>
          <w:p w14:paraId="08829220" w14:textId="77777777" w:rsidR="00664C4D" w:rsidRPr="00B81BD6" w:rsidRDefault="00664C4D" w:rsidP="00664C4D">
            <w:pPr>
              <w:spacing w:before="0" w:after="0" w:line="276" w:lineRule="auto"/>
              <w:jc w:val="right"/>
              <w:rPr>
                <w:rFonts w:ascii="Gill Sans MT" w:hAnsi="Gill Sans MT"/>
                <w:sz w:val="18"/>
                <w:szCs w:val="18"/>
              </w:rPr>
            </w:pPr>
          </w:p>
        </w:tc>
        <w:tc>
          <w:tcPr>
            <w:tcW w:w="1644" w:type="dxa"/>
            <w:vAlign w:val="center"/>
          </w:tcPr>
          <w:p w14:paraId="142C8B47"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‘My dyslexia was</w:t>
            </w:r>
          </w:p>
        </w:tc>
        <w:tc>
          <w:tcPr>
            <w:tcW w:w="2948" w:type="dxa"/>
            <w:shd w:val="clear" w:color="auto" w:fill="AEAAAA" w:themeFill="background2" w:themeFillShade="BF"/>
            <w:vAlign w:val="center"/>
          </w:tcPr>
          <w:p w14:paraId="0BE7D85F" w14:textId="77777777" w:rsidR="00664C4D" w:rsidRPr="00B81BD6" w:rsidRDefault="00664C4D" w:rsidP="00664C4D">
            <w:pPr>
              <w:spacing w:before="0" w:after="0" w:line="276" w:lineRule="auto"/>
              <w:rPr>
                <w:rFonts w:ascii="Gill Sans MT" w:hAnsi="Gill Sans MT"/>
                <w:sz w:val="18"/>
                <w:szCs w:val="18"/>
              </w:rPr>
            </w:pPr>
            <w:r w:rsidRPr="00347985">
              <w:rPr>
                <w:rFonts w:ascii="Gill Sans MT" w:hAnsi="Gill Sans MT"/>
                <w:color w:val="FFFFFF" w:themeColor="background1"/>
                <w:sz w:val="18"/>
                <w:szCs w:val="18"/>
              </w:rPr>
              <w:t>choose one…</w:t>
            </w:r>
            <w:r w:rsidRPr="00347985">
              <w:rPr>
                <w:rFonts w:ascii="Arial" w:hAnsi="Arial" w:cs="Arial"/>
                <w:color w:val="FFFFFF" w:themeColor="background1"/>
              </w:rPr>
              <w:t>▼</w:t>
            </w:r>
          </w:p>
        </w:tc>
        <w:tc>
          <w:tcPr>
            <w:tcW w:w="1644" w:type="dxa"/>
            <w:vAlign w:val="center"/>
          </w:tcPr>
          <w:p w14:paraId="5864631E" w14:textId="77777777" w:rsidR="00664C4D" w:rsidRPr="00B81BD6" w:rsidRDefault="00664C4D" w:rsidP="00664C4D">
            <w:pPr>
              <w:spacing w:before="0" w:after="0" w:line="276" w:lineRule="auto"/>
              <w:rPr>
                <w:rFonts w:ascii="Gill Sans MT" w:hAnsi="Gill Sans MT"/>
                <w:sz w:val="18"/>
                <w:szCs w:val="18"/>
              </w:rPr>
            </w:pPr>
            <w:r>
              <w:rPr>
                <w:rFonts w:ascii="Gill Sans MT" w:hAnsi="Gill Sans MT"/>
                <w:sz w:val="18"/>
                <w:szCs w:val="18"/>
              </w:rPr>
              <w:t>to me as a learning</w:t>
            </w:r>
          </w:p>
        </w:tc>
        <w:tc>
          <w:tcPr>
            <w:tcW w:w="1474" w:type="dxa"/>
            <w:shd w:val="clear" w:color="auto" w:fill="AEAAAA" w:themeFill="background2" w:themeFillShade="BF"/>
            <w:vAlign w:val="center"/>
          </w:tcPr>
          <w:p w14:paraId="1E3B4EFE" w14:textId="77777777" w:rsidR="00664C4D" w:rsidRPr="00B81BD6" w:rsidRDefault="00664C4D" w:rsidP="00664C4D">
            <w:pPr>
              <w:spacing w:before="0" w:after="0" w:line="276" w:lineRule="auto"/>
              <w:rPr>
                <w:rFonts w:ascii="Gill Sans MT" w:hAnsi="Gill Sans MT"/>
                <w:sz w:val="18"/>
                <w:szCs w:val="18"/>
              </w:rPr>
            </w:pPr>
            <w:r w:rsidRPr="00347985">
              <w:rPr>
                <w:rFonts w:ascii="Gill Sans MT" w:hAnsi="Gill Sans MT"/>
                <w:color w:val="FFFFFF" w:themeColor="background1"/>
                <w:sz w:val="18"/>
                <w:szCs w:val="18"/>
              </w:rPr>
              <w:t>choose one…</w:t>
            </w:r>
            <w:r w:rsidRPr="00347985">
              <w:rPr>
                <w:rFonts w:ascii="Arial" w:hAnsi="Arial" w:cs="Arial"/>
                <w:color w:val="FFFFFF" w:themeColor="background1"/>
              </w:rPr>
              <w:t>▼</w:t>
            </w:r>
          </w:p>
        </w:tc>
      </w:tr>
      <w:tr w:rsidR="00664C4D" w:rsidRPr="00B81BD6" w14:paraId="574C49AD" w14:textId="77777777" w:rsidTr="00664C4D">
        <w:trPr>
          <w:trHeight w:val="227"/>
        </w:trPr>
        <w:tc>
          <w:tcPr>
            <w:tcW w:w="6236" w:type="dxa"/>
            <w:vAlign w:val="center"/>
          </w:tcPr>
          <w:p w14:paraId="3C878E5D" w14:textId="77777777" w:rsidR="00664C4D" w:rsidRPr="00B81BD6" w:rsidRDefault="00664C4D" w:rsidP="00664C4D">
            <w:pPr>
              <w:spacing w:before="0" w:after="0" w:line="276" w:lineRule="auto"/>
              <w:jc w:val="right"/>
              <w:rPr>
                <w:rFonts w:ascii="Gill Sans MT" w:hAnsi="Gill Sans MT"/>
                <w:sz w:val="18"/>
                <w:szCs w:val="18"/>
              </w:rPr>
            </w:pPr>
          </w:p>
        </w:tc>
        <w:tc>
          <w:tcPr>
            <w:tcW w:w="1644" w:type="dxa"/>
            <w:vAlign w:val="center"/>
          </w:tcPr>
          <w:p w14:paraId="376D5044" w14:textId="77777777" w:rsidR="00664C4D" w:rsidRDefault="00664C4D" w:rsidP="00664C4D">
            <w:pPr>
              <w:spacing w:before="0" w:after="0" w:line="276" w:lineRule="auto"/>
              <w:rPr>
                <w:rFonts w:ascii="Gill Sans MT" w:hAnsi="Gill Sans MT"/>
                <w:sz w:val="18"/>
                <w:szCs w:val="18"/>
              </w:rPr>
            </w:pPr>
          </w:p>
        </w:tc>
        <w:tc>
          <w:tcPr>
            <w:tcW w:w="2948" w:type="dxa"/>
            <w:shd w:val="clear" w:color="auto" w:fill="FFCC99"/>
            <w:vAlign w:val="center"/>
          </w:tcPr>
          <w:p w14:paraId="77AD094E" w14:textId="77777777" w:rsidR="00664C4D" w:rsidRDefault="00664C4D" w:rsidP="00664C4D">
            <w:pPr>
              <w:spacing w:before="0" w:after="0" w:line="276" w:lineRule="auto"/>
              <w:rPr>
                <w:rFonts w:ascii="Gill Sans MT" w:hAnsi="Gill Sans MT"/>
                <w:sz w:val="18"/>
                <w:szCs w:val="18"/>
              </w:rPr>
            </w:pPr>
            <w:r>
              <w:rPr>
                <w:rFonts w:ascii="Gill Sans MT" w:hAnsi="Gill Sans MT"/>
                <w:sz w:val="18"/>
                <w:szCs w:val="18"/>
              </w:rPr>
              <w:t>disclosed</w:t>
            </w:r>
          </w:p>
        </w:tc>
        <w:tc>
          <w:tcPr>
            <w:tcW w:w="1644" w:type="dxa"/>
            <w:vAlign w:val="center"/>
          </w:tcPr>
          <w:p w14:paraId="444AF5EA" w14:textId="77777777" w:rsidR="00664C4D" w:rsidRDefault="00664C4D" w:rsidP="00664C4D">
            <w:pPr>
              <w:spacing w:before="0" w:after="0" w:line="276" w:lineRule="auto"/>
              <w:rPr>
                <w:rFonts w:ascii="Gill Sans MT" w:hAnsi="Gill Sans MT"/>
                <w:sz w:val="18"/>
                <w:szCs w:val="18"/>
              </w:rPr>
            </w:pPr>
          </w:p>
        </w:tc>
        <w:tc>
          <w:tcPr>
            <w:tcW w:w="1474" w:type="dxa"/>
            <w:shd w:val="clear" w:color="auto" w:fill="FFCC99"/>
            <w:vAlign w:val="center"/>
          </w:tcPr>
          <w:p w14:paraId="0AC8E029" w14:textId="77777777" w:rsidR="00664C4D" w:rsidRDefault="00664C4D" w:rsidP="00664C4D">
            <w:pPr>
              <w:spacing w:before="0" w:after="0" w:line="276" w:lineRule="auto"/>
              <w:rPr>
                <w:rFonts w:ascii="Gill Sans MT" w:hAnsi="Gill Sans MT"/>
                <w:sz w:val="18"/>
                <w:szCs w:val="18"/>
              </w:rPr>
            </w:pPr>
            <w:r>
              <w:rPr>
                <w:rFonts w:ascii="Gill Sans MT" w:hAnsi="Gill Sans MT"/>
                <w:sz w:val="18"/>
                <w:szCs w:val="18"/>
              </w:rPr>
              <w:t>disability</w:t>
            </w:r>
          </w:p>
        </w:tc>
      </w:tr>
      <w:tr w:rsidR="00664C4D" w:rsidRPr="00B81BD6" w14:paraId="2D2BDCF2" w14:textId="77777777" w:rsidTr="00664C4D">
        <w:trPr>
          <w:trHeight w:val="227"/>
        </w:trPr>
        <w:tc>
          <w:tcPr>
            <w:tcW w:w="6236" w:type="dxa"/>
            <w:vAlign w:val="center"/>
          </w:tcPr>
          <w:p w14:paraId="24B36850" w14:textId="77777777" w:rsidR="00664C4D" w:rsidRPr="00B81BD6" w:rsidRDefault="00664C4D" w:rsidP="00664C4D">
            <w:pPr>
              <w:spacing w:before="0" w:after="0" w:line="276" w:lineRule="auto"/>
              <w:jc w:val="right"/>
              <w:rPr>
                <w:rFonts w:ascii="Gill Sans MT" w:hAnsi="Gill Sans MT"/>
                <w:sz w:val="18"/>
                <w:szCs w:val="18"/>
              </w:rPr>
            </w:pPr>
          </w:p>
        </w:tc>
        <w:tc>
          <w:tcPr>
            <w:tcW w:w="1644" w:type="dxa"/>
            <w:vAlign w:val="center"/>
          </w:tcPr>
          <w:p w14:paraId="11B57F36" w14:textId="77777777" w:rsidR="00664C4D" w:rsidRDefault="00664C4D" w:rsidP="00664C4D">
            <w:pPr>
              <w:spacing w:before="0" w:after="0" w:line="276" w:lineRule="auto"/>
              <w:rPr>
                <w:rFonts w:ascii="Gill Sans MT" w:hAnsi="Gill Sans MT"/>
                <w:sz w:val="18"/>
                <w:szCs w:val="18"/>
              </w:rPr>
            </w:pPr>
          </w:p>
        </w:tc>
        <w:tc>
          <w:tcPr>
            <w:tcW w:w="2948" w:type="dxa"/>
            <w:shd w:val="clear" w:color="auto" w:fill="FFCC99"/>
            <w:vAlign w:val="center"/>
          </w:tcPr>
          <w:p w14:paraId="7ADDEC4B" w14:textId="77777777" w:rsidR="00664C4D" w:rsidRDefault="00664C4D" w:rsidP="00664C4D">
            <w:pPr>
              <w:spacing w:before="0" w:after="0" w:line="276" w:lineRule="auto"/>
              <w:rPr>
                <w:rFonts w:ascii="Gill Sans MT" w:hAnsi="Gill Sans MT"/>
                <w:sz w:val="18"/>
                <w:szCs w:val="18"/>
              </w:rPr>
            </w:pPr>
            <w:r>
              <w:rPr>
                <w:rFonts w:ascii="Gill Sans MT" w:hAnsi="Gill Sans MT"/>
                <w:sz w:val="18"/>
                <w:szCs w:val="18"/>
              </w:rPr>
              <w:t>described</w:t>
            </w:r>
          </w:p>
        </w:tc>
        <w:tc>
          <w:tcPr>
            <w:tcW w:w="1644" w:type="dxa"/>
            <w:vAlign w:val="center"/>
          </w:tcPr>
          <w:p w14:paraId="2EBEE37F" w14:textId="77777777" w:rsidR="00664C4D" w:rsidRDefault="00664C4D" w:rsidP="00664C4D">
            <w:pPr>
              <w:spacing w:before="0" w:after="0" w:line="276" w:lineRule="auto"/>
              <w:rPr>
                <w:rFonts w:ascii="Gill Sans MT" w:hAnsi="Gill Sans MT"/>
                <w:sz w:val="18"/>
                <w:szCs w:val="18"/>
              </w:rPr>
            </w:pPr>
          </w:p>
        </w:tc>
        <w:tc>
          <w:tcPr>
            <w:tcW w:w="1474" w:type="dxa"/>
            <w:shd w:val="clear" w:color="auto" w:fill="FFCC99"/>
            <w:vAlign w:val="center"/>
          </w:tcPr>
          <w:p w14:paraId="6C2A487D" w14:textId="77777777" w:rsidR="00664C4D" w:rsidRDefault="00664C4D" w:rsidP="00664C4D">
            <w:pPr>
              <w:spacing w:before="0" w:after="0" w:line="276" w:lineRule="auto"/>
              <w:rPr>
                <w:rFonts w:ascii="Gill Sans MT" w:hAnsi="Gill Sans MT"/>
                <w:sz w:val="18"/>
                <w:szCs w:val="18"/>
              </w:rPr>
            </w:pPr>
            <w:r>
              <w:rPr>
                <w:rFonts w:ascii="Gill Sans MT" w:hAnsi="Gill Sans MT"/>
                <w:sz w:val="18"/>
                <w:szCs w:val="18"/>
              </w:rPr>
              <w:t>difference</w:t>
            </w:r>
          </w:p>
        </w:tc>
      </w:tr>
      <w:tr w:rsidR="00664C4D" w:rsidRPr="00B81BD6" w14:paraId="61328AA4" w14:textId="77777777" w:rsidTr="00664C4D">
        <w:trPr>
          <w:trHeight w:val="227"/>
        </w:trPr>
        <w:tc>
          <w:tcPr>
            <w:tcW w:w="6236" w:type="dxa"/>
            <w:vAlign w:val="center"/>
          </w:tcPr>
          <w:p w14:paraId="06C7FB5F" w14:textId="77777777" w:rsidR="00664C4D" w:rsidRPr="00B81BD6" w:rsidRDefault="00664C4D" w:rsidP="00664C4D">
            <w:pPr>
              <w:spacing w:before="0" w:after="0" w:line="276" w:lineRule="auto"/>
              <w:jc w:val="right"/>
              <w:rPr>
                <w:rFonts w:ascii="Gill Sans MT" w:hAnsi="Gill Sans MT"/>
                <w:sz w:val="18"/>
                <w:szCs w:val="18"/>
              </w:rPr>
            </w:pPr>
          </w:p>
        </w:tc>
        <w:tc>
          <w:tcPr>
            <w:tcW w:w="1644" w:type="dxa"/>
            <w:vAlign w:val="center"/>
          </w:tcPr>
          <w:p w14:paraId="41031B9E" w14:textId="77777777" w:rsidR="00664C4D" w:rsidRDefault="00664C4D" w:rsidP="00664C4D">
            <w:pPr>
              <w:spacing w:before="0" w:after="0" w:line="276" w:lineRule="auto"/>
              <w:rPr>
                <w:rFonts w:ascii="Gill Sans MT" w:hAnsi="Gill Sans MT"/>
                <w:sz w:val="18"/>
                <w:szCs w:val="18"/>
              </w:rPr>
            </w:pPr>
          </w:p>
        </w:tc>
        <w:tc>
          <w:tcPr>
            <w:tcW w:w="2948" w:type="dxa"/>
            <w:shd w:val="clear" w:color="auto" w:fill="FFCC99"/>
            <w:vAlign w:val="center"/>
          </w:tcPr>
          <w:p w14:paraId="2F474767" w14:textId="77777777" w:rsidR="00664C4D" w:rsidRDefault="00664C4D" w:rsidP="00664C4D">
            <w:pPr>
              <w:spacing w:before="0" w:after="0" w:line="276" w:lineRule="auto"/>
              <w:rPr>
                <w:rFonts w:ascii="Gill Sans MT" w:hAnsi="Gill Sans MT"/>
                <w:sz w:val="18"/>
                <w:szCs w:val="18"/>
              </w:rPr>
            </w:pPr>
            <w:r>
              <w:rPr>
                <w:rFonts w:ascii="Gill Sans MT" w:hAnsi="Gill Sans MT"/>
                <w:sz w:val="18"/>
                <w:szCs w:val="18"/>
              </w:rPr>
              <w:t>identified</w:t>
            </w:r>
          </w:p>
        </w:tc>
        <w:tc>
          <w:tcPr>
            <w:tcW w:w="1644" w:type="dxa"/>
            <w:vAlign w:val="center"/>
          </w:tcPr>
          <w:p w14:paraId="5C8B0D70" w14:textId="77777777" w:rsidR="00664C4D" w:rsidRDefault="00664C4D" w:rsidP="00664C4D">
            <w:pPr>
              <w:spacing w:before="0" w:after="0" w:line="276" w:lineRule="auto"/>
              <w:rPr>
                <w:rFonts w:ascii="Gill Sans MT" w:hAnsi="Gill Sans MT"/>
                <w:sz w:val="18"/>
                <w:szCs w:val="18"/>
              </w:rPr>
            </w:pPr>
          </w:p>
        </w:tc>
        <w:tc>
          <w:tcPr>
            <w:tcW w:w="1474" w:type="dxa"/>
            <w:shd w:val="clear" w:color="auto" w:fill="FFCC99"/>
            <w:vAlign w:val="center"/>
          </w:tcPr>
          <w:p w14:paraId="5D8F656A" w14:textId="77777777" w:rsidR="00664C4D" w:rsidRDefault="00664C4D" w:rsidP="00664C4D">
            <w:pPr>
              <w:spacing w:before="0" w:after="0" w:line="276" w:lineRule="auto"/>
              <w:rPr>
                <w:rFonts w:ascii="Gill Sans MT" w:hAnsi="Gill Sans MT"/>
                <w:sz w:val="18"/>
                <w:szCs w:val="18"/>
              </w:rPr>
            </w:pPr>
            <w:r>
              <w:rPr>
                <w:rFonts w:ascii="Gill Sans MT" w:hAnsi="Gill Sans MT"/>
                <w:sz w:val="18"/>
                <w:szCs w:val="18"/>
              </w:rPr>
              <w:t>weakness</w:t>
            </w:r>
          </w:p>
        </w:tc>
      </w:tr>
      <w:tr w:rsidR="00664C4D" w:rsidRPr="00B81BD6" w14:paraId="5A8C4212" w14:textId="77777777" w:rsidTr="00664C4D">
        <w:trPr>
          <w:trHeight w:val="227"/>
        </w:trPr>
        <w:tc>
          <w:tcPr>
            <w:tcW w:w="6236" w:type="dxa"/>
            <w:vAlign w:val="center"/>
          </w:tcPr>
          <w:p w14:paraId="6AFDAE6F" w14:textId="77777777" w:rsidR="00664C4D" w:rsidRPr="00B81BD6" w:rsidRDefault="00664C4D" w:rsidP="00664C4D">
            <w:pPr>
              <w:spacing w:before="0" w:after="0" w:line="276" w:lineRule="auto"/>
              <w:jc w:val="right"/>
              <w:rPr>
                <w:rFonts w:ascii="Gill Sans MT" w:hAnsi="Gill Sans MT"/>
                <w:sz w:val="18"/>
                <w:szCs w:val="18"/>
              </w:rPr>
            </w:pPr>
          </w:p>
        </w:tc>
        <w:tc>
          <w:tcPr>
            <w:tcW w:w="1644" w:type="dxa"/>
            <w:vAlign w:val="center"/>
          </w:tcPr>
          <w:p w14:paraId="2119D801" w14:textId="77777777" w:rsidR="00664C4D" w:rsidRDefault="00664C4D" w:rsidP="00664C4D">
            <w:pPr>
              <w:spacing w:before="0" w:after="0" w:line="276" w:lineRule="auto"/>
              <w:rPr>
                <w:rFonts w:ascii="Gill Sans MT" w:hAnsi="Gill Sans MT"/>
                <w:sz w:val="18"/>
                <w:szCs w:val="18"/>
              </w:rPr>
            </w:pPr>
          </w:p>
        </w:tc>
        <w:tc>
          <w:tcPr>
            <w:tcW w:w="2948" w:type="dxa"/>
            <w:shd w:val="clear" w:color="auto" w:fill="FFCC99"/>
            <w:vAlign w:val="center"/>
          </w:tcPr>
          <w:p w14:paraId="7780659E" w14:textId="77777777" w:rsidR="00664C4D" w:rsidRDefault="00664C4D" w:rsidP="00664C4D">
            <w:pPr>
              <w:spacing w:before="0" w:after="0" w:line="276" w:lineRule="auto"/>
              <w:rPr>
                <w:rFonts w:ascii="Gill Sans MT" w:hAnsi="Gill Sans MT"/>
                <w:sz w:val="18"/>
                <w:szCs w:val="18"/>
              </w:rPr>
            </w:pPr>
            <w:r>
              <w:rPr>
                <w:rFonts w:ascii="Gill Sans MT" w:hAnsi="Gill Sans MT"/>
                <w:sz w:val="18"/>
                <w:szCs w:val="18"/>
              </w:rPr>
              <w:t>diagnosed</w:t>
            </w:r>
          </w:p>
        </w:tc>
        <w:tc>
          <w:tcPr>
            <w:tcW w:w="1644" w:type="dxa"/>
            <w:vAlign w:val="center"/>
          </w:tcPr>
          <w:p w14:paraId="13C754A3" w14:textId="77777777" w:rsidR="00664C4D" w:rsidRDefault="00664C4D" w:rsidP="00664C4D">
            <w:pPr>
              <w:spacing w:before="0" w:after="0" w:line="276" w:lineRule="auto"/>
              <w:rPr>
                <w:rFonts w:ascii="Gill Sans MT" w:hAnsi="Gill Sans MT"/>
                <w:sz w:val="18"/>
                <w:szCs w:val="18"/>
              </w:rPr>
            </w:pPr>
          </w:p>
        </w:tc>
        <w:tc>
          <w:tcPr>
            <w:tcW w:w="1474" w:type="dxa"/>
            <w:shd w:val="clear" w:color="auto" w:fill="FFCC99"/>
            <w:vAlign w:val="center"/>
          </w:tcPr>
          <w:p w14:paraId="6106BCF7" w14:textId="77777777" w:rsidR="00664C4D" w:rsidRDefault="00664C4D" w:rsidP="00664C4D">
            <w:pPr>
              <w:spacing w:before="0" w:after="0" w:line="276" w:lineRule="auto"/>
              <w:rPr>
                <w:rFonts w:ascii="Gill Sans MT" w:hAnsi="Gill Sans MT"/>
                <w:sz w:val="18"/>
                <w:szCs w:val="18"/>
              </w:rPr>
            </w:pPr>
            <w:r>
              <w:rPr>
                <w:rFonts w:ascii="Gill Sans MT" w:hAnsi="Gill Sans MT"/>
                <w:sz w:val="18"/>
                <w:szCs w:val="18"/>
              </w:rPr>
              <w:t>strength</w:t>
            </w:r>
          </w:p>
        </w:tc>
      </w:tr>
      <w:tr w:rsidR="00664C4D" w:rsidRPr="00B81BD6" w14:paraId="0DAAE9C1" w14:textId="77777777" w:rsidTr="00664C4D">
        <w:trPr>
          <w:trHeight w:val="227"/>
        </w:trPr>
        <w:tc>
          <w:tcPr>
            <w:tcW w:w="6236" w:type="dxa"/>
            <w:vAlign w:val="center"/>
          </w:tcPr>
          <w:p w14:paraId="51CF8D6C" w14:textId="77777777" w:rsidR="00664C4D" w:rsidRPr="00B81BD6" w:rsidRDefault="00664C4D" w:rsidP="00664C4D">
            <w:pPr>
              <w:spacing w:before="0" w:after="0" w:line="276" w:lineRule="auto"/>
              <w:jc w:val="right"/>
              <w:rPr>
                <w:rFonts w:ascii="Gill Sans MT" w:hAnsi="Gill Sans MT"/>
                <w:sz w:val="18"/>
                <w:szCs w:val="18"/>
              </w:rPr>
            </w:pPr>
          </w:p>
        </w:tc>
        <w:tc>
          <w:tcPr>
            <w:tcW w:w="1644" w:type="dxa"/>
            <w:vAlign w:val="center"/>
          </w:tcPr>
          <w:p w14:paraId="22713CC1" w14:textId="77777777" w:rsidR="00664C4D" w:rsidRDefault="00664C4D" w:rsidP="00664C4D">
            <w:pPr>
              <w:spacing w:before="0" w:after="0" w:line="276" w:lineRule="auto"/>
              <w:rPr>
                <w:rFonts w:ascii="Gill Sans MT" w:hAnsi="Gill Sans MT"/>
                <w:sz w:val="18"/>
                <w:szCs w:val="18"/>
              </w:rPr>
            </w:pPr>
          </w:p>
        </w:tc>
        <w:tc>
          <w:tcPr>
            <w:tcW w:w="2948" w:type="dxa"/>
            <w:vAlign w:val="center"/>
          </w:tcPr>
          <w:p w14:paraId="6D348DC1" w14:textId="77777777" w:rsidR="00664C4D" w:rsidRDefault="00664C4D" w:rsidP="00664C4D">
            <w:pPr>
              <w:spacing w:before="0" w:after="0" w:line="276" w:lineRule="auto"/>
              <w:rPr>
                <w:rFonts w:ascii="Gill Sans MT" w:hAnsi="Gill Sans MT"/>
                <w:sz w:val="18"/>
                <w:szCs w:val="18"/>
              </w:rPr>
            </w:pPr>
          </w:p>
        </w:tc>
        <w:tc>
          <w:tcPr>
            <w:tcW w:w="1644" w:type="dxa"/>
            <w:vAlign w:val="center"/>
          </w:tcPr>
          <w:p w14:paraId="142F168F" w14:textId="77777777" w:rsidR="00664C4D" w:rsidRDefault="00664C4D" w:rsidP="00664C4D">
            <w:pPr>
              <w:spacing w:before="0" w:after="0" w:line="276" w:lineRule="auto"/>
              <w:rPr>
                <w:rFonts w:ascii="Gill Sans MT" w:hAnsi="Gill Sans MT"/>
                <w:sz w:val="18"/>
                <w:szCs w:val="18"/>
              </w:rPr>
            </w:pPr>
          </w:p>
        </w:tc>
        <w:tc>
          <w:tcPr>
            <w:tcW w:w="1474" w:type="dxa"/>
            <w:shd w:val="clear" w:color="auto" w:fill="FFCC99"/>
            <w:vAlign w:val="center"/>
          </w:tcPr>
          <w:p w14:paraId="6D811FB9" w14:textId="77777777" w:rsidR="00664C4D" w:rsidRDefault="00664C4D" w:rsidP="00664C4D">
            <w:pPr>
              <w:spacing w:before="0" w:after="0" w:line="276" w:lineRule="auto"/>
              <w:rPr>
                <w:rFonts w:ascii="Gill Sans MT" w:hAnsi="Gill Sans MT"/>
                <w:sz w:val="18"/>
                <w:szCs w:val="18"/>
              </w:rPr>
            </w:pPr>
            <w:r>
              <w:rPr>
                <w:rFonts w:ascii="Gill Sans MT" w:hAnsi="Gill Sans MT"/>
                <w:sz w:val="18"/>
                <w:szCs w:val="18"/>
              </w:rPr>
              <w:t>deficit</w:t>
            </w:r>
          </w:p>
        </w:tc>
      </w:tr>
      <w:tr w:rsidR="00664C4D" w:rsidRPr="00B81BD6" w14:paraId="1D5E3E43" w14:textId="77777777" w:rsidTr="00664C4D">
        <w:trPr>
          <w:trHeight w:val="227"/>
        </w:trPr>
        <w:tc>
          <w:tcPr>
            <w:tcW w:w="6236" w:type="dxa"/>
            <w:vAlign w:val="center"/>
          </w:tcPr>
          <w:p w14:paraId="70D65A2A" w14:textId="77777777" w:rsidR="00664C4D" w:rsidRPr="00B81BD6" w:rsidRDefault="00664C4D" w:rsidP="00664C4D">
            <w:pPr>
              <w:spacing w:before="0" w:after="0" w:line="276" w:lineRule="auto"/>
              <w:jc w:val="right"/>
              <w:rPr>
                <w:rFonts w:ascii="Gill Sans MT" w:hAnsi="Gill Sans MT"/>
                <w:sz w:val="18"/>
                <w:szCs w:val="18"/>
              </w:rPr>
            </w:pPr>
          </w:p>
        </w:tc>
        <w:tc>
          <w:tcPr>
            <w:tcW w:w="1644" w:type="dxa"/>
            <w:vAlign w:val="center"/>
          </w:tcPr>
          <w:p w14:paraId="6A4E0147" w14:textId="77777777" w:rsidR="00664C4D" w:rsidRDefault="00664C4D" w:rsidP="00664C4D">
            <w:pPr>
              <w:spacing w:before="0" w:after="0" w:line="276" w:lineRule="auto"/>
              <w:rPr>
                <w:rFonts w:ascii="Gill Sans MT" w:hAnsi="Gill Sans MT"/>
                <w:sz w:val="18"/>
                <w:szCs w:val="18"/>
              </w:rPr>
            </w:pPr>
          </w:p>
        </w:tc>
        <w:tc>
          <w:tcPr>
            <w:tcW w:w="2948" w:type="dxa"/>
            <w:vAlign w:val="center"/>
          </w:tcPr>
          <w:p w14:paraId="4D940318" w14:textId="77777777" w:rsidR="00664C4D" w:rsidRDefault="00664C4D" w:rsidP="00664C4D">
            <w:pPr>
              <w:spacing w:before="0" w:after="0" w:line="276" w:lineRule="auto"/>
              <w:rPr>
                <w:rFonts w:ascii="Gill Sans MT" w:hAnsi="Gill Sans MT"/>
                <w:sz w:val="18"/>
                <w:szCs w:val="18"/>
              </w:rPr>
            </w:pPr>
          </w:p>
        </w:tc>
        <w:tc>
          <w:tcPr>
            <w:tcW w:w="1644" w:type="dxa"/>
            <w:vAlign w:val="center"/>
          </w:tcPr>
          <w:p w14:paraId="424784B0" w14:textId="77777777" w:rsidR="00664C4D" w:rsidRDefault="00664C4D" w:rsidP="00664C4D">
            <w:pPr>
              <w:spacing w:before="0" w:after="0" w:line="276" w:lineRule="auto"/>
              <w:rPr>
                <w:rFonts w:ascii="Gill Sans MT" w:hAnsi="Gill Sans MT"/>
                <w:sz w:val="18"/>
                <w:szCs w:val="18"/>
              </w:rPr>
            </w:pPr>
          </w:p>
        </w:tc>
        <w:tc>
          <w:tcPr>
            <w:tcW w:w="1474" w:type="dxa"/>
            <w:shd w:val="clear" w:color="auto" w:fill="FFCC99"/>
            <w:vAlign w:val="center"/>
          </w:tcPr>
          <w:p w14:paraId="4CBA2D07" w14:textId="77777777" w:rsidR="00664C4D" w:rsidRDefault="00664C4D" w:rsidP="00664C4D">
            <w:pPr>
              <w:spacing w:before="0" w:after="0" w:line="276" w:lineRule="auto"/>
              <w:rPr>
                <w:rFonts w:ascii="Gill Sans MT" w:hAnsi="Gill Sans MT"/>
                <w:sz w:val="18"/>
                <w:szCs w:val="18"/>
              </w:rPr>
            </w:pPr>
            <w:r>
              <w:rPr>
                <w:rFonts w:ascii="Gill Sans MT" w:hAnsi="Gill Sans MT"/>
                <w:sz w:val="18"/>
                <w:szCs w:val="18"/>
              </w:rPr>
              <w:t>difficulty</w:t>
            </w:r>
          </w:p>
        </w:tc>
      </w:tr>
      <w:tr w:rsidR="00664C4D" w:rsidRPr="00B81BD6" w14:paraId="6D399692" w14:textId="77777777" w:rsidTr="00664C4D">
        <w:trPr>
          <w:trHeight w:val="227"/>
        </w:trPr>
        <w:tc>
          <w:tcPr>
            <w:tcW w:w="6236" w:type="dxa"/>
            <w:vAlign w:val="center"/>
          </w:tcPr>
          <w:p w14:paraId="43874637" w14:textId="77777777" w:rsidR="00664C4D" w:rsidRPr="00B81BD6" w:rsidRDefault="00664C4D" w:rsidP="00664C4D">
            <w:pPr>
              <w:spacing w:before="0" w:after="0" w:line="276" w:lineRule="auto"/>
              <w:jc w:val="right"/>
              <w:rPr>
                <w:rFonts w:ascii="Gill Sans MT" w:hAnsi="Gill Sans MT"/>
                <w:sz w:val="18"/>
                <w:szCs w:val="18"/>
              </w:rPr>
            </w:pPr>
          </w:p>
        </w:tc>
        <w:tc>
          <w:tcPr>
            <w:tcW w:w="1644" w:type="dxa"/>
            <w:vAlign w:val="center"/>
          </w:tcPr>
          <w:p w14:paraId="379D7676" w14:textId="77777777" w:rsidR="00664C4D" w:rsidRDefault="00664C4D" w:rsidP="00664C4D">
            <w:pPr>
              <w:spacing w:before="0" w:after="0" w:line="276" w:lineRule="auto"/>
              <w:rPr>
                <w:rFonts w:ascii="Gill Sans MT" w:hAnsi="Gill Sans MT"/>
                <w:sz w:val="18"/>
                <w:szCs w:val="18"/>
              </w:rPr>
            </w:pPr>
          </w:p>
        </w:tc>
        <w:tc>
          <w:tcPr>
            <w:tcW w:w="2948" w:type="dxa"/>
            <w:vAlign w:val="center"/>
          </w:tcPr>
          <w:p w14:paraId="2ED65579" w14:textId="77777777" w:rsidR="00664C4D" w:rsidRDefault="00664C4D" w:rsidP="00664C4D">
            <w:pPr>
              <w:spacing w:before="0" w:after="0" w:line="276" w:lineRule="auto"/>
              <w:rPr>
                <w:rFonts w:ascii="Gill Sans MT" w:hAnsi="Gill Sans MT"/>
                <w:sz w:val="18"/>
                <w:szCs w:val="18"/>
              </w:rPr>
            </w:pPr>
          </w:p>
        </w:tc>
        <w:tc>
          <w:tcPr>
            <w:tcW w:w="1644" w:type="dxa"/>
            <w:vAlign w:val="center"/>
          </w:tcPr>
          <w:p w14:paraId="6F99DD2B" w14:textId="77777777" w:rsidR="00664C4D" w:rsidRDefault="00664C4D" w:rsidP="00664C4D">
            <w:pPr>
              <w:spacing w:before="0" w:after="0" w:line="276" w:lineRule="auto"/>
              <w:rPr>
                <w:rFonts w:ascii="Gill Sans MT" w:hAnsi="Gill Sans MT"/>
                <w:sz w:val="18"/>
                <w:szCs w:val="18"/>
              </w:rPr>
            </w:pPr>
          </w:p>
        </w:tc>
        <w:tc>
          <w:tcPr>
            <w:tcW w:w="1474" w:type="dxa"/>
            <w:vAlign w:val="center"/>
          </w:tcPr>
          <w:p w14:paraId="7CC6AF22" w14:textId="77777777" w:rsidR="00664C4D" w:rsidRDefault="00664C4D" w:rsidP="00664C4D">
            <w:pPr>
              <w:spacing w:before="0" w:after="0" w:line="276" w:lineRule="auto"/>
              <w:rPr>
                <w:rFonts w:ascii="Gill Sans MT" w:hAnsi="Gill Sans MT"/>
                <w:sz w:val="18"/>
                <w:szCs w:val="18"/>
              </w:rPr>
            </w:pPr>
          </w:p>
        </w:tc>
      </w:tr>
    </w:tbl>
    <w:p w14:paraId="55525C8B" w14:textId="77777777" w:rsidR="00664C4D" w:rsidRDefault="00664C4D" w:rsidP="00664C4D">
      <w:r>
        <w:tab/>
      </w:r>
    </w:p>
    <w:p w14:paraId="53B523ED" w14:textId="77777777" w:rsidR="00664C4D" w:rsidRDefault="00664C4D" w:rsidP="00664C4D">
      <w:pPr>
        <w:spacing w:before="0" w:after="200" w:line="276" w:lineRule="auto"/>
        <w:jc w:val="both"/>
      </w:pPr>
      <w:r>
        <w:br w:type="page"/>
      </w:r>
    </w:p>
    <w:tbl>
      <w:tblPr>
        <w:tblStyle w:val="TableGrid"/>
        <w:tblW w:w="1403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6575"/>
        <w:gridCol w:w="5799"/>
        <w:gridCol w:w="1134"/>
      </w:tblGrid>
      <w:tr w:rsidR="00664C4D" w:rsidRPr="00B81BD6" w14:paraId="2AF31824" w14:textId="77777777" w:rsidTr="00664C4D">
        <w:trPr>
          <w:trHeight w:val="227"/>
        </w:trPr>
        <w:tc>
          <w:tcPr>
            <w:tcW w:w="7101" w:type="dxa"/>
            <w:gridSpan w:val="2"/>
            <w:vAlign w:val="center"/>
          </w:tcPr>
          <w:p w14:paraId="6730165C" w14:textId="77777777" w:rsidR="00664C4D" w:rsidRDefault="00664C4D" w:rsidP="00664C4D">
            <w:pPr>
              <w:pStyle w:val="Heading5"/>
              <w:outlineLvl w:val="4"/>
              <w:rPr>
                <w:rFonts w:ascii="Gill Sans MT" w:hAnsi="Gill Sans MT"/>
                <w:szCs w:val="18"/>
              </w:rPr>
            </w:pPr>
            <w:r>
              <w:lastRenderedPageBreak/>
              <w:t>Section 2</w:t>
            </w:r>
          </w:p>
        </w:tc>
        <w:tc>
          <w:tcPr>
            <w:tcW w:w="5799" w:type="dxa"/>
            <w:vAlign w:val="center"/>
          </w:tcPr>
          <w:p w14:paraId="3AD6AA67" w14:textId="77777777" w:rsidR="00664C4D" w:rsidRPr="00B81BD6" w:rsidRDefault="00664C4D" w:rsidP="00664C4D">
            <w:pPr>
              <w:spacing w:before="0" w:after="0" w:line="276" w:lineRule="auto"/>
              <w:rPr>
                <w:rFonts w:ascii="Gill Sans MT" w:hAnsi="Gill Sans MT"/>
                <w:sz w:val="18"/>
                <w:szCs w:val="18"/>
              </w:rPr>
            </w:pPr>
          </w:p>
        </w:tc>
        <w:tc>
          <w:tcPr>
            <w:tcW w:w="1134" w:type="dxa"/>
            <w:vAlign w:val="center"/>
          </w:tcPr>
          <w:p w14:paraId="5854093C"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3EF68E6A" w14:textId="77777777" w:rsidTr="00664C4D">
        <w:trPr>
          <w:trHeight w:val="340"/>
        </w:trPr>
        <w:tc>
          <w:tcPr>
            <w:tcW w:w="14034" w:type="dxa"/>
            <w:gridSpan w:val="4"/>
            <w:vAlign w:val="center"/>
          </w:tcPr>
          <w:p w14:paraId="4AF1F2A5" w14:textId="77777777" w:rsidR="00664C4D" w:rsidRPr="00B81BD6" w:rsidRDefault="00664C4D" w:rsidP="00664C4D">
            <w:pPr>
              <w:spacing w:before="0" w:after="0" w:line="276" w:lineRule="auto"/>
              <w:rPr>
                <w:rFonts w:ascii="Gill Sans MT" w:hAnsi="Gill Sans MT"/>
                <w:sz w:val="18"/>
                <w:szCs w:val="18"/>
              </w:rPr>
            </w:pPr>
            <w:r w:rsidRPr="00117C7E">
              <w:rPr>
                <w:rFonts w:ascii="Gill Sans MT" w:hAnsi="Gill Sans MT"/>
                <w:sz w:val="18"/>
                <w:szCs w:val="18"/>
              </w:rPr>
              <w:t xml:space="preserve">The first section of 24 questions is asking to think about how </w:t>
            </w:r>
            <w:r w:rsidRPr="00117C7E">
              <w:rPr>
                <w:rFonts w:ascii="Gill Sans MT" w:hAnsi="Gill Sans MT"/>
                <w:b/>
                <w:i/>
                <w:sz w:val="18"/>
                <w:szCs w:val="18"/>
              </w:rPr>
              <w:t>confident</w:t>
            </w:r>
            <w:r w:rsidRPr="00117C7E">
              <w:rPr>
                <w:rFonts w:ascii="Gill Sans MT" w:hAnsi="Gill Sans MT"/>
                <w:sz w:val="18"/>
                <w:szCs w:val="18"/>
              </w:rPr>
              <w:t xml:space="preserve"> you are in various aspects of studying at university</w:t>
            </w:r>
          </w:p>
        </w:tc>
      </w:tr>
      <w:tr w:rsidR="00664C4D" w:rsidRPr="00B81BD6" w14:paraId="3A8B4C64" w14:textId="77777777" w:rsidTr="00664C4D">
        <w:trPr>
          <w:trHeight w:val="227"/>
        </w:trPr>
        <w:tc>
          <w:tcPr>
            <w:tcW w:w="526" w:type="dxa"/>
            <w:vAlign w:val="center"/>
          </w:tcPr>
          <w:p w14:paraId="13C2569F" w14:textId="77777777" w:rsidR="00664C4D" w:rsidRPr="00B81BD6" w:rsidRDefault="00664C4D" w:rsidP="00664C4D">
            <w:pPr>
              <w:spacing w:before="0" w:after="0" w:line="276" w:lineRule="auto"/>
              <w:jc w:val="right"/>
              <w:rPr>
                <w:rFonts w:ascii="Gill Sans MT" w:hAnsi="Gill Sans MT"/>
                <w:sz w:val="18"/>
                <w:szCs w:val="18"/>
              </w:rPr>
            </w:pPr>
          </w:p>
        </w:tc>
        <w:tc>
          <w:tcPr>
            <w:tcW w:w="6575" w:type="dxa"/>
            <w:vAlign w:val="center"/>
          </w:tcPr>
          <w:p w14:paraId="2181CAA2" w14:textId="77777777" w:rsidR="00664C4D" w:rsidRPr="00B81BD6" w:rsidRDefault="00664C4D" w:rsidP="00664C4D">
            <w:pPr>
              <w:spacing w:before="0" w:after="0" w:line="276" w:lineRule="auto"/>
              <w:jc w:val="right"/>
              <w:rPr>
                <w:rFonts w:ascii="Gill Sans MT" w:hAnsi="Gill Sans MT"/>
                <w:sz w:val="18"/>
                <w:szCs w:val="18"/>
              </w:rPr>
            </w:pPr>
          </w:p>
        </w:tc>
        <w:tc>
          <w:tcPr>
            <w:tcW w:w="5799" w:type="dxa"/>
            <w:shd w:val="clear" w:color="auto" w:fill="auto"/>
            <w:vAlign w:val="center"/>
          </w:tcPr>
          <w:p w14:paraId="0B477D86" w14:textId="77777777" w:rsidR="00664C4D" w:rsidRPr="00D008FD" w:rsidRDefault="00664C4D" w:rsidP="00664C4D">
            <w:pPr>
              <w:spacing w:before="0" w:after="0" w:line="276" w:lineRule="auto"/>
              <w:jc w:val="center"/>
              <w:rPr>
                <w:rFonts w:ascii="Gill Sans MT" w:hAnsi="Gill Sans MT"/>
                <w:sz w:val="16"/>
                <w:szCs w:val="16"/>
              </w:rPr>
            </w:pPr>
            <w:r w:rsidRPr="00D008FD">
              <w:rPr>
                <w:rFonts w:ascii="Gill Sans MT" w:hAnsi="Gill Sans MT"/>
                <w:sz w:val="16"/>
                <w:szCs w:val="16"/>
              </w:rPr>
              <w:t>0% = not confident at all &lt;-&gt; 50% = undecided or neutral &lt;-&gt; 100% =</w:t>
            </w:r>
            <w:r>
              <w:rPr>
                <w:rFonts w:ascii="Gill Sans MT" w:hAnsi="Gill Sans MT"/>
                <w:sz w:val="16"/>
                <w:szCs w:val="16"/>
              </w:rPr>
              <w:t xml:space="preserve"> very confident</w:t>
            </w:r>
          </w:p>
        </w:tc>
        <w:tc>
          <w:tcPr>
            <w:tcW w:w="1134" w:type="dxa"/>
            <w:shd w:val="clear" w:color="auto" w:fill="auto"/>
            <w:vAlign w:val="center"/>
          </w:tcPr>
          <w:p w14:paraId="50A73AE5"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4E68E93B" w14:textId="77777777" w:rsidTr="00664C4D">
        <w:trPr>
          <w:trHeight w:val="227"/>
        </w:trPr>
        <w:tc>
          <w:tcPr>
            <w:tcW w:w="526" w:type="dxa"/>
            <w:vAlign w:val="center"/>
          </w:tcPr>
          <w:p w14:paraId="0CFE7312" w14:textId="77777777" w:rsidR="00664C4D" w:rsidRPr="004307D4" w:rsidRDefault="00664C4D" w:rsidP="00664C4D">
            <w:pPr>
              <w:spacing w:before="0" w:after="0" w:line="276" w:lineRule="auto"/>
              <w:rPr>
                <w:rFonts w:ascii="Gill Sans MT" w:hAnsi="Gill Sans MT"/>
                <w:color w:val="FFFFFF" w:themeColor="background1"/>
                <w:sz w:val="18"/>
                <w:szCs w:val="18"/>
              </w:rPr>
            </w:pPr>
          </w:p>
        </w:tc>
        <w:tc>
          <w:tcPr>
            <w:tcW w:w="6575" w:type="dxa"/>
            <w:shd w:val="clear" w:color="auto" w:fill="3B3838" w:themeFill="background2" w:themeFillShade="40"/>
            <w:vAlign w:val="center"/>
          </w:tcPr>
          <w:p w14:paraId="18912BBE" w14:textId="77777777" w:rsidR="00664C4D" w:rsidRPr="004307D4" w:rsidRDefault="00664C4D" w:rsidP="00664C4D">
            <w:pPr>
              <w:spacing w:before="0" w:after="0" w:line="276" w:lineRule="auto"/>
              <w:rPr>
                <w:rFonts w:ascii="Gill Sans MT" w:hAnsi="Gill Sans MT"/>
                <w:color w:val="FFFFFF" w:themeColor="background1"/>
                <w:sz w:val="18"/>
                <w:szCs w:val="18"/>
              </w:rPr>
            </w:pPr>
            <w:r w:rsidRPr="004307D4">
              <w:rPr>
                <w:rFonts w:ascii="Gill Sans MT" w:hAnsi="Gill Sans MT"/>
                <w:color w:val="FFFFFF" w:themeColor="background1"/>
                <w:sz w:val="18"/>
                <w:szCs w:val="18"/>
              </w:rPr>
              <w:t>How confident are you that you will be able to …</w:t>
            </w:r>
          </w:p>
        </w:tc>
        <w:tc>
          <w:tcPr>
            <w:tcW w:w="5799" w:type="dxa"/>
            <w:shd w:val="clear" w:color="auto" w:fill="auto"/>
            <w:vAlign w:val="center"/>
          </w:tcPr>
          <w:p w14:paraId="1447E654" w14:textId="77777777" w:rsidR="00664C4D" w:rsidRPr="00B81BD6" w:rsidRDefault="00664C4D" w:rsidP="00664C4D">
            <w:pPr>
              <w:spacing w:before="0" w:after="0" w:line="276" w:lineRule="auto"/>
              <w:rPr>
                <w:rFonts w:ascii="Gill Sans MT" w:hAnsi="Gill Sans MT"/>
                <w:sz w:val="18"/>
                <w:szCs w:val="18"/>
              </w:rPr>
            </w:pPr>
          </w:p>
        </w:tc>
        <w:tc>
          <w:tcPr>
            <w:tcW w:w="1134" w:type="dxa"/>
            <w:shd w:val="clear" w:color="auto" w:fill="auto"/>
            <w:vAlign w:val="center"/>
          </w:tcPr>
          <w:p w14:paraId="255BD0E0" w14:textId="77777777" w:rsidR="00664C4D" w:rsidRPr="00B81BD6" w:rsidRDefault="00664C4D" w:rsidP="00664C4D">
            <w:pPr>
              <w:spacing w:before="0" w:after="0" w:line="276" w:lineRule="auto"/>
              <w:rPr>
                <w:rFonts w:ascii="Gill Sans MT" w:hAnsi="Gill Sans MT"/>
                <w:sz w:val="18"/>
                <w:szCs w:val="18"/>
              </w:rPr>
            </w:pPr>
            <w:r>
              <w:rPr>
                <w:rFonts w:ascii="Gill Sans MT" w:hAnsi="Gill Sans MT"/>
                <w:sz w:val="18"/>
                <w:szCs w:val="18"/>
              </w:rPr>
              <w:t>% confident</w:t>
            </w:r>
          </w:p>
        </w:tc>
      </w:tr>
      <w:tr w:rsidR="00664C4D" w:rsidRPr="00B81BD6" w14:paraId="638C3173" w14:textId="77777777" w:rsidTr="00664C4D">
        <w:trPr>
          <w:trHeight w:val="227"/>
        </w:trPr>
        <w:tc>
          <w:tcPr>
            <w:tcW w:w="526" w:type="dxa"/>
            <w:vAlign w:val="center"/>
          </w:tcPr>
          <w:p w14:paraId="29C85DB1"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1.01</w:t>
            </w:r>
          </w:p>
        </w:tc>
        <w:tc>
          <w:tcPr>
            <w:tcW w:w="6575" w:type="dxa"/>
            <w:vAlign w:val="center"/>
          </w:tcPr>
          <w:p w14:paraId="06BF204D"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 study effectively on your own in independent or private study</w:t>
            </w:r>
          </w:p>
        </w:tc>
        <w:tc>
          <w:tcPr>
            <w:tcW w:w="5799" w:type="dxa"/>
            <w:shd w:val="clear" w:color="auto" w:fill="auto"/>
            <w:vAlign w:val="center"/>
          </w:tcPr>
          <w:p w14:paraId="6D46EB02" w14:textId="77777777" w:rsidR="00664C4D" w:rsidRPr="00B81BD6" w:rsidRDefault="00664C4D" w:rsidP="00664C4D">
            <w:pPr>
              <w:spacing w:before="0" w:after="0" w:line="276" w:lineRule="auto"/>
              <w:jc w:val="center"/>
              <w:rPr>
                <w:rFonts w:ascii="Gill Sans MT" w:hAnsi="Gill Sans MT"/>
                <w:sz w:val="18"/>
                <w:szCs w:val="18"/>
              </w:rPr>
            </w:pPr>
            <w:r w:rsidRPr="000F0B56">
              <w:rPr>
                <w:rFonts w:ascii="Gill Sans MT" w:hAnsi="Gill Sans MT"/>
                <w:noProof/>
                <w:sz w:val="18"/>
                <w:szCs w:val="18"/>
                <w:lang w:eastAsia="en-GB"/>
              </w:rPr>
              <w:drawing>
                <wp:inline distT="0" distB="0" distL="0" distR="0" wp14:anchorId="7468DD92" wp14:editId="76092511">
                  <wp:extent cx="2862469" cy="169286"/>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flipV="1">
                            <a:off x="0" y="0"/>
                            <a:ext cx="2862469" cy="169286"/>
                          </a:xfrm>
                          <a:prstGeom prst="rect">
                            <a:avLst/>
                          </a:prstGeom>
                        </pic:spPr>
                      </pic:pic>
                    </a:graphicData>
                  </a:graphic>
                </wp:inline>
              </w:drawing>
            </w:r>
          </w:p>
        </w:tc>
        <w:tc>
          <w:tcPr>
            <w:tcW w:w="1134" w:type="dxa"/>
            <w:shd w:val="clear" w:color="auto" w:fill="auto"/>
            <w:vAlign w:val="center"/>
          </w:tcPr>
          <w:p w14:paraId="54B29F0A"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50</w:t>
            </w:r>
          </w:p>
        </w:tc>
      </w:tr>
      <w:tr w:rsidR="00664C4D" w:rsidRPr="00B81BD6" w14:paraId="2E125AE7" w14:textId="77777777" w:rsidTr="00664C4D">
        <w:trPr>
          <w:trHeight w:val="227"/>
        </w:trPr>
        <w:tc>
          <w:tcPr>
            <w:tcW w:w="526" w:type="dxa"/>
            <w:vAlign w:val="center"/>
          </w:tcPr>
          <w:p w14:paraId="1451FB6C"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1.02</w:t>
            </w:r>
          </w:p>
        </w:tc>
        <w:tc>
          <w:tcPr>
            <w:tcW w:w="6575" w:type="dxa"/>
            <w:vAlign w:val="center"/>
          </w:tcPr>
          <w:p w14:paraId="28270E44"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 produce your best work under examination conditions</w:t>
            </w:r>
          </w:p>
        </w:tc>
        <w:tc>
          <w:tcPr>
            <w:tcW w:w="5799" w:type="dxa"/>
            <w:shd w:val="clear" w:color="auto" w:fill="auto"/>
            <w:vAlign w:val="center"/>
          </w:tcPr>
          <w:p w14:paraId="7D5B0ABC"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  “  ]</w:t>
            </w:r>
          </w:p>
        </w:tc>
        <w:tc>
          <w:tcPr>
            <w:tcW w:w="1134" w:type="dxa"/>
            <w:shd w:val="clear" w:color="auto" w:fill="auto"/>
            <w:vAlign w:val="center"/>
          </w:tcPr>
          <w:p w14:paraId="28B7CBCE"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3F89702B" w14:textId="77777777" w:rsidTr="00664C4D">
        <w:trPr>
          <w:trHeight w:val="227"/>
        </w:trPr>
        <w:tc>
          <w:tcPr>
            <w:tcW w:w="526" w:type="dxa"/>
            <w:vAlign w:val="center"/>
          </w:tcPr>
          <w:p w14:paraId="11362B2F"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1.03</w:t>
            </w:r>
          </w:p>
        </w:tc>
        <w:tc>
          <w:tcPr>
            <w:tcW w:w="6575" w:type="dxa"/>
            <w:vAlign w:val="center"/>
          </w:tcPr>
          <w:p w14:paraId="662366B0"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 respond to questions asked by a lecturer in front of a full lecture theatre</w:t>
            </w:r>
          </w:p>
        </w:tc>
        <w:tc>
          <w:tcPr>
            <w:tcW w:w="5799" w:type="dxa"/>
            <w:shd w:val="clear" w:color="auto" w:fill="auto"/>
            <w:vAlign w:val="center"/>
          </w:tcPr>
          <w:p w14:paraId="77276C1D"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  “  ]</w:t>
            </w:r>
          </w:p>
        </w:tc>
        <w:tc>
          <w:tcPr>
            <w:tcW w:w="1134" w:type="dxa"/>
            <w:shd w:val="clear" w:color="auto" w:fill="auto"/>
            <w:vAlign w:val="center"/>
          </w:tcPr>
          <w:p w14:paraId="3E6B903E"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7EE85857" w14:textId="77777777" w:rsidTr="00664C4D">
        <w:trPr>
          <w:trHeight w:val="227"/>
        </w:trPr>
        <w:tc>
          <w:tcPr>
            <w:tcW w:w="526" w:type="dxa"/>
            <w:vAlign w:val="center"/>
          </w:tcPr>
          <w:p w14:paraId="16A0ECB4"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1.04</w:t>
            </w:r>
          </w:p>
        </w:tc>
        <w:tc>
          <w:tcPr>
            <w:tcW w:w="6575" w:type="dxa"/>
            <w:vAlign w:val="center"/>
          </w:tcPr>
          <w:p w14:paraId="36A56904"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 manage your workload to meet coursework deadlines</w:t>
            </w:r>
          </w:p>
        </w:tc>
        <w:tc>
          <w:tcPr>
            <w:tcW w:w="5799" w:type="dxa"/>
            <w:shd w:val="clear" w:color="auto" w:fill="auto"/>
            <w:vAlign w:val="center"/>
          </w:tcPr>
          <w:p w14:paraId="02BA9E11"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  “  ]</w:t>
            </w:r>
          </w:p>
        </w:tc>
        <w:tc>
          <w:tcPr>
            <w:tcW w:w="1134" w:type="dxa"/>
            <w:shd w:val="clear" w:color="auto" w:fill="auto"/>
            <w:vAlign w:val="center"/>
          </w:tcPr>
          <w:p w14:paraId="4C4E9CF6"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575719FE" w14:textId="77777777" w:rsidTr="00664C4D">
        <w:trPr>
          <w:trHeight w:val="227"/>
        </w:trPr>
        <w:tc>
          <w:tcPr>
            <w:tcW w:w="526" w:type="dxa"/>
            <w:vAlign w:val="center"/>
          </w:tcPr>
          <w:p w14:paraId="329203AF"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1.05</w:t>
            </w:r>
          </w:p>
        </w:tc>
        <w:tc>
          <w:tcPr>
            <w:tcW w:w="6575" w:type="dxa"/>
            <w:vAlign w:val="center"/>
          </w:tcPr>
          <w:p w14:paraId="26A410A4"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 give a presentation to a small group of fellow students</w:t>
            </w:r>
          </w:p>
        </w:tc>
        <w:tc>
          <w:tcPr>
            <w:tcW w:w="5799" w:type="dxa"/>
            <w:shd w:val="clear" w:color="auto" w:fill="auto"/>
            <w:vAlign w:val="center"/>
          </w:tcPr>
          <w:p w14:paraId="7F1F22AA"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6881D1B6"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5F7E599D" w14:textId="77777777" w:rsidTr="00664C4D">
        <w:trPr>
          <w:trHeight w:val="227"/>
        </w:trPr>
        <w:tc>
          <w:tcPr>
            <w:tcW w:w="526" w:type="dxa"/>
            <w:vAlign w:val="center"/>
          </w:tcPr>
          <w:p w14:paraId="438D0E2C"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1.06</w:t>
            </w:r>
          </w:p>
        </w:tc>
        <w:tc>
          <w:tcPr>
            <w:tcW w:w="6575" w:type="dxa"/>
            <w:vAlign w:val="center"/>
          </w:tcPr>
          <w:p w14:paraId="15659337"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 attend most taught sessions</w:t>
            </w:r>
          </w:p>
        </w:tc>
        <w:tc>
          <w:tcPr>
            <w:tcW w:w="5799" w:type="dxa"/>
            <w:shd w:val="clear" w:color="auto" w:fill="auto"/>
            <w:vAlign w:val="center"/>
          </w:tcPr>
          <w:p w14:paraId="74CD67AA"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070ED7ED"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1268EC4E" w14:textId="77777777" w:rsidTr="00664C4D">
        <w:trPr>
          <w:trHeight w:val="227"/>
        </w:trPr>
        <w:tc>
          <w:tcPr>
            <w:tcW w:w="526" w:type="dxa"/>
            <w:vAlign w:val="center"/>
          </w:tcPr>
          <w:p w14:paraId="0D40D6EC"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1.07</w:t>
            </w:r>
          </w:p>
        </w:tc>
        <w:tc>
          <w:tcPr>
            <w:tcW w:w="6575" w:type="dxa"/>
            <w:vAlign w:val="center"/>
          </w:tcPr>
          <w:p w14:paraId="0B81CB05"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 attain good grades in your work</w:t>
            </w:r>
          </w:p>
        </w:tc>
        <w:tc>
          <w:tcPr>
            <w:tcW w:w="5799" w:type="dxa"/>
            <w:shd w:val="clear" w:color="auto" w:fill="auto"/>
            <w:vAlign w:val="center"/>
          </w:tcPr>
          <w:p w14:paraId="0D562389"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3C9DF265"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70F760B4" w14:textId="77777777" w:rsidTr="00664C4D">
        <w:trPr>
          <w:trHeight w:val="227"/>
        </w:trPr>
        <w:tc>
          <w:tcPr>
            <w:tcW w:w="526" w:type="dxa"/>
            <w:vAlign w:val="center"/>
          </w:tcPr>
          <w:p w14:paraId="5E3E171E"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1.08</w:t>
            </w:r>
          </w:p>
        </w:tc>
        <w:tc>
          <w:tcPr>
            <w:tcW w:w="6575" w:type="dxa"/>
            <w:vAlign w:val="center"/>
          </w:tcPr>
          <w:p w14:paraId="0F09CF3D"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 engage in profitable academic debate with your peers</w:t>
            </w:r>
          </w:p>
        </w:tc>
        <w:tc>
          <w:tcPr>
            <w:tcW w:w="5799" w:type="dxa"/>
            <w:shd w:val="clear" w:color="auto" w:fill="auto"/>
            <w:vAlign w:val="center"/>
          </w:tcPr>
          <w:p w14:paraId="06601BE0"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301A0325"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66475692" w14:textId="77777777" w:rsidTr="00664C4D">
        <w:trPr>
          <w:trHeight w:val="227"/>
        </w:trPr>
        <w:tc>
          <w:tcPr>
            <w:tcW w:w="526" w:type="dxa"/>
            <w:vAlign w:val="center"/>
          </w:tcPr>
          <w:p w14:paraId="5D45D76B"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1.09</w:t>
            </w:r>
          </w:p>
        </w:tc>
        <w:tc>
          <w:tcPr>
            <w:tcW w:w="6575" w:type="dxa"/>
            <w:vAlign w:val="center"/>
          </w:tcPr>
          <w:p w14:paraId="5B6611CA"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 ask lecturers questions about the material they are teaching in a one-to-one setting</w:t>
            </w:r>
          </w:p>
        </w:tc>
        <w:tc>
          <w:tcPr>
            <w:tcW w:w="5799" w:type="dxa"/>
            <w:shd w:val="clear" w:color="auto" w:fill="auto"/>
            <w:vAlign w:val="center"/>
          </w:tcPr>
          <w:p w14:paraId="75C55E20"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2FB8F979"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7F2DB89B" w14:textId="77777777" w:rsidTr="00664C4D">
        <w:trPr>
          <w:trHeight w:val="227"/>
        </w:trPr>
        <w:tc>
          <w:tcPr>
            <w:tcW w:w="526" w:type="dxa"/>
            <w:vAlign w:val="center"/>
          </w:tcPr>
          <w:p w14:paraId="59D1010B"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1.10</w:t>
            </w:r>
          </w:p>
        </w:tc>
        <w:tc>
          <w:tcPr>
            <w:tcW w:w="6575" w:type="dxa"/>
            <w:vAlign w:val="center"/>
          </w:tcPr>
          <w:p w14:paraId="4221F350"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 ask lecturers questions about the material they are teaching during a lecture</w:t>
            </w:r>
          </w:p>
        </w:tc>
        <w:tc>
          <w:tcPr>
            <w:tcW w:w="5799" w:type="dxa"/>
            <w:shd w:val="clear" w:color="auto" w:fill="auto"/>
            <w:vAlign w:val="center"/>
          </w:tcPr>
          <w:p w14:paraId="2B80289E"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6EA30618"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583AD28F" w14:textId="77777777" w:rsidTr="00664C4D">
        <w:trPr>
          <w:trHeight w:val="227"/>
        </w:trPr>
        <w:tc>
          <w:tcPr>
            <w:tcW w:w="526" w:type="dxa"/>
            <w:vAlign w:val="center"/>
          </w:tcPr>
          <w:p w14:paraId="1810161C"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1.11</w:t>
            </w:r>
          </w:p>
        </w:tc>
        <w:tc>
          <w:tcPr>
            <w:tcW w:w="6575" w:type="dxa"/>
            <w:vAlign w:val="center"/>
          </w:tcPr>
          <w:p w14:paraId="3C2CF721"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 understand the material outlined and discussed with you by lecturers</w:t>
            </w:r>
          </w:p>
        </w:tc>
        <w:tc>
          <w:tcPr>
            <w:tcW w:w="5799" w:type="dxa"/>
            <w:shd w:val="clear" w:color="auto" w:fill="auto"/>
            <w:vAlign w:val="center"/>
          </w:tcPr>
          <w:p w14:paraId="2411875B"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4F8263C8"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236C4322" w14:textId="77777777" w:rsidTr="00664C4D">
        <w:trPr>
          <w:trHeight w:val="227"/>
        </w:trPr>
        <w:tc>
          <w:tcPr>
            <w:tcW w:w="526" w:type="dxa"/>
            <w:vAlign w:val="center"/>
          </w:tcPr>
          <w:p w14:paraId="63ACAF29" w14:textId="77777777" w:rsidR="00664C4D" w:rsidRDefault="00664C4D" w:rsidP="00664C4D">
            <w:pPr>
              <w:spacing w:before="0" w:after="0" w:line="276" w:lineRule="auto"/>
              <w:jc w:val="right"/>
              <w:rPr>
                <w:rFonts w:ascii="Gill Sans MT" w:hAnsi="Gill Sans MT"/>
                <w:sz w:val="18"/>
                <w:szCs w:val="18"/>
              </w:rPr>
            </w:pPr>
            <w:r>
              <w:rPr>
                <w:rFonts w:ascii="Gill Sans MT" w:hAnsi="Gill Sans MT"/>
                <w:sz w:val="18"/>
                <w:szCs w:val="18"/>
              </w:rPr>
              <w:t>1.12</w:t>
            </w:r>
          </w:p>
        </w:tc>
        <w:tc>
          <w:tcPr>
            <w:tcW w:w="6575" w:type="dxa"/>
            <w:vAlign w:val="center"/>
          </w:tcPr>
          <w:p w14:paraId="72C8915B" w14:textId="77777777" w:rsidR="00664C4D" w:rsidRDefault="00664C4D" w:rsidP="00664C4D">
            <w:pPr>
              <w:spacing w:before="0" w:after="0" w:line="276" w:lineRule="auto"/>
              <w:jc w:val="right"/>
              <w:rPr>
                <w:rFonts w:ascii="Gill Sans MT" w:hAnsi="Gill Sans MT"/>
                <w:sz w:val="18"/>
                <w:szCs w:val="18"/>
              </w:rPr>
            </w:pPr>
            <w:r>
              <w:rPr>
                <w:rFonts w:ascii="Gill Sans MT" w:hAnsi="Gill Sans MT"/>
                <w:sz w:val="18"/>
                <w:szCs w:val="18"/>
              </w:rPr>
              <w:t>… follow themes and debates in lectures</w:t>
            </w:r>
          </w:p>
        </w:tc>
        <w:tc>
          <w:tcPr>
            <w:tcW w:w="5799" w:type="dxa"/>
            <w:shd w:val="clear" w:color="auto" w:fill="auto"/>
            <w:vAlign w:val="center"/>
          </w:tcPr>
          <w:p w14:paraId="137D4B9E"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48CAB41B"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48C54ED3" w14:textId="77777777" w:rsidTr="00664C4D">
        <w:trPr>
          <w:trHeight w:val="227"/>
        </w:trPr>
        <w:tc>
          <w:tcPr>
            <w:tcW w:w="526" w:type="dxa"/>
            <w:vAlign w:val="center"/>
          </w:tcPr>
          <w:p w14:paraId="0B58223B"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1.13</w:t>
            </w:r>
          </w:p>
        </w:tc>
        <w:tc>
          <w:tcPr>
            <w:tcW w:w="6575" w:type="dxa"/>
            <w:vAlign w:val="center"/>
          </w:tcPr>
          <w:p w14:paraId="4F25F1B9"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 prepare thoroughly for tutorials</w:t>
            </w:r>
          </w:p>
        </w:tc>
        <w:tc>
          <w:tcPr>
            <w:tcW w:w="5799" w:type="dxa"/>
            <w:shd w:val="clear" w:color="auto" w:fill="auto"/>
            <w:vAlign w:val="center"/>
          </w:tcPr>
          <w:p w14:paraId="7DB71A33"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7475081E"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46B3A9C2" w14:textId="77777777" w:rsidTr="00664C4D">
        <w:trPr>
          <w:trHeight w:val="227"/>
        </w:trPr>
        <w:tc>
          <w:tcPr>
            <w:tcW w:w="526" w:type="dxa"/>
            <w:vAlign w:val="center"/>
          </w:tcPr>
          <w:p w14:paraId="546DCC18"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1.14</w:t>
            </w:r>
          </w:p>
        </w:tc>
        <w:tc>
          <w:tcPr>
            <w:tcW w:w="6575" w:type="dxa"/>
            <w:vAlign w:val="center"/>
          </w:tcPr>
          <w:p w14:paraId="133B8D96"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 read the recommended background material</w:t>
            </w:r>
          </w:p>
        </w:tc>
        <w:tc>
          <w:tcPr>
            <w:tcW w:w="5799" w:type="dxa"/>
            <w:shd w:val="clear" w:color="auto" w:fill="auto"/>
            <w:vAlign w:val="center"/>
          </w:tcPr>
          <w:p w14:paraId="6EB3774D"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75F4AD92"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4DF7F402" w14:textId="77777777" w:rsidTr="00664C4D">
        <w:trPr>
          <w:trHeight w:val="227"/>
        </w:trPr>
        <w:tc>
          <w:tcPr>
            <w:tcW w:w="526" w:type="dxa"/>
            <w:vAlign w:val="center"/>
          </w:tcPr>
          <w:p w14:paraId="75844AB8"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1.15</w:t>
            </w:r>
          </w:p>
        </w:tc>
        <w:tc>
          <w:tcPr>
            <w:tcW w:w="6575" w:type="dxa"/>
            <w:vAlign w:val="center"/>
          </w:tcPr>
          <w:p w14:paraId="6F336D7A"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…produce coursework of the required standard</w:t>
            </w:r>
          </w:p>
        </w:tc>
        <w:tc>
          <w:tcPr>
            <w:tcW w:w="5799" w:type="dxa"/>
            <w:shd w:val="clear" w:color="auto" w:fill="auto"/>
            <w:vAlign w:val="center"/>
          </w:tcPr>
          <w:p w14:paraId="22FBCC3F"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30D74828"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61E2F164" w14:textId="77777777" w:rsidTr="00664C4D">
        <w:trPr>
          <w:trHeight w:val="227"/>
        </w:trPr>
        <w:tc>
          <w:tcPr>
            <w:tcW w:w="526" w:type="dxa"/>
            <w:vAlign w:val="center"/>
          </w:tcPr>
          <w:p w14:paraId="3C58C386"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1.16</w:t>
            </w:r>
          </w:p>
        </w:tc>
        <w:tc>
          <w:tcPr>
            <w:tcW w:w="6575" w:type="dxa"/>
            <w:vAlign w:val="center"/>
          </w:tcPr>
          <w:p w14:paraId="3451BA81"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…write in an appropriate academic style</w:t>
            </w:r>
          </w:p>
        </w:tc>
        <w:tc>
          <w:tcPr>
            <w:tcW w:w="5799" w:type="dxa"/>
            <w:shd w:val="clear" w:color="auto" w:fill="auto"/>
            <w:vAlign w:val="center"/>
          </w:tcPr>
          <w:p w14:paraId="3E6CC400"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6DA8055F"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23A61829" w14:textId="77777777" w:rsidTr="00664C4D">
        <w:trPr>
          <w:trHeight w:val="227"/>
        </w:trPr>
        <w:tc>
          <w:tcPr>
            <w:tcW w:w="526" w:type="dxa"/>
            <w:vAlign w:val="center"/>
          </w:tcPr>
          <w:p w14:paraId="5A53681C"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1.17</w:t>
            </w:r>
          </w:p>
        </w:tc>
        <w:tc>
          <w:tcPr>
            <w:tcW w:w="6575" w:type="dxa"/>
            <w:vAlign w:val="center"/>
          </w:tcPr>
          <w:p w14:paraId="4CCDF1C2"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…ask for help if you don’t understand something</w:t>
            </w:r>
          </w:p>
        </w:tc>
        <w:tc>
          <w:tcPr>
            <w:tcW w:w="5799" w:type="dxa"/>
            <w:shd w:val="clear" w:color="auto" w:fill="auto"/>
            <w:vAlign w:val="center"/>
          </w:tcPr>
          <w:p w14:paraId="13C0756C"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596570D2"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407B000D" w14:textId="77777777" w:rsidTr="00664C4D">
        <w:trPr>
          <w:trHeight w:val="227"/>
        </w:trPr>
        <w:tc>
          <w:tcPr>
            <w:tcW w:w="526" w:type="dxa"/>
            <w:vAlign w:val="center"/>
          </w:tcPr>
          <w:p w14:paraId="35F997A4"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1.18</w:t>
            </w:r>
          </w:p>
        </w:tc>
        <w:tc>
          <w:tcPr>
            <w:tcW w:w="6575" w:type="dxa"/>
            <w:vAlign w:val="center"/>
          </w:tcPr>
          <w:p w14:paraId="433B31A4"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…be on time for lectures</w:t>
            </w:r>
          </w:p>
        </w:tc>
        <w:tc>
          <w:tcPr>
            <w:tcW w:w="5799" w:type="dxa"/>
            <w:shd w:val="clear" w:color="auto" w:fill="auto"/>
            <w:vAlign w:val="center"/>
          </w:tcPr>
          <w:p w14:paraId="50EC29DB"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0F0EA921"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6F4FB52D" w14:textId="77777777" w:rsidTr="00664C4D">
        <w:trPr>
          <w:trHeight w:val="227"/>
        </w:trPr>
        <w:tc>
          <w:tcPr>
            <w:tcW w:w="526" w:type="dxa"/>
            <w:vAlign w:val="center"/>
          </w:tcPr>
          <w:p w14:paraId="49BDBAE1"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1.19</w:t>
            </w:r>
          </w:p>
        </w:tc>
        <w:tc>
          <w:tcPr>
            <w:tcW w:w="6575" w:type="dxa"/>
            <w:vAlign w:val="center"/>
          </w:tcPr>
          <w:p w14:paraId="0EB72082"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…make the most of the opportunity of studying for a degree at university</w:t>
            </w:r>
          </w:p>
        </w:tc>
        <w:tc>
          <w:tcPr>
            <w:tcW w:w="5799" w:type="dxa"/>
            <w:shd w:val="clear" w:color="auto" w:fill="auto"/>
            <w:vAlign w:val="center"/>
          </w:tcPr>
          <w:p w14:paraId="2266DBBE"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5F08CA8F"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1F68D733" w14:textId="77777777" w:rsidTr="00664C4D">
        <w:trPr>
          <w:trHeight w:val="227"/>
        </w:trPr>
        <w:tc>
          <w:tcPr>
            <w:tcW w:w="526" w:type="dxa"/>
            <w:vAlign w:val="center"/>
          </w:tcPr>
          <w:p w14:paraId="5FE66865"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1.20</w:t>
            </w:r>
          </w:p>
        </w:tc>
        <w:tc>
          <w:tcPr>
            <w:tcW w:w="6575" w:type="dxa"/>
            <w:vAlign w:val="center"/>
          </w:tcPr>
          <w:p w14:paraId="253FDE02"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 pass assessments at the first attempt</w:t>
            </w:r>
          </w:p>
        </w:tc>
        <w:tc>
          <w:tcPr>
            <w:tcW w:w="5799" w:type="dxa"/>
            <w:shd w:val="clear" w:color="auto" w:fill="auto"/>
            <w:vAlign w:val="center"/>
          </w:tcPr>
          <w:p w14:paraId="1E34BB1C"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67FAE67A"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4FA43116" w14:textId="77777777" w:rsidTr="00664C4D">
        <w:trPr>
          <w:trHeight w:val="227"/>
        </w:trPr>
        <w:tc>
          <w:tcPr>
            <w:tcW w:w="526" w:type="dxa"/>
            <w:vAlign w:val="center"/>
          </w:tcPr>
          <w:p w14:paraId="14148331"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1.21</w:t>
            </w:r>
          </w:p>
        </w:tc>
        <w:tc>
          <w:tcPr>
            <w:tcW w:w="6575" w:type="dxa"/>
            <w:vAlign w:val="center"/>
          </w:tcPr>
          <w:p w14:paraId="71F9A319"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 plan appropriate revision schedules</w:t>
            </w:r>
          </w:p>
        </w:tc>
        <w:tc>
          <w:tcPr>
            <w:tcW w:w="5799" w:type="dxa"/>
            <w:shd w:val="clear" w:color="auto" w:fill="auto"/>
            <w:vAlign w:val="center"/>
          </w:tcPr>
          <w:p w14:paraId="10F2EE0C"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52A2EE7E"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47B75B02" w14:textId="77777777" w:rsidTr="00664C4D">
        <w:trPr>
          <w:trHeight w:val="227"/>
        </w:trPr>
        <w:tc>
          <w:tcPr>
            <w:tcW w:w="526" w:type="dxa"/>
            <w:vAlign w:val="center"/>
          </w:tcPr>
          <w:p w14:paraId="68FC069C"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1.22</w:t>
            </w:r>
          </w:p>
        </w:tc>
        <w:tc>
          <w:tcPr>
            <w:tcW w:w="6575" w:type="dxa"/>
            <w:vAlign w:val="center"/>
          </w:tcPr>
          <w:p w14:paraId="279684E9"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…remain adequately motivated throughout</w:t>
            </w:r>
          </w:p>
        </w:tc>
        <w:tc>
          <w:tcPr>
            <w:tcW w:w="5799" w:type="dxa"/>
            <w:shd w:val="clear" w:color="auto" w:fill="auto"/>
            <w:vAlign w:val="center"/>
          </w:tcPr>
          <w:p w14:paraId="5475AA3F"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4111174A"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7FE43C2F" w14:textId="77777777" w:rsidTr="00664C4D">
        <w:trPr>
          <w:trHeight w:val="227"/>
        </w:trPr>
        <w:tc>
          <w:tcPr>
            <w:tcW w:w="526" w:type="dxa"/>
            <w:vAlign w:val="center"/>
          </w:tcPr>
          <w:p w14:paraId="602B2F7F"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1.23</w:t>
            </w:r>
          </w:p>
        </w:tc>
        <w:tc>
          <w:tcPr>
            <w:tcW w:w="6575" w:type="dxa"/>
            <w:vAlign w:val="center"/>
          </w:tcPr>
          <w:p w14:paraId="73C9F7D2"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 produce your best work in coursework assignments</w:t>
            </w:r>
          </w:p>
        </w:tc>
        <w:tc>
          <w:tcPr>
            <w:tcW w:w="5799" w:type="dxa"/>
            <w:shd w:val="clear" w:color="auto" w:fill="auto"/>
            <w:vAlign w:val="center"/>
          </w:tcPr>
          <w:p w14:paraId="26352794"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603C2F02"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27079C10" w14:textId="77777777" w:rsidTr="00664C4D">
        <w:trPr>
          <w:trHeight w:val="227"/>
        </w:trPr>
        <w:tc>
          <w:tcPr>
            <w:tcW w:w="526" w:type="dxa"/>
            <w:vAlign w:val="center"/>
          </w:tcPr>
          <w:p w14:paraId="71E5DCD2"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1.24</w:t>
            </w:r>
          </w:p>
        </w:tc>
        <w:tc>
          <w:tcPr>
            <w:tcW w:w="6575" w:type="dxa"/>
            <w:vAlign w:val="center"/>
          </w:tcPr>
          <w:p w14:paraId="1A5546F9"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…attend tutorials</w:t>
            </w:r>
          </w:p>
        </w:tc>
        <w:tc>
          <w:tcPr>
            <w:tcW w:w="5799" w:type="dxa"/>
            <w:shd w:val="clear" w:color="auto" w:fill="auto"/>
            <w:vAlign w:val="center"/>
          </w:tcPr>
          <w:p w14:paraId="54907A79"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45B760C1"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086D4840" w14:textId="77777777" w:rsidTr="00664C4D">
        <w:trPr>
          <w:trHeight w:val="227"/>
        </w:trPr>
        <w:tc>
          <w:tcPr>
            <w:tcW w:w="526" w:type="dxa"/>
            <w:vAlign w:val="center"/>
          </w:tcPr>
          <w:p w14:paraId="69FAE462" w14:textId="77777777" w:rsidR="00664C4D" w:rsidRPr="00B81BD6" w:rsidRDefault="00664C4D" w:rsidP="00664C4D">
            <w:pPr>
              <w:spacing w:before="0" w:after="0" w:line="276" w:lineRule="auto"/>
              <w:jc w:val="right"/>
              <w:rPr>
                <w:rFonts w:ascii="Gill Sans MT" w:hAnsi="Gill Sans MT"/>
                <w:sz w:val="18"/>
                <w:szCs w:val="18"/>
              </w:rPr>
            </w:pPr>
          </w:p>
        </w:tc>
        <w:tc>
          <w:tcPr>
            <w:tcW w:w="6575" w:type="dxa"/>
            <w:vAlign w:val="center"/>
          </w:tcPr>
          <w:p w14:paraId="591863E2" w14:textId="77777777" w:rsidR="00664C4D" w:rsidRPr="00B81BD6" w:rsidRDefault="00664C4D" w:rsidP="00664C4D">
            <w:pPr>
              <w:spacing w:before="0" w:after="0" w:line="276" w:lineRule="auto"/>
              <w:jc w:val="right"/>
              <w:rPr>
                <w:rFonts w:ascii="Gill Sans MT" w:hAnsi="Gill Sans MT"/>
                <w:sz w:val="18"/>
                <w:szCs w:val="18"/>
              </w:rPr>
            </w:pPr>
          </w:p>
        </w:tc>
        <w:tc>
          <w:tcPr>
            <w:tcW w:w="5799" w:type="dxa"/>
            <w:shd w:val="clear" w:color="auto" w:fill="auto"/>
            <w:vAlign w:val="center"/>
          </w:tcPr>
          <w:p w14:paraId="17BCBE9A" w14:textId="77777777" w:rsidR="00664C4D" w:rsidRDefault="00664C4D" w:rsidP="00664C4D">
            <w:pPr>
              <w:spacing w:before="0" w:after="0" w:line="276" w:lineRule="auto"/>
              <w:rPr>
                <w:rFonts w:ascii="Gill Sans MT" w:hAnsi="Gill Sans MT"/>
                <w:sz w:val="18"/>
                <w:szCs w:val="18"/>
              </w:rPr>
            </w:pPr>
          </w:p>
        </w:tc>
        <w:tc>
          <w:tcPr>
            <w:tcW w:w="1134" w:type="dxa"/>
            <w:shd w:val="clear" w:color="auto" w:fill="auto"/>
            <w:vAlign w:val="center"/>
          </w:tcPr>
          <w:p w14:paraId="3EE8EA32" w14:textId="77777777" w:rsidR="00664C4D" w:rsidRDefault="00664C4D" w:rsidP="00664C4D">
            <w:pPr>
              <w:spacing w:before="0" w:after="0" w:line="276" w:lineRule="auto"/>
              <w:rPr>
                <w:rFonts w:ascii="Gill Sans MT" w:hAnsi="Gill Sans MT"/>
                <w:sz w:val="18"/>
                <w:szCs w:val="18"/>
              </w:rPr>
            </w:pPr>
          </w:p>
        </w:tc>
      </w:tr>
    </w:tbl>
    <w:p w14:paraId="637968AF" w14:textId="77777777" w:rsidR="00664C4D" w:rsidRDefault="00664C4D" w:rsidP="00664C4D">
      <w:pPr>
        <w:spacing w:before="0" w:after="200" w:line="276" w:lineRule="auto"/>
        <w:jc w:val="both"/>
      </w:pPr>
    </w:p>
    <w:p w14:paraId="43B1EC92" w14:textId="77777777" w:rsidR="00664C4D" w:rsidRDefault="00664C4D" w:rsidP="00664C4D">
      <w:pPr>
        <w:spacing w:before="0" w:after="200" w:line="276" w:lineRule="auto"/>
        <w:jc w:val="both"/>
      </w:pPr>
      <w:r>
        <w:br w:type="page"/>
      </w:r>
    </w:p>
    <w:tbl>
      <w:tblPr>
        <w:tblStyle w:val="TableGrid"/>
        <w:tblW w:w="1403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6575"/>
        <w:gridCol w:w="5799"/>
        <w:gridCol w:w="1134"/>
      </w:tblGrid>
      <w:tr w:rsidR="00664C4D" w:rsidRPr="00B81BD6" w14:paraId="73F0BDBC" w14:textId="77777777" w:rsidTr="00664C4D">
        <w:trPr>
          <w:trHeight w:val="227"/>
        </w:trPr>
        <w:tc>
          <w:tcPr>
            <w:tcW w:w="7101" w:type="dxa"/>
            <w:gridSpan w:val="2"/>
            <w:vAlign w:val="center"/>
          </w:tcPr>
          <w:p w14:paraId="1BCD8591" w14:textId="77777777" w:rsidR="00664C4D" w:rsidRDefault="00664C4D" w:rsidP="00664C4D">
            <w:pPr>
              <w:pStyle w:val="Heading5"/>
              <w:outlineLvl w:val="4"/>
              <w:rPr>
                <w:rFonts w:ascii="Gill Sans MT" w:hAnsi="Gill Sans MT"/>
                <w:szCs w:val="18"/>
              </w:rPr>
            </w:pPr>
            <w:r>
              <w:lastRenderedPageBreak/>
              <w:t>Section 3</w:t>
            </w:r>
          </w:p>
        </w:tc>
        <w:tc>
          <w:tcPr>
            <w:tcW w:w="5799" w:type="dxa"/>
            <w:vAlign w:val="center"/>
          </w:tcPr>
          <w:p w14:paraId="3689CE10" w14:textId="77777777" w:rsidR="00664C4D" w:rsidRPr="00B81BD6" w:rsidRDefault="00664C4D" w:rsidP="00664C4D">
            <w:pPr>
              <w:spacing w:before="0" w:after="0" w:line="276" w:lineRule="auto"/>
              <w:rPr>
                <w:rFonts w:ascii="Gill Sans MT" w:hAnsi="Gill Sans MT"/>
                <w:sz w:val="18"/>
                <w:szCs w:val="18"/>
              </w:rPr>
            </w:pPr>
          </w:p>
        </w:tc>
        <w:tc>
          <w:tcPr>
            <w:tcW w:w="1134" w:type="dxa"/>
            <w:vAlign w:val="center"/>
          </w:tcPr>
          <w:p w14:paraId="5FB3131A"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5A19790B" w14:textId="77777777" w:rsidTr="00664C4D">
        <w:trPr>
          <w:trHeight w:val="340"/>
        </w:trPr>
        <w:tc>
          <w:tcPr>
            <w:tcW w:w="14034" w:type="dxa"/>
            <w:gridSpan w:val="4"/>
            <w:vAlign w:val="center"/>
          </w:tcPr>
          <w:p w14:paraId="75ABC7B6" w14:textId="77777777" w:rsidR="00664C4D" w:rsidRPr="00B81BD6" w:rsidRDefault="00664C4D" w:rsidP="00664C4D">
            <w:pPr>
              <w:spacing w:before="0" w:after="0" w:line="276" w:lineRule="auto"/>
              <w:rPr>
                <w:rFonts w:ascii="Gill Sans MT" w:hAnsi="Gill Sans MT"/>
                <w:sz w:val="18"/>
                <w:szCs w:val="18"/>
              </w:rPr>
            </w:pPr>
            <w:r>
              <w:rPr>
                <w:rFonts w:ascii="Gill Sans MT" w:hAnsi="Gill Sans MT"/>
                <w:sz w:val="18"/>
                <w:szCs w:val="18"/>
              </w:rPr>
              <w:t>Everyone has learning strengths – perhaps creativity is one of yours; challenges – dyslexia for example; and preferences – maybe listening rather than reading. So this next section of 36 statements is asking you to reflect on your profile of strengths, challenges and preferences and judge how they impact on your academic progress and achievement</w:t>
            </w:r>
          </w:p>
        </w:tc>
      </w:tr>
      <w:tr w:rsidR="00664C4D" w:rsidRPr="00B81BD6" w14:paraId="0AAFDF9B" w14:textId="77777777" w:rsidTr="00664C4D">
        <w:trPr>
          <w:trHeight w:val="227"/>
        </w:trPr>
        <w:tc>
          <w:tcPr>
            <w:tcW w:w="526" w:type="dxa"/>
            <w:vAlign w:val="center"/>
          </w:tcPr>
          <w:p w14:paraId="1E457271" w14:textId="77777777" w:rsidR="00664C4D" w:rsidRPr="00B81BD6" w:rsidRDefault="00664C4D" w:rsidP="00664C4D">
            <w:pPr>
              <w:spacing w:before="0" w:after="0" w:line="276" w:lineRule="auto"/>
              <w:jc w:val="right"/>
              <w:rPr>
                <w:rFonts w:ascii="Gill Sans MT" w:hAnsi="Gill Sans MT"/>
                <w:sz w:val="18"/>
                <w:szCs w:val="18"/>
              </w:rPr>
            </w:pPr>
          </w:p>
        </w:tc>
        <w:tc>
          <w:tcPr>
            <w:tcW w:w="6575" w:type="dxa"/>
            <w:vAlign w:val="center"/>
          </w:tcPr>
          <w:p w14:paraId="69440B8D" w14:textId="77777777" w:rsidR="00664C4D" w:rsidRPr="00B81BD6" w:rsidRDefault="00664C4D" w:rsidP="00664C4D">
            <w:pPr>
              <w:spacing w:before="0" w:after="0" w:line="276" w:lineRule="auto"/>
              <w:jc w:val="right"/>
              <w:rPr>
                <w:rFonts w:ascii="Gill Sans MT" w:hAnsi="Gill Sans MT"/>
                <w:sz w:val="18"/>
                <w:szCs w:val="18"/>
              </w:rPr>
            </w:pPr>
          </w:p>
        </w:tc>
        <w:tc>
          <w:tcPr>
            <w:tcW w:w="5799" w:type="dxa"/>
            <w:shd w:val="clear" w:color="auto" w:fill="auto"/>
            <w:vAlign w:val="center"/>
          </w:tcPr>
          <w:p w14:paraId="727C0A65" w14:textId="77777777" w:rsidR="00664C4D" w:rsidRPr="00D008FD" w:rsidRDefault="00664C4D" w:rsidP="00664C4D">
            <w:pPr>
              <w:spacing w:before="0" w:after="0" w:line="276" w:lineRule="auto"/>
              <w:jc w:val="center"/>
              <w:rPr>
                <w:rFonts w:ascii="Gill Sans MT" w:hAnsi="Gill Sans MT"/>
                <w:sz w:val="16"/>
                <w:szCs w:val="16"/>
              </w:rPr>
            </w:pPr>
            <w:r w:rsidRPr="00D008FD">
              <w:rPr>
                <w:rFonts w:ascii="Gill Sans MT" w:hAnsi="Gill Sans MT"/>
                <w:sz w:val="16"/>
                <w:szCs w:val="16"/>
              </w:rPr>
              <w:t xml:space="preserve">0% = </w:t>
            </w:r>
            <w:r>
              <w:rPr>
                <w:rFonts w:ascii="Gill Sans MT" w:hAnsi="Gill Sans MT"/>
                <w:sz w:val="16"/>
                <w:szCs w:val="16"/>
              </w:rPr>
              <w:t xml:space="preserve">strongly disagree </w:t>
            </w:r>
            <w:r w:rsidRPr="00D008FD">
              <w:rPr>
                <w:rFonts w:ascii="Gill Sans MT" w:hAnsi="Gill Sans MT"/>
                <w:sz w:val="16"/>
                <w:szCs w:val="16"/>
              </w:rPr>
              <w:t>&lt;-&gt; 50% = undecided or neutral &lt;-&gt; 100% =</w:t>
            </w:r>
            <w:r>
              <w:rPr>
                <w:rFonts w:ascii="Gill Sans MT" w:hAnsi="Gill Sans MT"/>
                <w:sz w:val="16"/>
                <w:szCs w:val="16"/>
              </w:rPr>
              <w:t xml:space="preserve"> strongly agree</w:t>
            </w:r>
          </w:p>
        </w:tc>
        <w:tc>
          <w:tcPr>
            <w:tcW w:w="1134" w:type="dxa"/>
            <w:shd w:val="clear" w:color="auto" w:fill="auto"/>
            <w:vAlign w:val="center"/>
          </w:tcPr>
          <w:p w14:paraId="1BA7AD4B"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039FE1F5" w14:textId="77777777" w:rsidTr="00664C4D">
        <w:trPr>
          <w:trHeight w:val="227"/>
        </w:trPr>
        <w:tc>
          <w:tcPr>
            <w:tcW w:w="526" w:type="dxa"/>
            <w:vAlign w:val="center"/>
          </w:tcPr>
          <w:p w14:paraId="1821EA1E" w14:textId="77777777" w:rsidR="00664C4D" w:rsidRPr="004307D4" w:rsidRDefault="00664C4D" w:rsidP="00664C4D">
            <w:pPr>
              <w:spacing w:before="0" w:after="0" w:line="276" w:lineRule="auto"/>
              <w:rPr>
                <w:rFonts w:ascii="Gill Sans MT" w:hAnsi="Gill Sans MT"/>
                <w:color w:val="FFFFFF" w:themeColor="background1"/>
                <w:sz w:val="18"/>
                <w:szCs w:val="18"/>
              </w:rPr>
            </w:pPr>
          </w:p>
        </w:tc>
        <w:tc>
          <w:tcPr>
            <w:tcW w:w="6575" w:type="dxa"/>
            <w:shd w:val="clear" w:color="auto" w:fill="3B3838" w:themeFill="background2" w:themeFillShade="40"/>
            <w:vAlign w:val="center"/>
          </w:tcPr>
          <w:p w14:paraId="681F4C33" w14:textId="77777777" w:rsidR="00664C4D" w:rsidRPr="004307D4" w:rsidRDefault="00664C4D" w:rsidP="00664C4D">
            <w:pPr>
              <w:spacing w:before="0" w:after="0" w:line="276" w:lineRule="auto"/>
              <w:rPr>
                <w:rFonts w:ascii="Gill Sans MT" w:hAnsi="Gill Sans MT"/>
                <w:color w:val="FFFFFF" w:themeColor="background1"/>
                <w:sz w:val="18"/>
                <w:szCs w:val="18"/>
              </w:rPr>
            </w:pPr>
            <w:r>
              <w:rPr>
                <w:rFonts w:ascii="Gill Sans MT" w:hAnsi="Gill Sans MT"/>
                <w:color w:val="FFFFFF" w:themeColor="background1"/>
                <w:sz w:val="18"/>
                <w:szCs w:val="18"/>
              </w:rPr>
              <w:t>To what extent do you agree or disagree with these statements …</w:t>
            </w:r>
          </w:p>
        </w:tc>
        <w:tc>
          <w:tcPr>
            <w:tcW w:w="5799" w:type="dxa"/>
            <w:shd w:val="clear" w:color="auto" w:fill="auto"/>
            <w:vAlign w:val="center"/>
          </w:tcPr>
          <w:p w14:paraId="13BB2F6D" w14:textId="77777777" w:rsidR="00664C4D" w:rsidRPr="00B81BD6" w:rsidRDefault="00664C4D" w:rsidP="00664C4D">
            <w:pPr>
              <w:spacing w:before="0" w:after="0" w:line="276" w:lineRule="auto"/>
              <w:rPr>
                <w:rFonts w:ascii="Gill Sans MT" w:hAnsi="Gill Sans MT"/>
                <w:sz w:val="18"/>
                <w:szCs w:val="18"/>
              </w:rPr>
            </w:pPr>
          </w:p>
        </w:tc>
        <w:tc>
          <w:tcPr>
            <w:tcW w:w="1134" w:type="dxa"/>
            <w:shd w:val="clear" w:color="auto" w:fill="auto"/>
            <w:vAlign w:val="center"/>
          </w:tcPr>
          <w:p w14:paraId="0F17157C" w14:textId="77777777" w:rsidR="00664C4D" w:rsidRPr="00B81BD6" w:rsidRDefault="00664C4D" w:rsidP="00664C4D">
            <w:pPr>
              <w:spacing w:before="0" w:after="0" w:line="276" w:lineRule="auto"/>
              <w:rPr>
                <w:rFonts w:ascii="Gill Sans MT" w:hAnsi="Gill Sans MT"/>
                <w:sz w:val="18"/>
                <w:szCs w:val="18"/>
              </w:rPr>
            </w:pPr>
            <w:r>
              <w:rPr>
                <w:rFonts w:ascii="Gill Sans MT" w:hAnsi="Gill Sans MT"/>
                <w:sz w:val="18"/>
                <w:szCs w:val="18"/>
              </w:rPr>
              <w:t>%agreement</w:t>
            </w:r>
          </w:p>
        </w:tc>
      </w:tr>
      <w:tr w:rsidR="00664C4D" w:rsidRPr="00B81BD6" w14:paraId="56A12882" w14:textId="77777777" w:rsidTr="00664C4D">
        <w:trPr>
          <w:trHeight w:val="227"/>
        </w:trPr>
        <w:tc>
          <w:tcPr>
            <w:tcW w:w="526" w:type="dxa"/>
            <w:vAlign w:val="center"/>
          </w:tcPr>
          <w:p w14:paraId="27AC386A"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2.11</w:t>
            </w:r>
          </w:p>
        </w:tc>
        <w:tc>
          <w:tcPr>
            <w:tcW w:w="6575" w:type="dxa"/>
            <w:vAlign w:val="center"/>
          </w:tcPr>
          <w:p w14:paraId="14FD0E21"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am able to settle down to my work anytime, anyplace</w:t>
            </w:r>
          </w:p>
        </w:tc>
        <w:tc>
          <w:tcPr>
            <w:tcW w:w="5799" w:type="dxa"/>
            <w:shd w:val="clear" w:color="auto" w:fill="auto"/>
            <w:vAlign w:val="center"/>
          </w:tcPr>
          <w:p w14:paraId="4B13D6BD" w14:textId="77777777" w:rsidR="00664C4D" w:rsidRPr="00B81BD6" w:rsidRDefault="00664C4D" w:rsidP="00664C4D">
            <w:pPr>
              <w:spacing w:before="0" w:after="0" w:line="276" w:lineRule="auto"/>
              <w:jc w:val="center"/>
              <w:rPr>
                <w:rFonts w:ascii="Gill Sans MT" w:hAnsi="Gill Sans MT"/>
                <w:sz w:val="18"/>
                <w:szCs w:val="18"/>
              </w:rPr>
            </w:pPr>
            <w:r w:rsidRPr="000F0B56">
              <w:rPr>
                <w:rFonts w:ascii="Gill Sans MT" w:hAnsi="Gill Sans MT"/>
                <w:noProof/>
                <w:sz w:val="18"/>
                <w:szCs w:val="18"/>
                <w:lang w:eastAsia="en-GB"/>
              </w:rPr>
              <w:drawing>
                <wp:inline distT="0" distB="0" distL="0" distR="0" wp14:anchorId="57E00744" wp14:editId="4883B2EA">
                  <wp:extent cx="2862469" cy="169286"/>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flipV="1">
                            <a:off x="0" y="0"/>
                            <a:ext cx="2862469" cy="169286"/>
                          </a:xfrm>
                          <a:prstGeom prst="rect">
                            <a:avLst/>
                          </a:prstGeom>
                        </pic:spPr>
                      </pic:pic>
                    </a:graphicData>
                  </a:graphic>
                </wp:inline>
              </w:drawing>
            </w:r>
          </w:p>
        </w:tc>
        <w:tc>
          <w:tcPr>
            <w:tcW w:w="1134" w:type="dxa"/>
            <w:shd w:val="clear" w:color="auto" w:fill="auto"/>
            <w:vAlign w:val="center"/>
          </w:tcPr>
          <w:p w14:paraId="5321E6D4"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50</w:t>
            </w:r>
          </w:p>
        </w:tc>
      </w:tr>
      <w:tr w:rsidR="00664C4D" w:rsidRPr="00B81BD6" w14:paraId="0C789139" w14:textId="77777777" w:rsidTr="00664C4D">
        <w:trPr>
          <w:trHeight w:val="227"/>
        </w:trPr>
        <w:tc>
          <w:tcPr>
            <w:tcW w:w="526" w:type="dxa"/>
            <w:vAlign w:val="center"/>
          </w:tcPr>
          <w:p w14:paraId="7F9BE6BA"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2.12</w:t>
            </w:r>
          </w:p>
        </w:tc>
        <w:tc>
          <w:tcPr>
            <w:tcW w:w="6575" w:type="dxa"/>
            <w:vAlign w:val="center"/>
          </w:tcPr>
          <w:p w14:paraId="1AEF762B"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feel too embarrassed to ask for help with my studies</w:t>
            </w:r>
          </w:p>
        </w:tc>
        <w:tc>
          <w:tcPr>
            <w:tcW w:w="5799" w:type="dxa"/>
            <w:shd w:val="clear" w:color="auto" w:fill="auto"/>
            <w:vAlign w:val="center"/>
          </w:tcPr>
          <w:p w14:paraId="6F950830"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  “  ]</w:t>
            </w:r>
          </w:p>
        </w:tc>
        <w:tc>
          <w:tcPr>
            <w:tcW w:w="1134" w:type="dxa"/>
            <w:shd w:val="clear" w:color="auto" w:fill="auto"/>
            <w:vAlign w:val="center"/>
          </w:tcPr>
          <w:p w14:paraId="43681EF6"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0B949A0B" w14:textId="77777777" w:rsidTr="00664C4D">
        <w:trPr>
          <w:trHeight w:val="227"/>
        </w:trPr>
        <w:tc>
          <w:tcPr>
            <w:tcW w:w="526" w:type="dxa"/>
            <w:vAlign w:val="center"/>
          </w:tcPr>
          <w:p w14:paraId="0867E09F"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2.13</w:t>
            </w:r>
          </w:p>
        </w:tc>
        <w:tc>
          <w:tcPr>
            <w:tcW w:w="6575" w:type="dxa"/>
            <w:vAlign w:val="center"/>
          </w:tcPr>
          <w:p w14:paraId="1420EDFC"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feel guilty about my learning challenges</w:t>
            </w:r>
          </w:p>
        </w:tc>
        <w:tc>
          <w:tcPr>
            <w:tcW w:w="5799" w:type="dxa"/>
            <w:shd w:val="clear" w:color="auto" w:fill="auto"/>
            <w:vAlign w:val="center"/>
          </w:tcPr>
          <w:p w14:paraId="4E569531"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  “  ]</w:t>
            </w:r>
          </w:p>
        </w:tc>
        <w:tc>
          <w:tcPr>
            <w:tcW w:w="1134" w:type="dxa"/>
            <w:shd w:val="clear" w:color="auto" w:fill="auto"/>
            <w:vAlign w:val="center"/>
          </w:tcPr>
          <w:p w14:paraId="6AA65EED"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31B57398" w14:textId="77777777" w:rsidTr="00664C4D">
        <w:trPr>
          <w:trHeight w:val="227"/>
        </w:trPr>
        <w:tc>
          <w:tcPr>
            <w:tcW w:w="526" w:type="dxa"/>
            <w:vAlign w:val="center"/>
          </w:tcPr>
          <w:p w14:paraId="5EE659B5"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2.14</w:t>
            </w:r>
          </w:p>
        </w:tc>
        <w:tc>
          <w:tcPr>
            <w:tcW w:w="6575" w:type="dxa"/>
            <w:vAlign w:val="center"/>
          </w:tcPr>
          <w:p w14:paraId="460C5A0F"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think my student-peers mostly regard my learning challenges as excuses, for laziness for example</w:t>
            </w:r>
          </w:p>
        </w:tc>
        <w:tc>
          <w:tcPr>
            <w:tcW w:w="5799" w:type="dxa"/>
            <w:shd w:val="clear" w:color="auto" w:fill="auto"/>
            <w:vAlign w:val="center"/>
          </w:tcPr>
          <w:p w14:paraId="62E7BB1A"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  “  ]</w:t>
            </w:r>
          </w:p>
        </w:tc>
        <w:tc>
          <w:tcPr>
            <w:tcW w:w="1134" w:type="dxa"/>
            <w:shd w:val="clear" w:color="auto" w:fill="auto"/>
            <w:vAlign w:val="center"/>
          </w:tcPr>
          <w:p w14:paraId="6F01C37D"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2F16A09B" w14:textId="77777777" w:rsidTr="00664C4D">
        <w:trPr>
          <w:trHeight w:val="227"/>
        </w:trPr>
        <w:tc>
          <w:tcPr>
            <w:tcW w:w="526" w:type="dxa"/>
            <w:vAlign w:val="center"/>
          </w:tcPr>
          <w:p w14:paraId="19205853"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2.15</w:t>
            </w:r>
          </w:p>
        </w:tc>
        <w:tc>
          <w:tcPr>
            <w:tcW w:w="6575" w:type="dxa"/>
            <w:vAlign w:val="center"/>
          </w:tcPr>
          <w:p w14:paraId="08E93448"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don’t use any of the learning support services because it makes me feel different</w:t>
            </w:r>
          </w:p>
        </w:tc>
        <w:tc>
          <w:tcPr>
            <w:tcW w:w="5799" w:type="dxa"/>
            <w:shd w:val="clear" w:color="auto" w:fill="auto"/>
            <w:vAlign w:val="center"/>
          </w:tcPr>
          <w:p w14:paraId="7587769C"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68DE314F"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321DD5FA" w14:textId="77777777" w:rsidTr="00664C4D">
        <w:trPr>
          <w:trHeight w:val="227"/>
        </w:trPr>
        <w:tc>
          <w:tcPr>
            <w:tcW w:w="526" w:type="dxa"/>
            <w:vAlign w:val="center"/>
          </w:tcPr>
          <w:p w14:paraId="121C2C49"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2.16</w:t>
            </w:r>
          </w:p>
        </w:tc>
        <w:tc>
          <w:tcPr>
            <w:tcW w:w="6575" w:type="dxa"/>
            <w:vAlign w:val="center"/>
          </w:tcPr>
          <w:p w14:paraId="5DDB950E"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don’t think about my learning challenges much</w:t>
            </w:r>
          </w:p>
        </w:tc>
        <w:tc>
          <w:tcPr>
            <w:tcW w:w="5799" w:type="dxa"/>
            <w:shd w:val="clear" w:color="auto" w:fill="auto"/>
            <w:vAlign w:val="center"/>
          </w:tcPr>
          <w:p w14:paraId="4BF21E31"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227D0B0E"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5FD57D50" w14:textId="77777777" w:rsidTr="00664C4D">
        <w:trPr>
          <w:trHeight w:val="227"/>
        </w:trPr>
        <w:tc>
          <w:tcPr>
            <w:tcW w:w="526" w:type="dxa"/>
            <w:vAlign w:val="center"/>
          </w:tcPr>
          <w:p w14:paraId="3DA6B302"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2.21</w:t>
            </w:r>
          </w:p>
        </w:tc>
        <w:tc>
          <w:tcPr>
            <w:tcW w:w="6575" w:type="dxa"/>
            <w:vAlign w:val="center"/>
          </w:tcPr>
          <w:p w14:paraId="3F2E2FBD"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find it quite difficult to concentrate on my work most of the time</w:t>
            </w:r>
          </w:p>
        </w:tc>
        <w:tc>
          <w:tcPr>
            <w:tcW w:w="5799" w:type="dxa"/>
            <w:shd w:val="clear" w:color="auto" w:fill="auto"/>
            <w:vAlign w:val="center"/>
          </w:tcPr>
          <w:p w14:paraId="69EA4198"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5AE35F8D"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4976CCC1" w14:textId="77777777" w:rsidTr="00664C4D">
        <w:trPr>
          <w:trHeight w:val="227"/>
        </w:trPr>
        <w:tc>
          <w:tcPr>
            <w:tcW w:w="526" w:type="dxa"/>
            <w:vAlign w:val="center"/>
          </w:tcPr>
          <w:p w14:paraId="1C353EC8"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2.22</w:t>
            </w:r>
          </w:p>
        </w:tc>
        <w:tc>
          <w:tcPr>
            <w:tcW w:w="6575" w:type="dxa"/>
            <w:vAlign w:val="center"/>
          </w:tcPr>
          <w:p w14:paraId="41B63488"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don’t think my learning challenges make me any more anxious than anyone else</w:t>
            </w:r>
          </w:p>
        </w:tc>
        <w:tc>
          <w:tcPr>
            <w:tcW w:w="5799" w:type="dxa"/>
            <w:shd w:val="clear" w:color="auto" w:fill="auto"/>
            <w:vAlign w:val="center"/>
          </w:tcPr>
          <w:p w14:paraId="060A0FE4"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4B104012"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6FE8891E" w14:textId="77777777" w:rsidTr="00664C4D">
        <w:trPr>
          <w:trHeight w:val="227"/>
        </w:trPr>
        <w:tc>
          <w:tcPr>
            <w:tcW w:w="526" w:type="dxa"/>
            <w:vAlign w:val="center"/>
          </w:tcPr>
          <w:p w14:paraId="6D99D643"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2.23</w:t>
            </w:r>
          </w:p>
        </w:tc>
        <w:tc>
          <w:tcPr>
            <w:tcW w:w="6575" w:type="dxa"/>
            <w:vAlign w:val="center"/>
          </w:tcPr>
          <w:p w14:paraId="41BDB37D"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use my learning strengths to help me with study strategies</w:t>
            </w:r>
          </w:p>
        </w:tc>
        <w:tc>
          <w:tcPr>
            <w:tcW w:w="5799" w:type="dxa"/>
            <w:shd w:val="clear" w:color="auto" w:fill="auto"/>
            <w:vAlign w:val="center"/>
          </w:tcPr>
          <w:p w14:paraId="259B92A9"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5C562579"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4D154880" w14:textId="77777777" w:rsidTr="00664C4D">
        <w:trPr>
          <w:trHeight w:val="227"/>
        </w:trPr>
        <w:tc>
          <w:tcPr>
            <w:tcW w:w="526" w:type="dxa"/>
            <w:vAlign w:val="center"/>
          </w:tcPr>
          <w:p w14:paraId="46E12EE5"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2.24</w:t>
            </w:r>
          </w:p>
        </w:tc>
        <w:tc>
          <w:tcPr>
            <w:tcW w:w="6575" w:type="dxa"/>
            <w:vAlign w:val="center"/>
          </w:tcPr>
          <w:p w14:paraId="47D0EFB7"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need to work much harder than my friends to get similar grades</w:t>
            </w:r>
          </w:p>
        </w:tc>
        <w:tc>
          <w:tcPr>
            <w:tcW w:w="5799" w:type="dxa"/>
            <w:shd w:val="clear" w:color="auto" w:fill="auto"/>
            <w:vAlign w:val="center"/>
          </w:tcPr>
          <w:p w14:paraId="3589283B"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69D936B9"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312EFAD5" w14:textId="77777777" w:rsidTr="00664C4D">
        <w:trPr>
          <w:trHeight w:val="227"/>
        </w:trPr>
        <w:tc>
          <w:tcPr>
            <w:tcW w:w="526" w:type="dxa"/>
            <w:vAlign w:val="center"/>
          </w:tcPr>
          <w:p w14:paraId="448B228D"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2.25</w:t>
            </w:r>
          </w:p>
        </w:tc>
        <w:tc>
          <w:tcPr>
            <w:tcW w:w="6575" w:type="dxa"/>
            <w:vAlign w:val="center"/>
          </w:tcPr>
          <w:p w14:paraId="28B96313"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often feel frustrated when trying to study</w:t>
            </w:r>
          </w:p>
        </w:tc>
        <w:tc>
          <w:tcPr>
            <w:tcW w:w="5799" w:type="dxa"/>
            <w:shd w:val="clear" w:color="auto" w:fill="auto"/>
            <w:vAlign w:val="center"/>
          </w:tcPr>
          <w:p w14:paraId="6B1AA04C"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77847FFD"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1BFB2AB5" w14:textId="77777777" w:rsidTr="00664C4D">
        <w:trPr>
          <w:trHeight w:val="227"/>
        </w:trPr>
        <w:tc>
          <w:tcPr>
            <w:tcW w:w="526" w:type="dxa"/>
            <w:vAlign w:val="center"/>
          </w:tcPr>
          <w:p w14:paraId="725982D6" w14:textId="77777777" w:rsidR="00664C4D" w:rsidRDefault="00664C4D" w:rsidP="00664C4D">
            <w:pPr>
              <w:spacing w:before="0" w:after="0" w:line="276" w:lineRule="auto"/>
              <w:jc w:val="right"/>
              <w:rPr>
                <w:rFonts w:ascii="Gill Sans MT" w:hAnsi="Gill Sans MT"/>
                <w:sz w:val="18"/>
                <w:szCs w:val="18"/>
              </w:rPr>
            </w:pPr>
            <w:r>
              <w:rPr>
                <w:rFonts w:ascii="Gill Sans MT" w:hAnsi="Gill Sans MT"/>
                <w:sz w:val="18"/>
                <w:szCs w:val="18"/>
              </w:rPr>
              <w:t>2.26</w:t>
            </w:r>
          </w:p>
        </w:tc>
        <w:tc>
          <w:tcPr>
            <w:tcW w:w="6575" w:type="dxa"/>
            <w:vAlign w:val="center"/>
          </w:tcPr>
          <w:p w14:paraId="6EFD3431" w14:textId="77777777" w:rsidR="00664C4D" w:rsidRDefault="00664C4D" w:rsidP="00664C4D">
            <w:pPr>
              <w:spacing w:before="0" w:after="0" w:line="276" w:lineRule="auto"/>
              <w:jc w:val="right"/>
              <w:rPr>
                <w:rFonts w:ascii="Gill Sans MT" w:hAnsi="Gill Sans MT"/>
                <w:sz w:val="18"/>
                <w:szCs w:val="18"/>
              </w:rPr>
            </w:pPr>
            <w:r>
              <w:rPr>
                <w:rFonts w:ascii="Gill Sans MT" w:hAnsi="Gill Sans MT"/>
                <w:sz w:val="18"/>
                <w:szCs w:val="18"/>
              </w:rPr>
              <w:t>I enjoy my studies even more when the work becomes difficult</w:t>
            </w:r>
          </w:p>
        </w:tc>
        <w:tc>
          <w:tcPr>
            <w:tcW w:w="5799" w:type="dxa"/>
            <w:shd w:val="clear" w:color="auto" w:fill="auto"/>
            <w:vAlign w:val="center"/>
          </w:tcPr>
          <w:p w14:paraId="02C81DBC"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5229785B"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019B89FF" w14:textId="77777777" w:rsidTr="00664C4D">
        <w:trPr>
          <w:trHeight w:val="227"/>
        </w:trPr>
        <w:tc>
          <w:tcPr>
            <w:tcW w:w="526" w:type="dxa"/>
            <w:vAlign w:val="center"/>
          </w:tcPr>
          <w:p w14:paraId="0DA21E99"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2.31</w:t>
            </w:r>
          </w:p>
        </w:tc>
        <w:tc>
          <w:tcPr>
            <w:tcW w:w="6575" w:type="dxa"/>
            <w:vAlign w:val="center"/>
          </w:tcPr>
          <w:p w14:paraId="1F7C99F1"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believe that my learning strengths really make a different to my academic progress</w:t>
            </w:r>
          </w:p>
        </w:tc>
        <w:tc>
          <w:tcPr>
            <w:tcW w:w="5799" w:type="dxa"/>
            <w:shd w:val="clear" w:color="auto" w:fill="auto"/>
            <w:vAlign w:val="center"/>
          </w:tcPr>
          <w:p w14:paraId="0A2A7B89"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1AD1E71A"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760EDB2E" w14:textId="77777777" w:rsidTr="00664C4D">
        <w:trPr>
          <w:trHeight w:val="227"/>
        </w:trPr>
        <w:tc>
          <w:tcPr>
            <w:tcW w:w="526" w:type="dxa"/>
            <w:vAlign w:val="center"/>
          </w:tcPr>
          <w:p w14:paraId="47099BEE"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2.32</w:t>
            </w:r>
          </w:p>
        </w:tc>
        <w:tc>
          <w:tcPr>
            <w:tcW w:w="6575" w:type="dxa"/>
            <w:vAlign w:val="center"/>
          </w:tcPr>
          <w:p w14:paraId="56AFDE51"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plan and organize my work carefully which I believe helps me to get good grades</w:t>
            </w:r>
          </w:p>
        </w:tc>
        <w:tc>
          <w:tcPr>
            <w:tcW w:w="5799" w:type="dxa"/>
            <w:shd w:val="clear" w:color="auto" w:fill="auto"/>
            <w:vAlign w:val="center"/>
          </w:tcPr>
          <w:p w14:paraId="33F09B19"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307AE779"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72B4FD4F" w14:textId="77777777" w:rsidTr="00664C4D">
        <w:trPr>
          <w:trHeight w:val="227"/>
        </w:trPr>
        <w:tc>
          <w:tcPr>
            <w:tcW w:w="526" w:type="dxa"/>
            <w:vAlign w:val="center"/>
          </w:tcPr>
          <w:p w14:paraId="32FB65D4"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2.33</w:t>
            </w:r>
          </w:p>
        </w:tc>
        <w:tc>
          <w:tcPr>
            <w:tcW w:w="6575" w:type="dxa"/>
            <w:vAlign w:val="center"/>
          </w:tcPr>
          <w:p w14:paraId="717E4211"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don’t think my learning challenges make any different to the way I tackle my work</w:t>
            </w:r>
          </w:p>
        </w:tc>
        <w:tc>
          <w:tcPr>
            <w:tcW w:w="5799" w:type="dxa"/>
            <w:shd w:val="clear" w:color="auto" w:fill="auto"/>
            <w:vAlign w:val="center"/>
          </w:tcPr>
          <w:p w14:paraId="13B96E08"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4BBED317"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20AF6AF1" w14:textId="77777777" w:rsidTr="00664C4D">
        <w:trPr>
          <w:trHeight w:val="227"/>
        </w:trPr>
        <w:tc>
          <w:tcPr>
            <w:tcW w:w="526" w:type="dxa"/>
            <w:vAlign w:val="center"/>
          </w:tcPr>
          <w:p w14:paraId="2466A561"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2.34</w:t>
            </w:r>
          </w:p>
        </w:tc>
        <w:tc>
          <w:tcPr>
            <w:tcW w:w="6575" w:type="dxa"/>
            <w:vAlign w:val="center"/>
          </w:tcPr>
          <w:p w14:paraId="10E34073"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approach my written work with a high expectation of success</w:t>
            </w:r>
          </w:p>
        </w:tc>
        <w:tc>
          <w:tcPr>
            <w:tcW w:w="5799" w:type="dxa"/>
            <w:shd w:val="clear" w:color="auto" w:fill="auto"/>
            <w:vAlign w:val="center"/>
          </w:tcPr>
          <w:p w14:paraId="792C36D1"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303FF539"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5C3AA461" w14:textId="77777777" w:rsidTr="00664C4D">
        <w:trPr>
          <w:trHeight w:val="227"/>
        </w:trPr>
        <w:tc>
          <w:tcPr>
            <w:tcW w:w="526" w:type="dxa"/>
            <w:vAlign w:val="center"/>
          </w:tcPr>
          <w:p w14:paraId="04A67439"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2.35</w:t>
            </w:r>
          </w:p>
        </w:tc>
        <w:tc>
          <w:tcPr>
            <w:tcW w:w="6575" w:type="dxa"/>
            <w:vAlign w:val="center"/>
          </w:tcPr>
          <w:p w14:paraId="00C56BED"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believe my learning strengths help me to be more creative or innovative</w:t>
            </w:r>
          </w:p>
        </w:tc>
        <w:tc>
          <w:tcPr>
            <w:tcW w:w="5799" w:type="dxa"/>
            <w:shd w:val="clear" w:color="auto" w:fill="auto"/>
            <w:vAlign w:val="center"/>
          </w:tcPr>
          <w:p w14:paraId="30CA25EF"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561E1C90"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0D899028" w14:textId="77777777" w:rsidTr="00664C4D">
        <w:trPr>
          <w:trHeight w:val="227"/>
        </w:trPr>
        <w:tc>
          <w:tcPr>
            <w:tcW w:w="526" w:type="dxa"/>
            <w:vAlign w:val="center"/>
          </w:tcPr>
          <w:p w14:paraId="50C0FA26"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2.36</w:t>
            </w:r>
          </w:p>
        </w:tc>
        <w:tc>
          <w:tcPr>
            <w:tcW w:w="6575" w:type="dxa"/>
            <w:vAlign w:val="center"/>
          </w:tcPr>
          <w:p w14:paraId="164966A3"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can manage my studies quite adequately without any help</w:t>
            </w:r>
          </w:p>
        </w:tc>
        <w:tc>
          <w:tcPr>
            <w:tcW w:w="5799" w:type="dxa"/>
            <w:shd w:val="clear" w:color="auto" w:fill="auto"/>
            <w:vAlign w:val="center"/>
          </w:tcPr>
          <w:p w14:paraId="18F34519"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47AE874E"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2AA76CB7" w14:textId="77777777" w:rsidTr="00664C4D">
        <w:trPr>
          <w:trHeight w:val="227"/>
        </w:trPr>
        <w:tc>
          <w:tcPr>
            <w:tcW w:w="526" w:type="dxa"/>
            <w:vAlign w:val="center"/>
          </w:tcPr>
          <w:p w14:paraId="716C19AE"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2.41</w:t>
            </w:r>
          </w:p>
        </w:tc>
        <w:tc>
          <w:tcPr>
            <w:tcW w:w="6575" w:type="dxa"/>
            <w:vAlign w:val="center"/>
          </w:tcPr>
          <w:p w14:paraId="5B222F88"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often felt pretty stupid at school</w:t>
            </w:r>
          </w:p>
        </w:tc>
        <w:tc>
          <w:tcPr>
            <w:tcW w:w="5799" w:type="dxa"/>
            <w:shd w:val="clear" w:color="auto" w:fill="auto"/>
            <w:vAlign w:val="center"/>
          </w:tcPr>
          <w:p w14:paraId="4986500B"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40B99574"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0258A99F" w14:textId="77777777" w:rsidTr="00664C4D">
        <w:trPr>
          <w:trHeight w:val="227"/>
        </w:trPr>
        <w:tc>
          <w:tcPr>
            <w:tcW w:w="526" w:type="dxa"/>
            <w:vAlign w:val="center"/>
          </w:tcPr>
          <w:p w14:paraId="74027FB2"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2.42</w:t>
            </w:r>
          </w:p>
        </w:tc>
        <w:tc>
          <w:tcPr>
            <w:tcW w:w="6575" w:type="dxa"/>
            <w:vAlign w:val="center"/>
          </w:tcPr>
          <w:p w14:paraId="1EE9B9FD"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If I try hard, I can achieve just as much as anyone else</w:t>
            </w:r>
          </w:p>
        </w:tc>
        <w:tc>
          <w:tcPr>
            <w:tcW w:w="5799" w:type="dxa"/>
            <w:shd w:val="clear" w:color="auto" w:fill="auto"/>
            <w:vAlign w:val="center"/>
          </w:tcPr>
          <w:p w14:paraId="0790EF2A"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5E33BFF9"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0C325B70" w14:textId="77777777" w:rsidTr="00664C4D">
        <w:trPr>
          <w:trHeight w:val="227"/>
        </w:trPr>
        <w:tc>
          <w:tcPr>
            <w:tcW w:w="526" w:type="dxa"/>
            <w:vAlign w:val="center"/>
          </w:tcPr>
          <w:p w14:paraId="1E6FFD66"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2.43</w:t>
            </w:r>
          </w:p>
        </w:tc>
        <w:tc>
          <w:tcPr>
            <w:tcW w:w="6575" w:type="dxa"/>
            <w:vAlign w:val="center"/>
          </w:tcPr>
          <w:p w14:paraId="4958F438"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think I’m good at studying, perhaps even academically talented sometimes</w:t>
            </w:r>
          </w:p>
        </w:tc>
        <w:tc>
          <w:tcPr>
            <w:tcW w:w="5799" w:type="dxa"/>
            <w:shd w:val="clear" w:color="auto" w:fill="auto"/>
            <w:vAlign w:val="center"/>
          </w:tcPr>
          <w:p w14:paraId="749DE1BB"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67E9B785"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034786E5" w14:textId="77777777" w:rsidTr="00664C4D">
        <w:trPr>
          <w:trHeight w:val="227"/>
        </w:trPr>
        <w:tc>
          <w:tcPr>
            <w:tcW w:w="526" w:type="dxa"/>
            <w:vAlign w:val="center"/>
          </w:tcPr>
          <w:p w14:paraId="02EA7D4E"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2.44</w:t>
            </w:r>
          </w:p>
        </w:tc>
        <w:tc>
          <w:tcPr>
            <w:tcW w:w="6575" w:type="dxa"/>
            <w:vAlign w:val="center"/>
          </w:tcPr>
          <w:p w14:paraId="78D5D3DA"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approach my written work with enthusiasm</w:t>
            </w:r>
          </w:p>
        </w:tc>
        <w:tc>
          <w:tcPr>
            <w:tcW w:w="5799" w:type="dxa"/>
            <w:shd w:val="clear" w:color="auto" w:fill="auto"/>
            <w:vAlign w:val="center"/>
          </w:tcPr>
          <w:p w14:paraId="3E2D4D15"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6AF2E4FC"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08664EFB" w14:textId="77777777" w:rsidTr="00664C4D">
        <w:trPr>
          <w:trHeight w:val="227"/>
        </w:trPr>
        <w:tc>
          <w:tcPr>
            <w:tcW w:w="526" w:type="dxa"/>
            <w:vAlign w:val="center"/>
          </w:tcPr>
          <w:p w14:paraId="6A0EAFAB"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2.45</w:t>
            </w:r>
          </w:p>
        </w:tc>
        <w:tc>
          <w:tcPr>
            <w:tcW w:w="6575" w:type="dxa"/>
            <w:vAlign w:val="center"/>
          </w:tcPr>
          <w:p w14:paraId="507620F8"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At times, I think that I’m just hopeless at tackling academic work</w:t>
            </w:r>
          </w:p>
        </w:tc>
        <w:tc>
          <w:tcPr>
            <w:tcW w:w="5799" w:type="dxa"/>
            <w:shd w:val="clear" w:color="auto" w:fill="auto"/>
            <w:vAlign w:val="center"/>
          </w:tcPr>
          <w:p w14:paraId="5EDB9F83"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2A834121"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5B6E868C" w14:textId="77777777" w:rsidTr="00664C4D">
        <w:trPr>
          <w:trHeight w:val="227"/>
        </w:trPr>
        <w:tc>
          <w:tcPr>
            <w:tcW w:w="526" w:type="dxa"/>
            <w:vAlign w:val="center"/>
          </w:tcPr>
          <w:p w14:paraId="57F0AB4E"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2.46</w:t>
            </w:r>
          </w:p>
        </w:tc>
        <w:tc>
          <w:tcPr>
            <w:tcW w:w="6575" w:type="dxa"/>
            <w:vAlign w:val="center"/>
          </w:tcPr>
          <w:p w14:paraId="46E8AB0C"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My contributions in class are usually rubbish, so generally I don’t bother</w:t>
            </w:r>
          </w:p>
        </w:tc>
        <w:tc>
          <w:tcPr>
            <w:tcW w:w="5799" w:type="dxa"/>
            <w:shd w:val="clear" w:color="auto" w:fill="auto"/>
            <w:vAlign w:val="center"/>
          </w:tcPr>
          <w:p w14:paraId="66F6D1C9"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25DAF179"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79D292AB" w14:textId="77777777" w:rsidTr="00664C4D">
        <w:trPr>
          <w:trHeight w:val="227"/>
        </w:trPr>
        <w:tc>
          <w:tcPr>
            <w:tcW w:w="526" w:type="dxa"/>
            <w:vAlign w:val="center"/>
          </w:tcPr>
          <w:p w14:paraId="3A2C8FA9"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2.51</w:t>
            </w:r>
          </w:p>
        </w:tc>
        <w:tc>
          <w:tcPr>
            <w:tcW w:w="6575" w:type="dxa"/>
            <w:vAlign w:val="center"/>
          </w:tcPr>
          <w:p w14:paraId="5A902853"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When I start a new course or topic, I usually think it will be too difficult for me</w:t>
            </w:r>
          </w:p>
        </w:tc>
        <w:tc>
          <w:tcPr>
            <w:tcW w:w="5799" w:type="dxa"/>
            <w:shd w:val="clear" w:color="auto" w:fill="auto"/>
            <w:vAlign w:val="center"/>
          </w:tcPr>
          <w:p w14:paraId="6767E180"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1742D42D"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413AEC87" w14:textId="77777777" w:rsidTr="00664C4D">
        <w:trPr>
          <w:trHeight w:val="227"/>
        </w:trPr>
        <w:tc>
          <w:tcPr>
            <w:tcW w:w="526" w:type="dxa"/>
            <w:vAlign w:val="center"/>
          </w:tcPr>
          <w:p w14:paraId="1E519F89"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2.52</w:t>
            </w:r>
          </w:p>
        </w:tc>
        <w:tc>
          <w:tcPr>
            <w:tcW w:w="6575" w:type="dxa"/>
            <w:vAlign w:val="center"/>
          </w:tcPr>
          <w:p w14:paraId="3C621686"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I’ve had help for dealing with my learning challenges but it hasn’t made any difference</w:t>
            </w:r>
          </w:p>
        </w:tc>
        <w:tc>
          <w:tcPr>
            <w:tcW w:w="5799" w:type="dxa"/>
            <w:shd w:val="clear" w:color="auto" w:fill="auto"/>
            <w:vAlign w:val="center"/>
          </w:tcPr>
          <w:p w14:paraId="1A06DEA9"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1498B3EB"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70AAA88A" w14:textId="77777777" w:rsidTr="00664C4D">
        <w:trPr>
          <w:trHeight w:val="227"/>
        </w:trPr>
        <w:tc>
          <w:tcPr>
            <w:tcW w:w="526" w:type="dxa"/>
            <w:vAlign w:val="center"/>
          </w:tcPr>
          <w:p w14:paraId="0C90CCB1"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2.53</w:t>
            </w:r>
          </w:p>
        </w:tc>
        <w:tc>
          <w:tcPr>
            <w:tcW w:w="6575" w:type="dxa"/>
            <w:vAlign w:val="center"/>
          </w:tcPr>
          <w:p w14:paraId="2A094704"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I’m generally not surprised when I get a low grade</w:t>
            </w:r>
          </w:p>
        </w:tc>
        <w:tc>
          <w:tcPr>
            <w:tcW w:w="5799" w:type="dxa"/>
            <w:shd w:val="clear" w:color="auto" w:fill="auto"/>
            <w:vAlign w:val="center"/>
          </w:tcPr>
          <w:p w14:paraId="40F63E71"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41C654A9"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709468CF" w14:textId="77777777" w:rsidTr="00664C4D">
        <w:trPr>
          <w:trHeight w:val="227"/>
        </w:trPr>
        <w:tc>
          <w:tcPr>
            <w:tcW w:w="526" w:type="dxa"/>
            <w:vAlign w:val="center"/>
          </w:tcPr>
          <w:p w14:paraId="5E10AB78"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2.54</w:t>
            </w:r>
          </w:p>
        </w:tc>
        <w:tc>
          <w:tcPr>
            <w:tcW w:w="6575" w:type="dxa"/>
            <w:vAlign w:val="center"/>
          </w:tcPr>
          <w:p w14:paraId="408F05D1"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will always be held back by my learning challenges</w:t>
            </w:r>
          </w:p>
        </w:tc>
        <w:tc>
          <w:tcPr>
            <w:tcW w:w="5799" w:type="dxa"/>
            <w:shd w:val="clear" w:color="auto" w:fill="auto"/>
            <w:vAlign w:val="center"/>
          </w:tcPr>
          <w:p w14:paraId="49DEF9FE"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0A2961AA"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2943B789" w14:textId="77777777" w:rsidTr="00664C4D">
        <w:trPr>
          <w:trHeight w:val="227"/>
        </w:trPr>
        <w:tc>
          <w:tcPr>
            <w:tcW w:w="526" w:type="dxa"/>
            <w:vAlign w:val="center"/>
          </w:tcPr>
          <w:p w14:paraId="0885B3EE"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2.55</w:t>
            </w:r>
          </w:p>
        </w:tc>
        <w:tc>
          <w:tcPr>
            <w:tcW w:w="6575" w:type="dxa"/>
            <w:vAlign w:val="center"/>
          </w:tcPr>
          <w:p w14:paraId="0C546624"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think that my grades are as much to do with luck as with any effort on my part</w:t>
            </w:r>
          </w:p>
        </w:tc>
        <w:tc>
          <w:tcPr>
            <w:tcW w:w="5799" w:type="dxa"/>
            <w:shd w:val="clear" w:color="auto" w:fill="auto"/>
            <w:vAlign w:val="center"/>
          </w:tcPr>
          <w:p w14:paraId="1CDF1ACB"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36139B90"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11871C21" w14:textId="77777777" w:rsidTr="00664C4D">
        <w:trPr>
          <w:trHeight w:val="227"/>
        </w:trPr>
        <w:tc>
          <w:tcPr>
            <w:tcW w:w="526" w:type="dxa"/>
            <w:vAlign w:val="center"/>
          </w:tcPr>
          <w:p w14:paraId="25E4BC8B"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2.56</w:t>
            </w:r>
          </w:p>
        </w:tc>
        <w:tc>
          <w:tcPr>
            <w:tcW w:w="6575" w:type="dxa"/>
            <w:vAlign w:val="center"/>
          </w:tcPr>
          <w:p w14:paraId="5321D5B2"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However hard I try, this rarely makes a difference to my grades</w:t>
            </w:r>
          </w:p>
        </w:tc>
        <w:tc>
          <w:tcPr>
            <w:tcW w:w="5799" w:type="dxa"/>
            <w:shd w:val="clear" w:color="auto" w:fill="auto"/>
            <w:vAlign w:val="center"/>
          </w:tcPr>
          <w:p w14:paraId="540FE627"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00FD53DE"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04585870" w14:textId="77777777" w:rsidTr="00664C4D">
        <w:trPr>
          <w:trHeight w:val="227"/>
        </w:trPr>
        <w:tc>
          <w:tcPr>
            <w:tcW w:w="526" w:type="dxa"/>
            <w:vAlign w:val="center"/>
          </w:tcPr>
          <w:p w14:paraId="074EE57A"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2.61</w:t>
            </w:r>
          </w:p>
        </w:tc>
        <w:tc>
          <w:tcPr>
            <w:tcW w:w="6575" w:type="dxa"/>
            <w:vAlign w:val="center"/>
          </w:tcPr>
          <w:p w14:paraId="78C61CDF"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usually finish my essays or assignments well in time for the deadline</w:t>
            </w:r>
          </w:p>
        </w:tc>
        <w:tc>
          <w:tcPr>
            <w:tcW w:w="5799" w:type="dxa"/>
            <w:shd w:val="clear" w:color="auto" w:fill="auto"/>
            <w:vAlign w:val="center"/>
          </w:tcPr>
          <w:p w14:paraId="634E8B43"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57416F51"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63D2B0C2" w14:textId="77777777" w:rsidTr="00664C4D">
        <w:trPr>
          <w:trHeight w:val="227"/>
        </w:trPr>
        <w:tc>
          <w:tcPr>
            <w:tcW w:w="526" w:type="dxa"/>
            <w:vAlign w:val="center"/>
          </w:tcPr>
          <w:p w14:paraId="4C456447"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lastRenderedPageBreak/>
              <w:t>2.62</w:t>
            </w:r>
          </w:p>
        </w:tc>
        <w:tc>
          <w:tcPr>
            <w:tcW w:w="6575" w:type="dxa"/>
            <w:vAlign w:val="center"/>
          </w:tcPr>
          <w:p w14:paraId="1D24DC59"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generally put off getting started on my essays or assignments until I really have to</w:t>
            </w:r>
          </w:p>
        </w:tc>
        <w:tc>
          <w:tcPr>
            <w:tcW w:w="5799" w:type="dxa"/>
            <w:shd w:val="clear" w:color="auto" w:fill="auto"/>
            <w:vAlign w:val="center"/>
          </w:tcPr>
          <w:p w14:paraId="2A261308"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11B4E570"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6E49A865" w14:textId="77777777" w:rsidTr="00664C4D">
        <w:trPr>
          <w:trHeight w:val="227"/>
        </w:trPr>
        <w:tc>
          <w:tcPr>
            <w:tcW w:w="526" w:type="dxa"/>
            <w:vAlign w:val="center"/>
          </w:tcPr>
          <w:p w14:paraId="24D3EFB9"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2.63</w:t>
            </w:r>
          </w:p>
        </w:tc>
        <w:tc>
          <w:tcPr>
            <w:tcW w:w="6575" w:type="dxa"/>
            <w:vAlign w:val="center"/>
          </w:tcPr>
          <w:p w14:paraId="71A05F99"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For one reason or another, I often have to request extra time to complete my work</w:t>
            </w:r>
          </w:p>
        </w:tc>
        <w:tc>
          <w:tcPr>
            <w:tcW w:w="5799" w:type="dxa"/>
            <w:shd w:val="clear" w:color="auto" w:fill="auto"/>
            <w:vAlign w:val="center"/>
          </w:tcPr>
          <w:p w14:paraId="30807728"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4B67F5B3"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7C482F8F" w14:textId="77777777" w:rsidTr="00664C4D">
        <w:trPr>
          <w:trHeight w:val="227"/>
        </w:trPr>
        <w:tc>
          <w:tcPr>
            <w:tcW w:w="526" w:type="dxa"/>
            <w:vAlign w:val="center"/>
          </w:tcPr>
          <w:p w14:paraId="1ACE18C3"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2.64</w:t>
            </w:r>
          </w:p>
        </w:tc>
        <w:tc>
          <w:tcPr>
            <w:tcW w:w="6575" w:type="dxa"/>
            <w:vAlign w:val="center"/>
          </w:tcPr>
          <w:p w14:paraId="6F98C43C"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As soon as I’m given an essay or assignment title, I’m usually eager to get going on it straight away</w:t>
            </w:r>
          </w:p>
        </w:tc>
        <w:tc>
          <w:tcPr>
            <w:tcW w:w="5799" w:type="dxa"/>
            <w:shd w:val="clear" w:color="auto" w:fill="auto"/>
            <w:vAlign w:val="center"/>
          </w:tcPr>
          <w:p w14:paraId="52AD1201"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549892E5"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53009ECC" w14:textId="77777777" w:rsidTr="00664C4D">
        <w:trPr>
          <w:trHeight w:val="227"/>
        </w:trPr>
        <w:tc>
          <w:tcPr>
            <w:tcW w:w="526" w:type="dxa"/>
            <w:vAlign w:val="center"/>
          </w:tcPr>
          <w:p w14:paraId="78556F04"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2.65</w:t>
            </w:r>
          </w:p>
        </w:tc>
        <w:tc>
          <w:tcPr>
            <w:tcW w:w="6575" w:type="dxa"/>
            <w:vAlign w:val="center"/>
          </w:tcPr>
          <w:p w14:paraId="0090E637"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My essays or assignments would probably be better if I didn’t have to rush to finish them</w:t>
            </w:r>
          </w:p>
        </w:tc>
        <w:tc>
          <w:tcPr>
            <w:tcW w:w="5799" w:type="dxa"/>
            <w:shd w:val="clear" w:color="auto" w:fill="auto"/>
            <w:vAlign w:val="center"/>
          </w:tcPr>
          <w:p w14:paraId="51DC85E6"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1409B20F"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1040B0F3" w14:textId="77777777" w:rsidTr="00664C4D">
        <w:trPr>
          <w:trHeight w:val="227"/>
        </w:trPr>
        <w:tc>
          <w:tcPr>
            <w:tcW w:w="526" w:type="dxa"/>
            <w:vAlign w:val="center"/>
          </w:tcPr>
          <w:p w14:paraId="59D8DE89"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2.66</w:t>
            </w:r>
          </w:p>
        </w:tc>
        <w:tc>
          <w:tcPr>
            <w:tcW w:w="6575" w:type="dxa"/>
            <w:vAlign w:val="center"/>
          </w:tcPr>
          <w:p w14:paraId="6FDE1338"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often find other things to do rather than working on my studies</w:t>
            </w:r>
          </w:p>
        </w:tc>
        <w:tc>
          <w:tcPr>
            <w:tcW w:w="5799" w:type="dxa"/>
            <w:shd w:val="clear" w:color="auto" w:fill="auto"/>
            <w:vAlign w:val="center"/>
          </w:tcPr>
          <w:p w14:paraId="3594494D"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14CCCF7D"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63A9105A" w14:textId="77777777" w:rsidTr="00664C4D">
        <w:trPr>
          <w:trHeight w:val="227"/>
        </w:trPr>
        <w:tc>
          <w:tcPr>
            <w:tcW w:w="7101" w:type="dxa"/>
            <w:gridSpan w:val="2"/>
          </w:tcPr>
          <w:p w14:paraId="1CD11925" w14:textId="77777777" w:rsidR="00664C4D" w:rsidRDefault="00664C4D" w:rsidP="00664C4D">
            <w:pPr>
              <w:pStyle w:val="Heading5"/>
              <w:outlineLvl w:val="4"/>
            </w:pPr>
          </w:p>
          <w:p w14:paraId="1CBE6321" w14:textId="77777777" w:rsidR="00664C4D" w:rsidRDefault="00664C4D" w:rsidP="00664C4D">
            <w:pPr>
              <w:pStyle w:val="Heading5"/>
              <w:outlineLvl w:val="4"/>
              <w:rPr>
                <w:rFonts w:ascii="Gill Sans MT" w:hAnsi="Gill Sans MT"/>
                <w:szCs w:val="18"/>
              </w:rPr>
            </w:pPr>
            <w:r>
              <w:t>Section 4</w:t>
            </w:r>
          </w:p>
        </w:tc>
        <w:tc>
          <w:tcPr>
            <w:tcW w:w="5799" w:type="dxa"/>
          </w:tcPr>
          <w:p w14:paraId="4EEDB5CA" w14:textId="77777777" w:rsidR="00664C4D" w:rsidRPr="00B81BD6" w:rsidRDefault="00664C4D" w:rsidP="00664C4D">
            <w:pPr>
              <w:spacing w:before="0" w:after="0" w:line="276" w:lineRule="auto"/>
              <w:rPr>
                <w:rFonts w:ascii="Gill Sans MT" w:hAnsi="Gill Sans MT"/>
                <w:sz w:val="18"/>
                <w:szCs w:val="18"/>
              </w:rPr>
            </w:pPr>
          </w:p>
        </w:tc>
        <w:tc>
          <w:tcPr>
            <w:tcW w:w="1134" w:type="dxa"/>
          </w:tcPr>
          <w:p w14:paraId="1063E732"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5D014792" w14:textId="77777777" w:rsidTr="00664C4D">
        <w:trPr>
          <w:trHeight w:val="227"/>
        </w:trPr>
        <w:tc>
          <w:tcPr>
            <w:tcW w:w="14034" w:type="dxa"/>
            <w:gridSpan w:val="4"/>
          </w:tcPr>
          <w:p w14:paraId="67E52675" w14:textId="77777777" w:rsidR="00664C4D" w:rsidRPr="00B81BD6" w:rsidRDefault="00664C4D" w:rsidP="00664C4D">
            <w:pPr>
              <w:spacing w:before="0" w:after="0" w:line="276" w:lineRule="auto"/>
              <w:rPr>
                <w:rFonts w:ascii="Gill Sans MT" w:hAnsi="Gill Sans MT"/>
                <w:sz w:val="18"/>
                <w:szCs w:val="18"/>
              </w:rPr>
            </w:pPr>
            <w:r w:rsidRPr="00117C7E">
              <w:rPr>
                <w:rFonts w:ascii="Gill Sans MT" w:hAnsi="Gill Sans MT"/>
                <w:sz w:val="18"/>
                <w:szCs w:val="18"/>
              </w:rPr>
              <w:t>The fi</w:t>
            </w:r>
            <w:r>
              <w:rPr>
                <w:rFonts w:ascii="Gill Sans MT" w:hAnsi="Gill Sans MT"/>
                <w:sz w:val="18"/>
                <w:szCs w:val="18"/>
              </w:rPr>
              <w:t xml:space="preserve">nal </w:t>
            </w:r>
            <w:r w:rsidRPr="00117C7E">
              <w:rPr>
                <w:rFonts w:ascii="Gill Sans MT" w:hAnsi="Gill Sans MT"/>
                <w:sz w:val="18"/>
                <w:szCs w:val="18"/>
              </w:rPr>
              <w:t>section of 2</w:t>
            </w:r>
            <w:r>
              <w:rPr>
                <w:rFonts w:ascii="Gill Sans MT" w:hAnsi="Gill Sans MT"/>
                <w:sz w:val="18"/>
                <w:szCs w:val="18"/>
              </w:rPr>
              <w:t>0 statements is asking you to reflect on other aspects of approaches to your studying or your learning history – perhaps related to difficulties you may have had at school – and also asks about your time management and organizational skills more generally</w:t>
            </w:r>
          </w:p>
        </w:tc>
      </w:tr>
      <w:tr w:rsidR="00664C4D" w:rsidRPr="00B81BD6" w14:paraId="369B5B79" w14:textId="77777777" w:rsidTr="00664C4D">
        <w:trPr>
          <w:trHeight w:val="227"/>
        </w:trPr>
        <w:tc>
          <w:tcPr>
            <w:tcW w:w="526" w:type="dxa"/>
          </w:tcPr>
          <w:p w14:paraId="1523898D" w14:textId="77777777" w:rsidR="00664C4D" w:rsidRPr="00B81BD6" w:rsidRDefault="00664C4D" w:rsidP="00664C4D">
            <w:pPr>
              <w:spacing w:before="0" w:after="0" w:line="276" w:lineRule="auto"/>
              <w:jc w:val="right"/>
              <w:rPr>
                <w:rFonts w:ascii="Gill Sans MT" w:hAnsi="Gill Sans MT"/>
                <w:sz w:val="18"/>
                <w:szCs w:val="18"/>
              </w:rPr>
            </w:pPr>
          </w:p>
        </w:tc>
        <w:tc>
          <w:tcPr>
            <w:tcW w:w="6575" w:type="dxa"/>
          </w:tcPr>
          <w:p w14:paraId="0F60B414" w14:textId="77777777" w:rsidR="00664C4D" w:rsidRPr="00B81BD6" w:rsidRDefault="00664C4D" w:rsidP="00664C4D">
            <w:pPr>
              <w:spacing w:before="0" w:after="0" w:line="276" w:lineRule="auto"/>
              <w:jc w:val="right"/>
              <w:rPr>
                <w:rFonts w:ascii="Gill Sans MT" w:hAnsi="Gill Sans MT"/>
                <w:sz w:val="18"/>
                <w:szCs w:val="18"/>
              </w:rPr>
            </w:pPr>
          </w:p>
        </w:tc>
        <w:tc>
          <w:tcPr>
            <w:tcW w:w="5799" w:type="dxa"/>
          </w:tcPr>
          <w:p w14:paraId="0BE90C2E" w14:textId="77777777" w:rsidR="00664C4D" w:rsidRPr="00D008FD" w:rsidRDefault="00664C4D" w:rsidP="00664C4D">
            <w:pPr>
              <w:spacing w:before="0" w:after="0" w:line="276" w:lineRule="auto"/>
              <w:jc w:val="center"/>
              <w:rPr>
                <w:rFonts w:ascii="Gill Sans MT" w:hAnsi="Gill Sans MT"/>
                <w:sz w:val="16"/>
                <w:szCs w:val="16"/>
              </w:rPr>
            </w:pPr>
            <w:r w:rsidRPr="00D008FD">
              <w:rPr>
                <w:rFonts w:ascii="Gill Sans MT" w:hAnsi="Gill Sans MT"/>
                <w:sz w:val="16"/>
                <w:szCs w:val="16"/>
              </w:rPr>
              <w:t>0% = not confident at all &lt;-&gt; 50% = undecided or neutral &lt;-&gt; 100% =</w:t>
            </w:r>
            <w:r>
              <w:rPr>
                <w:rFonts w:ascii="Gill Sans MT" w:hAnsi="Gill Sans MT"/>
                <w:sz w:val="16"/>
                <w:szCs w:val="16"/>
              </w:rPr>
              <w:t xml:space="preserve"> very confident</w:t>
            </w:r>
          </w:p>
        </w:tc>
        <w:tc>
          <w:tcPr>
            <w:tcW w:w="1134" w:type="dxa"/>
          </w:tcPr>
          <w:p w14:paraId="0684FAEF"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392A9405" w14:textId="77777777" w:rsidTr="00664C4D">
        <w:trPr>
          <w:trHeight w:val="227"/>
        </w:trPr>
        <w:tc>
          <w:tcPr>
            <w:tcW w:w="526" w:type="dxa"/>
          </w:tcPr>
          <w:p w14:paraId="0110F0BA" w14:textId="77777777" w:rsidR="00664C4D" w:rsidRPr="004307D4" w:rsidRDefault="00664C4D" w:rsidP="00664C4D">
            <w:pPr>
              <w:spacing w:before="0" w:after="0" w:line="276" w:lineRule="auto"/>
              <w:rPr>
                <w:rFonts w:ascii="Gill Sans MT" w:hAnsi="Gill Sans MT"/>
                <w:color w:val="FFFFFF" w:themeColor="background1"/>
                <w:sz w:val="18"/>
                <w:szCs w:val="18"/>
              </w:rPr>
            </w:pPr>
          </w:p>
        </w:tc>
        <w:tc>
          <w:tcPr>
            <w:tcW w:w="6575" w:type="dxa"/>
          </w:tcPr>
          <w:p w14:paraId="01EFB2CA" w14:textId="77777777" w:rsidR="00664C4D" w:rsidRPr="004307D4" w:rsidRDefault="00664C4D" w:rsidP="00664C4D">
            <w:pPr>
              <w:spacing w:before="0" w:after="0" w:line="276" w:lineRule="auto"/>
              <w:rPr>
                <w:rFonts w:ascii="Gill Sans MT" w:hAnsi="Gill Sans MT"/>
                <w:color w:val="FFFFFF" w:themeColor="background1"/>
                <w:sz w:val="18"/>
                <w:szCs w:val="18"/>
              </w:rPr>
            </w:pPr>
            <w:r w:rsidRPr="004307D4">
              <w:rPr>
                <w:rFonts w:ascii="Gill Sans MT" w:hAnsi="Gill Sans MT"/>
                <w:color w:val="FFFFFF" w:themeColor="background1"/>
                <w:sz w:val="18"/>
                <w:szCs w:val="18"/>
              </w:rPr>
              <w:t>How confident are you that you will be able to …</w:t>
            </w:r>
          </w:p>
        </w:tc>
        <w:tc>
          <w:tcPr>
            <w:tcW w:w="5799" w:type="dxa"/>
          </w:tcPr>
          <w:p w14:paraId="63AAB118" w14:textId="77777777" w:rsidR="00664C4D" w:rsidRPr="00B81BD6" w:rsidRDefault="00664C4D" w:rsidP="00664C4D">
            <w:pPr>
              <w:spacing w:before="0" w:after="0" w:line="276" w:lineRule="auto"/>
              <w:rPr>
                <w:rFonts w:ascii="Gill Sans MT" w:hAnsi="Gill Sans MT"/>
                <w:sz w:val="18"/>
                <w:szCs w:val="18"/>
              </w:rPr>
            </w:pPr>
          </w:p>
        </w:tc>
        <w:tc>
          <w:tcPr>
            <w:tcW w:w="1134" w:type="dxa"/>
          </w:tcPr>
          <w:p w14:paraId="2658D686" w14:textId="77777777" w:rsidR="00664C4D" w:rsidRPr="00B81BD6" w:rsidRDefault="00664C4D" w:rsidP="00664C4D">
            <w:pPr>
              <w:spacing w:before="0" w:after="0" w:line="276" w:lineRule="auto"/>
              <w:rPr>
                <w:rFonts w:ascii="Gill Sans MT" w:hAnsi="Gill Sans MT"/>
                <w:sz w:val="18"/>
                <w:szCs w:val="18"/>
              </w:rPr>
            </w:pPr>
            <w:r>
              <w:rPr>
                <w:rFonts w:ascii="Gill Sans MT" w:hAnsi="Gill Sans MT"/>
                <w:sz w:val="18"/>
                <w:szCs w:val="18"/>
              </w:rPr>
              <w:t>% confident</w:t>
            </w:r>
          </w:p>
        </w:tc>
      </w:tr>
      <w:tr w:rsidR="00664C4D" w:rsidRPr="00B81BD6" w14:paraId="2D55E1BB" w14:textId="77777777" w:rsidTr="00664C4D">
        <w:trPr>
          <w:trHeight w:val="227"/>
        </w:trPr>
        <w:tc>
          <w:tcPr>
            <w:tcW w:w="526" w:type="dxa"/>
          </w:tcPr>
          <w:p w14:paraId="317D4647"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3.01</w:t>
            </w:r>
          </w:p>
        </w:tc>
        <w:tc>
          <w:tcPr>
            <w:tcW w:w="6575" w:type="dxa"/>
          </w:tcPr>
          <w:p w14:paraId="2DFDF00E"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When I was learning to read at school, I often felt I was slower than others in my class</w:t>
            </w:r>
          </w:p>
        </w:tc>
        <w:tc>
          <w:tcPr>
            <w:tcW w:w="5799" w:type="dxa"/>
          </w:tcPr>
          <w:p w14:paraId="01EF0FE6" w14:textId="77777777" w:rsidR="00664C4D" w:rsidRPr="00B81BD6" w:rsidRDefault="00664C4D" w:rsidP="00664C4D">
            <w:pPr>
              <w:spacing w:before="0" w:after="0" w:line="276" w:lineRule="auto"/>
              <w:jc w:val="center"/>
              <w:rPr>
                <w:rFonts w:ascii="Gill Sans MT" w:hAnsi="Gill Sans MT"/>
                <w:sz w:val="18"/>
                <w:szCs w:val="18"/>
              </w:rPr>
            </w:pPr>
            <w:r w:rsidRPr="000F0B56">
              <w:rPr>
                <w:rFonts w:ascii="Gill Sans MT" w:hAnsi="Gill Sans MT"/>
                <w:noProof/>
                <w:sz w:val="18"/>
                <w:szCs w:val="18"/>
                <w:lang w:eastAsia="en-GB"/>
              </w:rPr>
              <w:drawing>
                <wp:inline distT="0" distB="0" distL="0" distR="0" wp14:anchorId="7F739478" wp14:editId="1013BB27">
                  <wp:extent cx="2862469" cy="169286"/>
                  <wp:effectExtent l="0" t="0" r="0"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flipV="1">
                            <a:off x="0" y="0"/>
                            <a:ext cx="2862469" cy="169286"/>
                          </a:xfrm>
                          <a:prstGeom prst="rect">
                            <a:avLst/>
                          </a:prstGeom>
                        </pic:spPr>
                      </pic:pic>
                    </a:graphicData>
                  </a:graphic>
                </wp:inline>
              </w:drawing>
            </w:r>
          </w:p>
        </w:tc>
        <w:tc>
          <w:tcPr>
            <w:tcW w:w="1134" w:type="dxa"/>
          </w:tcPr>
          <w:p w14:paraId="4B41909E"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50</w:t>
            </w:r>
          </w:p>
        </w:tc>
      </w:tr>
      <w:tr w:rsidR="00664C4D" w:rsidRPr="00B81BD6" w14:paraId="3329E1A9" w14:textId="77777777" w:rsidTr="00664C4D">
        <w:trPr>
          <w:trHeight w:val="227"/>
        </w:trPr>
        <w:tc>
          <w:tcPr>
            <w:tcW w:w="526" w:type="dxa"/>
          </w:tcPr>
          <w:p w14:paraId="52C195BB"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3.02</w:t>
            </w:r>
          </w:p>
        </w:tc>
        <w:tc>
          <w:tcPr>
            <w:tcW w:w="6575" w:type="dxa"/>
          </w:tcPr>
          <w:p w14:paraId="6799F5C2"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My spelling is generally very good</w:t>
            </w:r>
          </w:p>
        </w:tc>
        <w:tc>
          <w:tcPr>
            <w:tcW w:w="5799" w:type="dxa"/>
          </w:tcPr>
          <w:p w14:paraId="1875F09D"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  “  ]</w:t>
            </w:r>
          </w:p>
        </w:tc>
        <w:tc>
          <w:tcPr>
            <w:tcW w:w="1134" w:type="dxa"/>
          </w:tcPr>
          <w:p w14:paraId="7F9C8867"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4EAB3409" w14:textId="77777777" w:rsidTr="00664C4D">
        <w:trPr>
          <w:trHeight w:val="227"/>
        </w:trPr>
        <w:tc>
          <w:tcPr>
            <w:tcW w:w="526" w:type="dxa"/>
          </w:tcPr>
          <w:p w14:paraId="68C2EF2D"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3.03</w:t>
            </w:r>
          </w:p>
        </w:tc>
        <w:tc>
          <w:tcPr>
            <w:tcW w:w="6575" w:type="dxa"/>
          </w:tcPr>
          <w:p w14:paraId="195E88F0"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find it very challenging to manage my time efficiently</w:t>
            </w:r>
          </w:p>
        </w:tc>
        <w:tc>
          <w:tcPr>
            <w:tcW w:w="5799" w:type="dxa"/>
          </w:tcPr>
          <w:p w14:paraId="5AB80EC4"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  “  ]</w:t>
            </w:r>
          </w:p>
        </w:tc>
        <w:tc>
          <w:tcPr>
            <w:tcW w:w="1134" w:type="dxa"/>
          </w:tcPr>
          <w:p w14:paraId="621B5C27"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689D225A" w14:textId="77777777" w:rsidTr="00664C4D">
        <w:trPr>
          <w:trHeight w:val="227"/>
        </w:trPr>
        <w:tc>
          <w:tcPr>
            <w:tcW w:w="526" w:type="dxa"/>
          </w:tcPr>
          <w:p w14:paraId="18F81E61"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3.04</w:t>
            </w:r>
          </w:p>
        </w:tc>
        <w:tc>
          <w:tcPr>
            <w:tcW w:w="6575" w:type="dxa"/>
          </w:tcPr>
          <w:p w14:paraId="01B2324E"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can explain things to people much more easily verbally than in my writing</w:t>
            </w:r>
          </w:p>
        </w:tc>
        <w:tc>
          <w:tcPr>
            <w:tcW w:w="5799" w:type="dxa"/>
          </w:tcPr>
          <w:p w14:paraId="2C407D41"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  “  ]</w:t>
            </w:r>
          </w:p>
        </w:tc>
        <w:tc>
          <w:tcPr>
            <w:tcW w:w="1134" w:type="dxa"/>
          </w:tcPr>
          <w:p w14:paraId="4111F2D1"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135F5DA2" w14:textId="77777777" w:rsidTr="00664C4D">
        <w:trPr>
          <w:trHeight w:val="227"/>
        </w:trPr>
        <w:tc>
          <w:tcPr>
            <w:tcW w:w="526" w:type="dxa"/>
          </w:tcPr>
          <w:p w14:paraId="6F3BBC25"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3.05</w:t>
            </w:r>
          </w:p>
        </w:tc>
        <w:tc>
          <w:tcPr>
            <w:tcW w:w="6575" w:type="dxa"/>
          </w:tcPr>
          <w:p w14:paraId="61ADD565"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think I’m a highly organized learner</w:t>
            </w:r>
          </w:p>
        </w:tc>
        <w:tc>
          <w:tcPr>
            <w:tcW w:w="5799" w:type="dxa"/>
          </w:tcPr>
          <w:p w14:paraId="64E06A91"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tcPr>
          <w:p w14:paraId="10652594"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6DDC5A2E" w14:textId="77777777" w:rsidTr="00664C4D">
        <w:trPr>
          <w:trHeight w:val="227"/>
        </w:trPr>
        <w:tc>
          <w:tcPr>
            <w:tcW w:w="526" w:type="dxa"/>
          </w:tcPr>
          <w:p w14:paraId="4C97D28A"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3.06</w:t>
            </w:r>
          </w:p>
        </w:tc>
        <w:tc>
          <w:tcPr>
            <w:tcW w:w="6575" w:type="dxa"/>
          </w:tcPr>
          <w:p w14:paraId="7774C4EE"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In my writing, I frequently use the wrong word for my intended meaning</w:t>
            </w:r>
          </w:p>
        </w:tc>
        <w:tc>
          <w:tcPr>
            <w:tcW w:w="5799" w:type="dxa"/>
          </w:tcPr>
          <w:p w14:paraId="55B3E5A1"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tcPr>
          <w:p w14:paraId="717D4566"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47AD77F5" w14:textId="77777777" w:rsidTr="00664C4D">
        <w:trPr>
          <w:trHeight w:val="227"/>
        </w:trPr>
        <w:tc>
          <w:tcPr>
            <w:tcW w:w="526" w:type="dxa"/>
          </w:tcPr>
          <w:p w14:paraId="397C87EE"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3.07</w:t>
            </w:r>
          </w:p>
        </w:tc>
        <w:tc>
          <w:tcPr>
            <w:tcW w:w="6575" w:type="dxa"/>
          </w:tcPr>
          <w:p w14:paraId="79777A9E"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generally remember appointments and arrive on time</w:t>
            </w:r>
          </w:p>
        </w:tc>
        <w:tc>
          <w:tcPr>
            <w:tcW w:w="5799" w:type="dxa"/>
          </w:tcPr>
          <w:p w14:paraId="77A7F256"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tcPr>
          <w:p w14:paraId="0108BFA9"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4AF0ADC2" w14:textId="77777777" w:rsidTr="00664C4D">
        <w:trPr>
          <w:trHeight w:val="227"/>
        </w:trPr>
        <w:tc>
          <w:tcPr>
            <w:tcW w:w="526" w:type="dxa"/>
          </w:tcPr>
          <w:p w14:paraId="64DFC95F"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3.08</w:t>
            </w:r>
          </w:p>
        </w:tc>
        <w:tc>
          <w:tcPr>
            <w:tcW w:w="6575" w:type="dxa"/>
          </w:tcPr>
          <w:p w14:paraId="783D1EDF"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When I’m reading, I sometimes read the same line again or miss out a line altogether</w:t>
            </w:r>
          </w:p>
        </w:tc>
        <w:tc>
          <w:tcPr>
            <w:tcW w:w="5799" w:type="dxa"/>
          </w:tcPr>
          <w:p w14:paraId="5BD6374A"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tcPr>
          <w:p w14:paraId="4413E979"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77F9D8AD" w14:textId="77777777" w:rsidTr="00664C4D">
        <w:trPr>
          <w:trHeight w:val="227"/>
        </w:trPr>
        <w:tc>
          <w:tcPr>
            <w:tcW w:w="526" w:type="dxa"/>
          </w:tcPr>
          <w:p w14:paraId="0E46CD69"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3.09</w:t>
            </w:r>
          </w:p>
        </w:tc>
        <w:tc>
          <w:tcPr>
            <w:tcW w:w="6575" w:type="dxa"/>
          </w:tcPr>
          <w:p w14:paraId="4D42F821"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have difficulty putting my writing ideas into a sensible order</w:t>
            </w:r>
          </w:p>
        </w:tc>
        <w:tc>
          <w:tcPr>
            <w:tcW w:w="5799" w:type="dxa"/>
          </w:tcPr>
          <w:p w14:paraId="1D35F2AA"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tcPr>
          <w:p w14:paraId="39AB3415"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5362A8FA" w14:textId="77777777" w:rsidTr="00664C4D">
        <w:trPr>
          <w:trHeight w:val="227"/>
        </w:trPr>
        <w:tc>
          <w:tcPr>
            <w:tcW w:w="526" w:type="dxa"/>
          </w:tcPr>
          <w:p w14:paraId="46FA56E3"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3.10</w:t>
            </w:r>
          </w:p>
        </w:tc>
        <w:tc>
          <w:tcPr>
            <w:tcW w:w="6575" w:type="dxa"/>
          </w:tcPr>
          <w:p w14:paraId="0CE42DFE"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In my writing at school, I often mixed up similar letters like ‘b’ and ‘d’ or ‘p’ and ‘q’</w:t>
            </w:r>
          </w:p>
        </w:tc>
        <w:tc>
          <w:tcPr>
            <w:tcW w:w="5799" w:type="dxa"/>
          </w:tcPr>
          <w:p w14:paraId="28C50F7D"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tcPr>
          <w:p w14:paraId="2AEFFA50"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402439C4" w14:textId="77777777" w:rsidTr="00664C4D">
        <w:trPr>
          <w:trHeight w:val="227"/>
        </w:trPr>
        <w:tc>
          <w:tcPr>
            <w:tcW w:w="526" w:type="dxa"/>
          </w:tcPr>
          <w:p w14:paraId="0AF95777"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3.11</w:t>
            </w:r>
          </w:p>
        </w:tc>
        <w:tc>
          <w:tcPr>
            <w:tcW w:w="6575" w:type="dxa"/>
          </w:tcPr>
          <w:p w14:paraId="1A9D1F23"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When I’m planning my work, I use diagrams or mindmaps rather than lists or bullet points</w:t>
            </w:r>
          </w:p>
        </w:tc>
        <w:tc>
          <w:tcPr>
            <w:tcW w:w="5799" w:type="dxa"/>
          </w:tcPr>
          <w:p w14:paraId="18C05051"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tcPr>
          <w:p w14:paraId="24D5FBA9"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47C92F97" w14:textId="77777777" w:rsidTr="00664C4D">
        <w:trPr>
          <w:trHeight w:val="227"/>
        </w:trPr>
        <w:tc>
          <w:tcPr>
            <w:tcW w:w="526" w:type="dxa"/>
          </w:tcPr>
          <w:p w14:paraId="48C8F6F5" w14:textId="77777777" w:rsidR="00664C4D" w:rsidRDefault="00664C4D" w:rsidP="00664C4D">
            <w:pPr>
              <w:spacing w:before="0" w:after="0" w:line="276" w:lineRule="auto"/>
              <w:jc w:val="right"/>
              <w:rPr>
                <w:rFonts w:ascii="Gill Sans MT" w:hAnsi="Gill Sans MT"/>
                <w:sz w:val="18"/>
                <w:szCs w:val="18"/>
              </w:rPr>
            </w:pPr>
            <w:r>
              <w:rPr>
                <w:rFonts w:ascii="Gill Sans MT" w:hAnsi="Gill Sans MT"/>
                <w:sz w:val="18"/>
                <w:szCs w:val="18"/>
              </w:rPr>
              <w:t>3.12</w:t>
            </w:r>
          </w:p>
        </w:tc>
        <w:tc>
          <w:tcPr>
            <w:tcW w:w="6575" w:type="dxa"/>
          </w:tcPr>
          <w:p w14:paraId="60B6FE47" w14:textId="77777777" w:rsidR="00664C4D" w:rsidRDefault="00664C4D" w:rsidP="00664C4D">
            <w:pPr>
              <w:spacing w:before="0" w:after="0" w:line="276" w:lineRule="auto"/>
              <w:jc w:val="right"/>
              <w:rPr>
                <w:rFonts w:ascii="Gill Sans MT" w:hAnsi="Gill Sans MT"/>
                <w:sz w:val="18"/>
                <w:szCs w:val="18"/>
              </w:rPr>
            </w:pPr>
            <w:r>
              <w:rPr>
                <w:rFonts w:ascii="Gill Sans MT" w:hAnsi="Gill Sans MT"/>
                <w:sz w:val="18"/>
                <w:szCs w:val="18"/>
              </w:rPr>
              <w:t>I’m hopeless at remembering things like telephone numbers</w:t>
            </w:r>
          </w:p>
        </w:tc>
        <w:tc>
          <w:tcPr>
            <w:tcW w:w="5799" w:type="dxa"/>
          </w:tcPr>
          <w:p w14:paraId="6745CB7F"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tcPr>
          <w:p w14:paraId="7B9CC1F1"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73B7D35B" w14:textId="77777777" w:rsidTr="00664C4D">
        <w:trPr>
          <w:trHeight w:val="227"/>
        </w:trPr>
        <w:tc>
          <w:tcPr>
            <w:tcW w:w="526" w:type="dxa"/>
          </w:tcPr>
          <w:p w14:paraId="0C338335"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3.13</w:t>
            </w:r>
          </w:p>
        </w:tc>
        <w:tc>
          <w:tcPr>
            <w:tcW w:w="6575" w:type="dxa"/>
          </w:tcPr>
          <w:p w14:paraId="2F3D4971"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find following directions to get to places quite straightforward</w:t>
            </w:r>
          </w:p>
        </w:tc>
        <w:tc>
          <w:tcPr>
            <w:tcW w:w="5799" w:type="dxa"/>
          </w:tcPr>
          <w:p w14:paraId="5D374EF0"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tcPr>
          <w:p w14:paraId="2DDC33B1"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163D6C55" w14:textId="77777777" w:rsidTr="00664C4D">
        <w:trPr>
          <w:trHeight w:val="227"/>
        </w:trPr>
        <w:tc>
          <w:tcPr>
            <w:tcW w:w="526" w:type="dxa"/>
          </w:tcPr>
          <w:p w14:paraId="6E3443E4"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3.14</w:t>
            </w:r>
          </w:p>
        </w:tc>
        <w:tc>
          <w:tcPr>
            <w:tcW w:w="6575" w:type="dxa"/>
          </w:tcPr>
          <w:p w14:paraId="661D6927"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prefer looking at the ‘big picture’ rather than focusing on the details</w:t>
            </w:r>
          </w:p>
        </w:tc>
        <w:tc>
          <w:tcPr>
            <w:tcW w:w="5799" w:type="dxa"/>
          </w:tcPr>
          <w:p w14:paraId="1157E998"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tcPr>
          <w:p w14:paraId="74A91953"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724ECADE" w14:textId="77777777" w:rsidTr="00664C4D">
        <w:trPr>
          <w:trHeight w:val="227"/>
        </w:trPr>
        <w:tc>
          <w:tcPr>
            <w:tcW w:w="526" w:type="dxa"/>
          </w:tcPr>
          <w:p w14:paraId="4D71B100"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3.15</w:t>
            </w:r>
          </w:p>
        </w:tc>
        <w:tc>
          <w:tcPr>
            <w:tcW w:w="6575" w:type="dxa"/>
          </w:tcPr>
          <w:p w14:paraId="1DA028B7"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My friends say I often think in unusual or creative ways to solve a problem</w:t>
            </w:r>
          </w:p>
        </w:tc>
        <w:tc>
          <w:tcPr>
            <w:tcW w:w="5799" w:type="dxa"/>
          </w:tcPr>
          <w:p w14:paraId="2446B48C"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tcPr>
          <w:p w14:paraId="47891DF3"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1B5FCA54" w14:textId="77777777" w:rsidTr="00664C4D">
        <w:trPr>
          <w:trHeight w:val="227"/>
        </w:trPr>
        <w:tc>
          <w:tcPr>
            <w:tcW w:w="526" w:type="dxa"/>
          </w:tcPr>
          <w:p w14:paraId="53C98D73"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3.16</w:t>
            </w:r>
          </w:p>
        </w:tc>
        <w:tc>
          <w:tcPr>
            <w:tcW w:w="6575" w:type="dxa"/>
          </w:tcPr>
          <w:p w14:paraId="764456B5"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find it really challenging to follow a list of instructions</w:t>
            </w:r>
          </w:p>
        </w:tc>
        <w:tc>
          <w:tcPr>
            <w:tcW w:w="5799" w:type="dxa"/>
          </w:tcPr>
          <w:p w14:paraId="36BF471B"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tcPr>
          <w:p w14:paraId="63179945"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259DF86B" w14:textId="77777777" w:rsidTr="00664C4D">
        <w:trPr>
          <w:trHeight w:val="227"/>
        </w:trPr>
        <w:tc>
          <w:tcPr>
            <w:tcW w:w="526" w:type="dxa"/>
          </w:tcPr>
          <w:p w14:paraId="44E1BF53"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3.17</w:t>
            </w:r>
          </w:p>
        </w:tc>
        <w:tc>
          <w:tcPr>
            <w:tcW w:w="6575" w:type="dxa"/>
          </w:tcPr>
          <w:p w14:paraId="23759F95"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get my ‘lefts’ and ‘rights’ easily mixed up</w:t>
            </w:r>
          </w:p>
        </w:tc>
        <w:tc>
          <w:tcPr>
            <w:tcW w:w="5799" w:type="dxa"/>
          </w:tcPr>
          <w:p w14:paraId="7277D518"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tcPr>
          <w:p w14:paraId="7A36DBDF"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79CC6F7B" w14:textId="77777777" w:rsidTr="00664C4D">
        <w:trPr>
          <w:trHeight w:val="227"/>
        </w:trPr>
        <w:tc>
          <w:tcPr>
            <w:tcW w:w="526" w:type="dxa"/>
          </w:tcPr>
          <w:p w14:paraId="384FE4D5"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3.18</w:t>
            </w:r>
          </w:p>
        </w:tc>
        <w:tc>
          <w:tcPr>
            <w:tcW w:w="6575" w:type="dxa"/>
          </w:tcPr>
          <w:p w14:paraId="6C0A8F8D"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My tutors often tell me that my essays or assignments are confusing to read</w:t>
            </w:r>
          </w:p>
        </w:tc>
        <w:tc>
          <w:tcPr>
            <w:tcW w:w="5799" w:type="dxa"/>
          </w:tcPr>
          <w:p w14:paraId="6C31FBB2"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tcPr>
          <w:p w14:paraId="5491D605"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5B255786" w14:textId="77777777" w:rsidTr="00664C4D">
        <w:trPr>
          <w:trHeight w:val="227"/>
        </w:trPr>
        <w:tc>
          <w:tcPr>
            <w:tcW w:w="526" w:type="dxa"/>
          </w:tcPr>
          <w:p w14:paraId="32DDB094"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3.19</w:t>
            </w:r>
          </w:p>
        </w:tc>
        <w:tc>
          <w:tcPr>
            <w:tcW w:w="6575" w:type="dxa"/>
          </w:tcPr>
          <w:p w14:paraId="7DCBF102"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get in a muddle when I’m searching for learning resources or information</w:t>
            </w:r>
          </w:p>
        </w:tc>
        <w:tc>
          <w:tcPr>
            <w:tcW w:w="5799" w:type="dxa"/>
          </w:tcPr>
          <w:p w14:paraId="13E9D25D"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tcPr>
          <w:p w14:paraId="0C37FE59"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1459C702" w14:textId="77777777" w:rsidTr="00664C4D">
        <w:trPr>
          <w:trHeight w:val="227"/>
        </w:trPr>
        <w:tc>
          <w:tcPr>
            <w:tcW w:w="526" w:type="dxa"/>
          </w:tcPr>
          <w:p w14:paraId="429B9C8D"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3.20</w:t>
            </w:r>
          </w:p>
        </w:tc>
        <w:tc>
          <w:tcPr>
            <w:tcW w:w="6575" w:type="dxa"/>
          </w:tcPr>
          <w:p w14:paraId="66D1A423"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get really anxious if I’m asked to read ‘out loud’</w:t>
            </w:r>
          </w:p>
        </w:tc>
        <w:tc>
          <w:tcPr>
            <w:tcW w:w="5799" w:type="dxa"/>
          </w:tcPr>
          <w:p w14:paraId="1392C788"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tcPr>
          <w:p w14:paraId="00FD66B4"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bl>
    <w:p w14:paraId="5334535F" w14:textId="77777777" w:rsidR="00664C4D" w:rsidRDefault="00664C4D" w:rsidP="00664C4D">
      <w:pPr>
        <w:spacing w:before="0" w:after="200" w:line="276" w:lineRule="auto"/>
        <w:jc w:val="both"/>
      </w:pPr>
    </w:p>
    <w:tbl>
      <w:tblPr>
        <w:tblStyle w:val="TableGrid"/>
        <w:tblW w:w="1403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6987"/>
        <w:gridCol w:w="5387"/>
        <w:gridCol w:w="1134"/>
      </w:tblGrid>
      <w:tr w:rsidR="00664C4D" w:rsidRPr="00B81BD6" w14:paraId="3CA89F71" w14:textId="77777777" w:rsidTr="00664C4D">
        <w:trPr>
          <w:trHeight w:val="227"/>
        </w:trPr>
        <w:tc>
          <w:tcPr>
            <w:tcW w:w="7513" w:type="dxa"/>
            <w:gridSpan w:val="2"/>
            <w:vAlign w:val="center"/>
          </w:tcPr>
          <w:p w14:paraId="196F38F8" w14:textId="77777777" w:rsidR="00664C4D" w:rsidRDefault="00664C4D" w:rsidP="00664C4D">
            <w:pPr>
              <w:pStyle w:val="Heading5"/>
              <w:outlineLvl w:val="4"/>
              <w:rPr>
                <w:rFonts w:ascii="Gill Sans MT" w:hAnsi="Gill Sans MT"/>
                <w:szCs w:val="18"/>
              </w:rPr>
            </w:pPr>
            <w:r>
              <w:lastRenderedPageBreak/>
              <w:t>Section 5</w:t>
            </w:r>
          </w:p>
        </w:tc>
        <w:tc>
          <w:tcPr>
            <w:tcW w:w="5387" w:type="dxa"/>
            <w:vAlign w:val="center"/>
          </w:tcPr>
          <w:p w14:paraId="5AE94EF8" w14:textId="77777777" w:rsidR="00664C4D" w:rsidRPr="00B81BD6" w:rsidRDefault="00664C4D" w:rsidP="00664C4D">
            <w:pPr>
              <w:spacing w:before="0" w:after="0" w:line="276" w:lineRule="auto"/>
              <w:rPr>
                <w:rFonts w:ascii="Gill Sans MT" w:hAnsi="Gill Sans MT"/>
                <w:sz w:val="18"/>
                <w:szCs w:val="18"/>
              </w:rPr>
            </w:pPr>
          </w:p>
        </w:tc>
        <w:tc>
          <w:tcPr>
            <w:tcW w:w="1134" w:type="dxa"/>
            <w:vAlign w:val="center"/>
          </w:tcPr>
          <w:p w14:paraId="438767DF"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1F83FAFC" w14:textId="77777777" w:rsidTr="00664C4D">
        <w:trPr>
          <w:trHeight w:val="340"/>
        </w:trPr>
        <w:tc>
          <w:tcPr>
            <w:tcW w:w="14034" w:type="dxa"/>
            <w:gridSpan w:val="4"/>
            <w:vAlign w:val="center"/>
          </w:tcPr>
          <w:p w14:paraId="2BF98C31" w14:textId="77777777" w:rsidR="00664C4D" w:rsidRPr="00B81BD6" w:rsidRDefault="00664C4D" w:rsidP="00664C4D">
            <w:pPr>
              <w:spacing w:before="0" w:after="0" w:line="276" w:lineRule="auto"/>
              <w:rPr>
                <w:rFonts w:ascii="Gill Sans MT" w:hAnsi="Gill Sans MT"/>
                <w:sz w:val="18"/>
                <w:szCs w:val="18"/>
              </w:rPr>
            </w:pPr>
            <w:r>
              <w:rPr>
                <w:rFonts w:ascii="Gill Sans MT" w:hAnsi="Gill Sans MT"/>
                <w:sz w:val="18"/>
                <w:szCs w:val="18"/>
              </w:rPr>
              <w:t>Lastly, if you would like to tell me anything else about your learning challenges or strengths, or any other aspects about how you approach your studies at university, you can use the space in this section. I am particularly interested in hearing about ways that studying at university could be improved for you</w:t>
            </w:r>
          </w:p>
        </w:tc>
      </w:tr>
      <w:tr w:rsidR="00664C4D" w:rsidRPr="00B81BD6" w14:paraId="02A1F222" w14:textId="77777777" w:rsidTr="00664C4D">
        <w:trPr>
          <w:trHeight w:val="227"/>
        </w:trPr>
        <w:tc>
          <w:tcPr>
            <w:tcW w:w="526" w:type="dxa"/>
            <w:vAlign w:val="center"/>
          </w:tcPr>
          <w:p w14:paraId="25405E74" w14:textId="77777777" w:rsidR="00664C4D" w:rsidRPr="00B81BD6" w:rsidRDefault="00664C4D" w:rsidP="00664C4D">
            <w:pPr>
              <w:spacing w:before="0" w:after="0" w:line="276" w:lineRule="auto"/>
              <w:jc w:val="right"/>
              <w:rPr>
                <w:rFonts w:ascii="Gill Sans MT" w:hAnsi="Gill Sans MT"/>
                <w:sz w:val="18"/>
                <w:szCs w:val="18"/>
              </w:rPr>
            </w:pPr>
          </w:p>
        </w:tc>
        <w:tc>
          <w:tcPr>
            <w:tcW w:w="6987" w:type="dxa"/>
            <w:vAlign w:val="center"/>
          </w:tcPr>
          <w:p w14:paraId="317457DE" w14:textId="77777777" w:rsidR="00664C4D" w:rsidRPr="00B81BD6" w:rsidRDefault="00664C4D" w:rsidP="00664C4D">
            <w:pPr>
              <w:spacing w:before="0" w:after="0" w:line="276" w:lineRule="auto"/>
              <w:jc w:val="right"/>
              <w:rPr>
                <w:rFonts w:ascii="Gill Sans MT" w:hAnsi="Gill Sans MT"/>
                <w:sz w:val="18"/>
                <w:szCs w:val="18"/>
              </w:rPr>
            </w:pPr>
          </w:p>
        </w:tc>
        <w:tc>
          <w:tcPr>
            <w:tcW w:w="5387" w:type="dxa"/>
            <w:shd w:val="clear" w:color="auto" w:fill="auto"/>
            <w:vAlign w:val="center"/>
          </w:tcPr>
          <w:p w14:paraId="575B9D50" w14:textId="77777777" w:rsidR="00664C4D" w:rsidRPr="00D008FD" w:rsidRDefault="00664C4D" w:rsidP="00664C4D">
            <w:pPr>
              <w:spacing w:before="0" w:after="0" w:line="276" w:lineRule="auto"/>
              <w:rPr>
                <w:rFonts w:ascii="Gill Sans MT" w:hAnsi="Gill Sans MT"/>
                <w:sz w:val="16"/>
                <w:szCs w:val="16"/>
              </w:rPr>
            </w:pPr>
          </w:p>
        </w:tc>
        <w:tc>
          <w:tcPr>
            <w:tcW w:w="1134" w:type="dxa"/>
            <w:shd w:val="clear" w:color="auto" w:fill="auto"/>
            <w:vAlign w:val="center"/>
          </w:tcPr>
          <w:p w14:paraId="70AEF2B5"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1C3FD061" w14:textId="77777777" w:rsidTr="00664C4D">
        <w:trPr>
          <w:trHeight w:val="227"/>
        </w:trPr>
        <w:tc>
          <w:tcPr>
            <w:tcW w:w="526" w:type="dxa"/>
            <w:vAlign w:val="center"/>
          </w:tcPr>
          <w:p w14:paraId="19D2B6E1" w14:textId="77777777" w:rsidR="00664C4D" w:rsidRPr="004307D4" w:rsidRDefault="00664C4D" w:rsidP="00664C4D">
            <w:pPr>
              <w:spacing w:before="0" w:after="0" w:line="276" w:lineRule="auto"/>
              <w:rPr>
                <w:rFonts w:ascii="Gill Sans MT" w:hAnsi="Gill Sans MT"/>
                <w:color w:val="FFFFFF" w:themeColor="background1"/>
                <w:sz w:val="18"/>
                <w:szCs w:val="18"/>
              </w:rPr>
            </w:pPr>
          </w:p>
        </w:tc>
        <w:tc>
          <w:tcPr>
            <w:tcW w:w="6987" w:type="dxa"/>
            <w:shd w:val="clear" w:color="auto" w:fill="3B3838" w:themeFill="background2" w:themeFillShade="40"/>
            <w:vAlign w:val="center"/>
          </w:tcPr>
          <w:p w14:paraId="43BE95E1" w14:textId="77777777" w:rsidR="00664C4D" w:rsidRPr="004307D4" w:rsidRDefault="00664C4D" w:rsidP="00664C4D">
            <w:pPr>
              <w:spacing w:before="0" w:after="0" w:line="276" w:lineRule="auto"/>
              <w:rPr>
                <w:rFonts w:ascii="Gill Sans MT" w:hAnsi="Gill Sans MT"/>
                <w:color w:val="FFFFFF" w:themeColor="background1"/>
                <w:sz w:val="18"/>
                <w:szCs w:val="18"/>
              </w:rPr>
            </w:pPr>
            <w:r>
              <w:rPr>
                <w:rFonts w:ascii="Gill Sans MT" w:hAnsi="Gill Sans MT"/>
                <w:color w:val="FFFFFF" w:themeColor="background1"/>
                <w:sz w:val="18"/>
                <w:szCs w:val="18"/>
              </w:rPr>
              <w:t>Write as much as you like, or you can leave this area blank if you have nothing more to add:</w:t>
            </w:r>
          </w:p>
        </w:tc>
        <w:tc>
          <w:tcPr>
            <w:tcW w:w="5387" w:type="dxa"/>
            <w:shd w:val="clear" w:color="auto" w:fill="auto"/>
            <w:vAlign w:val="center"/>
          </w:tcPr>
          <w:p w14:paraId="0188B5CE" w14:textId="77777777" w:rsidR="00664C4D" w:rsidRPr="00B81BD6" w:rsidRDefault="00664C4D" w:rsidP="00664C4D">
            <w:pPr>
              <w:spacing w:before="0" w:after="0" w:line="276" w:lineRule="auto"/>
              <w:rPr>
                <w:rFonts w:ascii="Gill Sans MT" w:hAnsi="Gill Sans MT"/>
                <w:sz w:val="18"/>
                <w:szCs w:val="18"/>
              </w:rPr>
            </w:pPr>
          </w:p>
        </w:tc>
        <w:tc>
          <w:tcPr>
            <w:tcW w:w="1134" w:type="dxa"/>
            <w:shd w:val="clear" w:color="auto" w:fill="auto"/>
            <w:vAlign w:val="center"/>
          </w:tcPr>
          <w:p w14:paraId="74B343E0"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3FA8F9F0" w14:textId="77777777" w:rsidTr="00664C4D">
        <w:trPr>
          <w:trHeight w:val="227"/>
        </w:trPr>
        <w:tc>
          <w:tcPr>
            <w:tcW w:w="526" w:type="dxa"/>
            <w:vAlign w:val="center"/>
          </w:tcPr>
          <w:p w14:paraId="5729DCBF" w14:textId="77777777" w:rsidR="00664C4D" w:rsidRPr="00B81BD6" w:rsidRDefault="00664C4D" w:rsidP="00664C4D">
            <w:pPr>
              <w:spacing w:before="0" w:after="0" w:line="276" w:lineRule="auto"/>
              <w:jc w:val="right"/>
              <w:rPr>
                <w:rFonts w:ascii="Gill Sans MT" w:hAnsi="Gill Sans MT"/>
                <w:sz w:val="18"/>
                <w:szCs w:val="18"/>
              </w:rPr>
            </w:pPr>
          </w:p>
        </w:tc>
        <w:tc>
          <w:tcPr>
            <w:tcW w:w="6987" w:type="dxa"/>
            <w:tcBorders>
              <w:bottom w:val="single" w:sz="4" w:space="0" w:color="auto"/>
            </w:tcBorders>
            <w:vAlign w:val="center"/>
          </w:tcPr>
          <w:p w14:paraId="7C067E79" w14:textId="77777777" w:rsidR="00664C4D" w:rsidRPr="00B81BD6" w:rsidRDefault="00664C4D" w:rsidP="00664C4D">
            <w:pPr>
              <w:spacing w:before="0" w:after="0" w:line="276" w:lineRule="auto"/>
              <w:jc w:val="right"/>
              <w:rPr>
                <w:rFonts w:ascii="Gill Sans MT" w:hAnsi="Gill Sans MT"/>
                <w:sz w:val="18"/>
                <w:szCs w:val="18"/>
              </w:rPr>
            </w:pPr>
          </w:p>
        </w:tc>
        <w:tc>
          <w:tcPr>
            <w:tcW w:w="5387" w:type="dxa"/>
            <w:tcBorders>
              <w:bottom w:val="single" w:sz="4" w:space="0" w:color="auto"/>
            </w:tcBorders>
            <w:shd w:val="clear" w:color="auto" w:fill="auto"/>
            <w:vAlign w:val="center"/>
          </w:tcPr>
          <w:p w14:paraId="202EE829" w14:textId="77777777" w:rsidR="00664C4D" w:rsidRPr="00B81BD6" w:rsidRDefault="00664C4D" w:rsidP="00664C4D">
            <w:pPr>
              <w:spacing w:before="0" w:after="0" w:line="276" w:lineRule="auto"/>
              <w:jc w:val="center"/>
              <w:rPr>
                <w:rFonts w:ascii="Gill Sans MT" w:hAnsi="Gill Sans MT"/>
                <w:sz w:val="18"/>
                <w:szCs w:val="18"/>
              </w:rPr>
            </w:pPr>
          </w:p>
        </w:tc>
        <w:tc>
          <w:tcPr>
            <w:tcW w:w="1134" w:type="dxa"/>
            <w:shd w:val="clear" w:color="auto" w:fill="auto"/>
            <w:vAlign w:val="center"/>
          </w:tcPr>
          <w:p w14:paraId="428D3EA4" w14:textId="77777777" w:rsidR="00664C4D" w:rsidRPr="00B81BD6" w:rsidRDefault="00664C4D" w:rsidP="00664C4D">
            <w:pPr>
              <w:spacing w:before="0" w:after="0" w:line="276" w:lineRule="auto"/>
              <w:jc w:val="center"/>
              <w:rPr>
                <w:rFonts w:ascii="Gill Sans MT" w:hAnsi="Gill Sans MT"/>
                <w:sz w:val="18"/>
                <w:szCs w:val="18"/>
              </w:rPr>
            </w:pPr>
          </w:p>
        </w:tc>
      </w:tr>
      <w:tr w:rsidR="00664C4D" w:rsidRPr="00B81BD6" w14:paraId="7EBC4727" w14:textId="77777777" w:rsidTr="00664C4D">
        <w:trPr>
          <w:trHeight w:val="227"/>
        </w:trPr>
        <w:tc>
          <w:tcPr>
            <w:tcW w:w="526" w:type="dxa"/>
            <w:tcBorders>
              <w:right w:val="single" w:sz="4" w:space="0" w:color="auto"/>
            </w:tcBorders>
            <w:vAlign w:val="center"/>
          </w:tcPr>
          <w:p w14:paraId="5089364A" w14:textId="77777777" w:rsidR="00664C4D" w:rsidRPr="00B81BD6" w:rsidRDefault="00664C4D" w:rsidP="00664C4D">
            <w:pPr>
              <w:spacing w:before="0" w:after="0" w:line="276" w:lineRule="auto"/>
              <w:jc w:val="right"/>
              <w:rPr>
                <w:rFonts w:ascii="Gill Sans MT" w:hAnsi="Gill Sans MT"/>
                <w:sz w:val="18"/>
                <w:szCs w:val="18"/>
              </w:rPr>
            </w:pPr>
          </w:p>
        </w:tc>
        <w:tc>
          <w:tcPr>
            <w:tcW w:w="12374" w:type="dxa"/>
            <w:gridSpan w:val="2"/>
            <w:vMerge w:val="restart"/>
            <w:tcBorders>
              <w:top w:val="single" w:sz="4" w:space="0" w:color="auto"/>
              <w:left w:val="single" w:sz="4" w:space="0" w:color="auto"/>
              <w:bottom w:val="single" w:sz="4" w:space="0" w:color="auto"/>
              <w:right w:val="single" w:sz="4" w:space="0" w:color="auto"/>
            </w:tcBorders>
            <w:vAlign w:val="center"/>
          </w:tcPr>
          <w:p w14:paraId="3AF4A760" w14:textId="77777777" w:rsidR="00664C4D" w:rsidRPr="00B81BD6" w:rsidRDefault="00664C4D" w:rsidP="00664C4D">
            <w:pPr>
              <w:spacing w:before="0" w:after="0" w:line="276" w:lineRule="auto"/>
              <w:jc w:val="center"/>
              <w:rPr>
                <w:rFonts w:ascii="Gill Sans MT" w:hAnsi="Gill Sans MT"/>
                <w:sz w:val="18"/>
                <w:szCs w:val="18"/>
              </w:rPr>
            </w:pPr>
          </w:p>
        </w:tc>
        <w:tc>
          <w:tcPr>
            <w:tcW w:w="1134" w:type="dxa"/>
            <w:tcBorders>
              <w:left w:val="single" w:sz="4" w:space="0" w:color="auto"/>
            </w:tcBorders>
            <w:shd w:val="clear" w:color="auto" w:fill="auto"/>
            <w:vAlign w:val="center"/>
          </w:tcPr>
          <w:p w14:paraId="56C5D654" w14:textId="77777777" w:rsidR="00664C4D" w:rsidRPr="00B81BD6" w:rsidRDefault="00664C4D" w:rsidP="00664C4D">
            <w:pPr>
              <w:spacing w:before="0" w:after="0" w:line="276" w:lineRule="auto"/>
              <w:jc w:val="center"/>
              <w:rPr>
                <w:rFonts w:ascii="Gill Sans MT" w:hAnsi="Gill Sans MT"/>
                <w:sz w:val="18"/>
                <w:szCs w:val="18"/>
              </w:rPr>
            </w:pPr>
          </w:p>
        </w:tc>
      </w:tr>
      <w:tr w:rsidR="00664C4D" w:rsidRPr="00B81BD6" w14:paraId="4FB9A505" w14:textId="77777777" w:rsidTr="00664C4D">
        <w:trPr>
          <w:trHeight w:val="227"/>
        </w:trPr>
        <w:tc>
          <w:tcPr>
            <w:tcW w:w="526" w:type="dxa"/>
            <w:tcBorders>
              <w:right w:val="single" w:sz="4" w:space="0" w:color="auto"/>
            </w:tcBorders>
            <w:vAlign w:val="center"/>
          </w:tcPr>
          <w:p w14:paraId="18029FED" w14:textId="77777777" w:rsidR="00664C4D" w:rsidRPr="00B81BD6" w:rsidRDefault="00664C4D" w:rsidP="00664C4D">
            <w:pPr>
              <w:spacing w:before="0" w:after="0" w:line="276" w:lineRule="auto"/>
              <w:jc w:val="right"/>
              <w:rPr>
                <w:rFonts w:ascii="Gill Sans MT" w:hAnsi="Gill Sans MT"/>
                <w:sz w:val="18"/>
                <w:szCs w:val="18"/>
              </w:rPr>
            </w:pPr>
          </w:p>
        </w:tc>
        <w:tc>
          <w:tcPr>
            <w:tcW w:w="12374" w:type="dxa"/>
            <w:gridSpan w:val="2"/>
            <w:vMerge/>
            <w:tcBorders>
              <w:top w:val="single" w:sz="4" w:space="0" w:color="auto"/>
              <w:left w:val="single" w:sz="4" w:space="0" w:color="auto"/>
              <w:bottom w:val="single" w:sz="4" w:space="0" w:color="auto"/>
              <w:right w:val="single" w:sz="4" w:space="0" w:color="auto"/>
            </w:tcBorders>
            <w:vAlign w:val="center"/>
          </w:tcPr>
          <w:p w14:paraId="37BE0B35" w14:textId="77777777" w:rsidR="00664C4D" w:rsidRPr="00B81BD6" w:rsidRDefault="00664C4D" w:rsidP="00664C4D">
            <w:pPr>
              <w:spacing w:before="0" w:after="0" w:line="276" w:lineRule="auto"/>
              <w:jc w:val="center"/>
              <w:rPr>
                <w:rFonts w:ascii="Gill Sans MT" w:hAnsi="Gill Sans MT"/>
                <w:sz w:val="18"/>
                <w:szCs w:val="18"/>
              </w:rPr>
            </w:pPr>
          </w:p>
        </w:tc>
        <w:tc>
          <w:tcPr>
            <w:tcW w:w="1134" w:type="dxa"/>
            <w:tcBorders>
              <w:left w:val="single" w:sz="4" w:space="0" w:color="auto"/>
            </w:tcBorders>
            <w:shd w:val="clear" w:color="auto" w:fill="auto"/>
            <w:vAlign w:val="center"/>
          </w:tcPr>
          <w:p w14:paraId="10C0CE5E" w14:textId="77777777" w:rsidR="00664C4D" w:rsidRPr="00B81BD6" w:rsidRDefault="00664C4D" w:rsidP="00664C4D">
            <w:pPr>
              <w:spacing w:before="0" w:after="0" w:line="276" w:lineRule="auto"/>
              <w:jc w:val="center"/>
              <w:rPr>
                <w:rFonts w:ascii="Gill Sans MT" w:hAnsi="Gill Sans MT"/>
                <w:sz w:val="18"/>
                <w:szCs w:val="18"/>
              </w:rPr>
            </w:pPr>
          </w:p>
        </w:tc>
      </w:tr>
      <w:tr w:rsidR="00664C4D" w:rsidRPr="00B81BD6" w14:paraId="075592E5" w14:textId="77777777" w:rsidTr="00664C4D">
        <w:trPr>
          <w:trHeight w:val="227"/>
        </w:trPr>
        <w:tc>
          <w:tcPr>
            <w:tcW w:w="526" w:type="dxa"/>
            <w:tcBorders>
              <w:right w:val="single" w:sz="4" w:space="0" w:color="auto"/>
            </w:tcBorders>
            <w:vAlign w:val="center"/>
          </w:tcPr>
          <w:p w14:paraId="1FFC857D" w14:textId="77777777" w:rsidR="00664C4D" w:rsidRPr="00B81BD6" w:rsidRDefault="00664C4D" w:rsidP="00664C4D">
            <w:pPr>
              <w:spacing w:before="0" w:after="0" w:line="276" w:lineRule="auto"/>
              <w:jc w:val="right"/>
              <w:rPr>
                <w:rFonts w:ascii="Gill Sans MT" w:hAnsi="Gill Sans MT"/>
                <w:sz w:val="18"/>
                <w:szCs w:val="18"/>
              </w:rPr>
            </w:pPr>
          </w:p>
        </w:tc>
        <w:tc>
          <w:tcPr>
            <w:tcW w:w="12374" w:type="dxa"/>
            <w:gridSpan w:val="2"/>
            <w:vMerge/>
            <w:tcBorders>
              <w:top w:val="single" w:sz="4" w:space="0" w:color="auto"/>
              <w:left w:val="single" w:sz="4" w:space="0" w:color="auto"/>
              <w:bottom w:val="single" w:sz="4" w:space="0" w:color="auto"/>
              <w:right w:val="single" w:sz="4" w:space="0" w:color="auto"/>
            </w:tcBorders>
            <w:vAlign w:val="center"/>
          </w:tcPr>
          <w:p w14:paraId="3599C9A1" w14:textId="77777777" w:rsidR="00664C4D" w:rsidRPr="00B81BD6" w:rsidRDefault="00664C4D" w:rsidP="00664C4D">
            <w:pPr>
              <w:spacing w:before="0" w:after="0" w:line="276" w:lineRule="auto"/>
              <w:jc w:val="center"/>
              <w:rPr>
                <w:rFonts w:ascii="Gill Sans MT" w:hAnsi="Gill Sans MT"/>
                <w:sz w:val="18"/>
                <w:szCs w:val="18"/>
              </w:rPr>
            </w:pPr>
          </w:p>
        </w:tc>
        <w:tc>
          <w:tcPr>
            <w:tcW w:w="1134" w:type="dxa"/>
            <w:tcBorders>
              <w:left w:val="single" w:sz="4" w:space="0" w:color="auto"/>
            </w:tcBorders>
            <w:shd w:val="clear" w:color="auto" w:fill="auto"/>
            <w:vAlign w:val="center"/>
          </w:tcPr>
          <w:p w14:paraId="67D8E852" w14:textId="77777777" w:rsidR="00664C4D" w:rsidRPr="00B81BD6" w:rsidRDefault="00664C4D" w:rsidP="00664C4D">
            <w:pPr>
              <w:spacing w:before="0" w:after="0" w:line="276" w:lineRule="auto"/>
              <w:jc w:val="center"/>
              <w:rPr>
                <w:rFonts w:ascii="Gill Sans MT" w:hAnsi="Gill Sans MT"/>
                <w:sz w:val="18"/>
                <w:szCs w:val="18"/>
              </w:rPr>
            </w:pPr>
          </w:p>
        </w:tc>
      </w:tr>
      <w:tr w:rsidR="00664C4D" w:rsidRPr="00B81BD6" w14:paraId="0A8031ED" w14:textId="77777777" w:rsidTr="00664C4D">
        <w:trPr>
          <w:trHeight w:val="227"/>
        </w:trPr>
        <w:tc>
          <w:tcPr>
            <w:tcW w:w="526" w:type="dxa"/>
            <w:vAlign w:val="center"/>
          </w:tcPr>
          <w:p w14:paraId="78F10D64" w14:textId="77777777" w:rsidR="00664C4D" w:rsidRPr="00B81BD6" w:rsidRDefault="00664C4D" w:rsidP="00664C4D">
            <w:pPr>
              <w:spacing w:before="0" w:after="0" w:line="276" w:lineRule="auto"/>
              <w:jc w:val="right"/>
              <w:rPr>
                <w:rFonts w:ascii="Gill Sans MT" w:hAnsi="Gill Sans MT"/>
                <w:sz w:val="18"/>
                <w:szCs w:val="18"/>
              </w:rPr>
            </w:pPr>
          </w:p>
        </w:tc>
        <w:tc>
          <w:tcPr>
            <w:tcW w:w="6987" w:type="dxa"/>
            <w:tcBorders>
              <w:top w:val="single" w:sz="4" w:space="0" w:color="auto"/>
            </w:tcBorders>
            <w:vAlign w:val="center"/>
          </w:tcPr>
          <w:p w14:paraId="529BA9FE" w14:textId="77777777" w:rsidR="00664C4D" w:rsidRPr="00B81BD6" w:rsidRDefault="00664C4D" w:rsidP="00664C4D">
            <w:pPr>
              <w:spacing w:before="0" w:after="0" w:line="276" w:lineRule="auto"/>
              <w:jc w:val="right"/>
              <w:rPr>
                <w:rFonts w:ascii="Gill Sans MT" w:hAnsi="Gill Sans MT"/>
                <w:sz w:val="18"/>
                <w:szCs w:val="18"/>
              </w:rPr>
            </w:pPr>
          </w:p>
        </w:tc>
        <w:tc>
          <w:tcPr>
            <w:tcW w:w="5387" w:type="dxa"/>
            <w:tcBorders>
              <w:top w:val="single" w:sz="4" w:space="0" w:color="auto"/>
            </w:tcBorders>
            <w:shd w:val="clear" w:color="auto" w:fill="auto"/>
            <w:vAlign w:val="center"/>
          </w:tcPr>
          <w:p w14:paraId="38D54812" w14:textId="77777777" w:rsidR="00664C4D" w:rsidRPr="00B81BD6" w:rsidRDefault="00664C4D" w:rsidP="00664C4D">
            <w:pPr>
              <w:spacing w:before="0" w:after="0" w:line="276" w:lineRule="auto"/>
              <w:jc w:val="center"/>
              <w:rPr>
                <w:rFonts w:ascii="Gill Sans MT" w:hAnsi="Gill Sans MT"/>
                <w:sz w:val="18"/>
                <w:szCs w:val="18"/>
              </w:rPr>
            </w:pPr>
          </w:p>
        </w:tc>
        <w:tc>
          <w:tcPr>
            <w:tcW w:w="1134" w:type="dxa"/>
            <w:shd w:val="clear" w:color="auto" w:fill="auto"/>
            <w:vAlign w:val="center"/>
          </w:tcPr>
          <w:p w14:paraId="693AA95D" w14:textId="77777777" w:rsidR="00664C4D" w:rsidRPr="00B81BD6" w:rsidRDefault="00664C4D" w:rsidP="00664C4D">
            <w:pPr>
              <w:spacing w:before="0" w:after="0" w:line="276" w:lineRule="auto"/>
              <w:jc w:val="center"/>
              <w:rPr>
                <w:rFonts w:ascii="Gill Sans MT" w:hAnsi="Gill Sans MT"/>
                <w:sz w:val="18"/>
                <w:szCs w:val="18"/>
              </w:rPr>
            </w:pPr>
          </w:p>
        </w:tc>
      </w:tr>
    </w:tbl>
    <w:p w14:paraId="7307FC1B" w14:textId="77777777" w:rsidR="00664C4D" w:rsidRDefault="00664C4D" w:rsidP="00664C4D">
      <w:pPr>
        <w:pStyle w:val="Heading5"/>
      </w:pPr>
      <w:r>
        <w:t>Notes</w:t>
      </w:r>
    </w:p>
    <w:p w14:paraId="145F7BB1" w14:textId="77777777" w:rsidR="00664C4D" w:rsidRDefault="00664C4D" w:rsidP="00664C4D">
      <w:pPr>
        <w:pStyle w:val="ListParagraph"/>
        <w:numPr>
          <w:ilvl w:val="0"/>
          <w:numId w:val="43"/>
        </w:numPr>
        <w:spacing w:line="276" w:lineRule="auto"/>
      </w:pPr>
      <w:r>
        <w:t>A representation of the input-range slider controls is shown. By moving the control to the left or the right of the default, central position, which represented 50%, a number value was recorded between 0 and 100%.</w:t>
      </w:r>
    </w:p>
    <w:p w14:paraId="2E18EDB9" w14:textId="77777777" w:rsidR="00664C4D" w:rsidRDefault="00664C4D" w:rsidP="00664C4D">
      <w:pPr>
        <w:pStyle w:val="ListParagraph"/>
        <w:numPr>
          <w:ilvl w:val="0"/>
          <w:numId w:val="43"/>
        </w:numPr>
        <w:spacing w:line="276" w:lineRule="auto"/>
      </w:pPr>
      <w:r>
        <w:t>The sections of the questionnaire were not labelled 1,2, etc because each section was revealed in turn with other sections remaining hidden, achieved using controls on the webpage.</w:t>
      </w:r>
    </w:p>
    <w:p w14:paraId="0D64A36F" w14:textId="77777777" w:rsidR="00664C4D" w:rsidRDefault="00664C4D" w:rsidP="00664C4D">
      <w:pPr>
        <w:pStyle w:val="ListParagraph"/>
        <w:numPr>
          <w:ilvl w:val="0"/>
          <w:numId w:val="43"/>
        </w:numPr>
        <w:spacing w:line="276" w:lineRule="auto"/>
      </w:pPr>
      <w:r>
        <w:t>The Psychometric Scale (Section 3, above) comprised 6 sub-scales of 6 items each which were attempting to gauge respectively:</w:t>
      </w:r>
    </w:p>
    <w:p w14:paraId="68DE88E7" w14:textId="77777777" w:rsidR="00664C4D" w:rsidRDefault="00664C4D" w:rsidP="00664C4D">
      <w:pPr>
        <w:pStyle w:val="ListParagraph"/>
        <w:numPr>
          <w:ilvl w:val="1"/>
          <w:numId w:val="43"/>
        </w:numPr>
        <w:spacing w:line="276" w:lineRule="auto"/>
      </w:pPr>
      <w:r>
        <w:t>Learning related emotions</w:t>
      </w:r>
    </w:p>
    <w:p w14:paraId="3C36ECDF" w14:textId="77777777" w:rsidR="00664C4D" w:rsidRDefault="00664C4D" w:rsidP="00664C4D">
      <w:pPr>
        <w:pStyle w:val="ListParagraph"/>
        <w:numPr>
          <w:ilvl w:val="1"/>
          <w:numId w:val="43"/>
        </w:numPr>
        <w:spacing w:line="276" w:lineRule="auto"/>
      </w:pPr>
      <w:r>
        <w:t>Anxiety regulation and Motivation</w:t>
      </w:r>
    </w:p>
    <w:p w14:paraId="2229F085" w14:textId="77777777" w:rsidR="00664C4D" w:rsidRDefault="00664C4D" w:rsidP="00664C4D">
      <w:pPr>
        <w:pStyle w:val="ListParagraph"/>
        <w:numPr>
          <w:ilvl w:val="1"/>
          <w:numId w:val="43"/>
        </w:numPr>
        <w:spacing w:line="276" w:lineRule="auto"/>
      </w:pPr>
      <w:r>
        <w:t>Academic Self-efficacy</w:t>
      </w:r>
    </w:p>
    <w:p w14:paraId="3DFCD910" w14:textId="77777777" w:rsidR="00664C4D" w:rsidRDefault="00664C4D" w:rsidP="00664C4D">
      <w:pPr>
        <w:pStyle w:val="ListParagraph"/>
        <w:numPr>
          <w:ilvl w:val="1"/>
          <w:numId w:val="43"/>
        </w:numPr>
        <w:spacing w:line="276" w:lineRule="auto"/>
      </w:pPr>
      <w:r>
        <w:t>Self-esteem</w:t>
      </w:r>
    </w:p>
    <w:p w14:paraId="281FFDE0" w14:textId="77777777" w:rsidR="00664C4D" w:rsidRDefault="00664C4D" w:rsidP="00664C4D">
      <w:pPr>
        <w:pStyle w:val="ListParagraph"/>
        <w:numPr>
          <w:ilvl w:val="1"/>
          <w:numId w:val="43"/>
        </w:numPr>
        <w:spacing w:line="276" w:lineRule="auto"/>
      </w:pPr>
      <w:r>
        <w:t>Learned helplessness</w:t>
      </w:r>
    </w:p>
    <w:p w14:paraId="6E5B43A7" w14:textId="77777777" w:rsidR="00664C4D" w:rsidRDefault="00664C4D" w:rsidP="00664C4D">
      <w:pPr>
        <w:pStyle w:val="ListParagraph"/>
        <w:numPr>
          <w:ilvl w:val="1"/>
          <w:numId w:val="43"/>
        </w:numPr>
        <w:spacing w:line="276" w:lineRule="auto"/>
      </w:pPr>
      <w:r>
        <w:t>Academic Procrastination</w:t>
      </w:r>
    </w:p>
    <w:p w14:paraId="3E3F503C" w14:textId="77777777" w:rsidR="00664C4D" w:rsidRDefault="00664C4D" w:rsidP="00664C4D">
      <w:pPr>
        <w:spacing w:after="0" w:line="276" w:lineRule="auto"/>
        <w:ind w:left="720"/>
      </w:pPr>
      <w:r>
        <w:t xml:space="preserve">In the event, data collected from this scale was not used in the Results and Analysis (Section 4) and hence not referred to in the Discussion (Section 5). The reasons for this are presented in sub-section 3.3/III(Section 2 Part 1). </w:t>
      </w:r>
    </w:p>
    <w:p w14:paraId="1DF5DD4C" w14:textId="77777777" w:rsidR="00664C4D" w:rsidRDefault="00664C4D" w:rsidP="00664C4D">
      <w:pPr>
        <w:spacing w:after="0" w:line="276" w:lineRule="auto"/>
        <w:ind w:left="720"/>
      </w:pPr>
      <w:r>
        <w:t xml:space="preserve">Participants submitted their questionnaire using a control on the webpage which converted the data into tabular form that was automatically sent through e-mail. Simultaneously, the questionnaire was displaced by an Acknowledgement of its receipt which </w:t>
      </w:r>
    </w:p>
    <w:p w14:paraId="7C377BBB" w14:textId="77777777" w:rsidR="00664C4D" w:rsidRDefault="00664C4D" w:rsidP="00664C4D">
      <w:pPr>
        <w:spacing w:line="276" w:lineRule="auto"/>
        <w:sectPr w:rsidR="00664C4D" w:rsidSect="00A2665A">
          <w:type w:val="continuous"/>
          <w:pgSz w:w="16838" w:h="11906" w:orient="landscape"/>
          <w:pgMar w:top="1560" w:right="720" w:bottom="964" w:left="2268" w:header="708" w:footer="708" w:gutter="0"/>
          <w:cols w:space="708"/>
          <w:titlePg/>
          <w:docGrid w:linePitch="360"/>
        </w:sectPr>
      </w:pPr>
    </w:p>
    <w:p w14:paraId="7792ADF1" w14:textId="77777777" w:rsidR="00664C4D" w:rsidRDefault="00664C4D" w:rsidP="00664C4D">
      <w:r>
        <w:lastRenderedPageBreak/>
        <w:t>included a Thank You for Participating, together with an unique, Questionnaire Respondent Indicator (QRI). This 8-figure number was randomly generated by a short script on the questionnaire webpage, was included as part of the questionnaire data submitted, and was devised to enable any participant who wanted to withdraw their data after submitting it to do so. This would have been achieved by following a link on the Acknowledgement page to the Participant Revocation Form, where the QRI could be inserted into a form field. On submitting this form, a further e-mail would be generated and sent, enabling that specific dataset to be removed from the datapool. In the event, no participants followed this process.</w:t>
      </w:r>
    </w:p>
    <w:p w14:paraId="0418049A" w14:textId="77777777" w:rsidR="0018518C" w:rsidRDefault="0018518C" w:rsidP="00664C4D">
      <w:pPr>
        <w:pStyle w:val="Heading2"/>
      </w:pPr>
      <w:bookmarkStart w:id="299" w:name="_Toc9795804"/>
      <w:bookmarkStart w:id="300" w:name="_Toc54019916"/>
    </w:p>
    <w:p w14:paraId="5127DDE0" w14:textId="17C6E1A5" w:rsidR="00664C4D" w:rsidRDefault="00664C4D" w:rsidP="00664C4D">
      <w:pPr>
        <w:pStyle w:val="Heading2"/>
      </w:pPr>
      <w:bookmarkStart w:id="301" w:name="_Toc57035957"/>
      <w:r>
        <w:t>8.2</w:t>
      </w:r>
      <w:r w:rsidR="004D5123">
        <w:tab/>
      </w:r>
      <w:r>
        <w:t>Ethics approval documentation</w:t>
      </w:r>
      <w:bookmarkEnd w:id="299"/>
      <w:bookmarkEnd w:id="300"/>
      <w:bookmarkEnd w:id="301"/>
    </w:p>
    <w:p w14:paraId="0177C6CD" w14:textId="77777777" w:rsidR="00664C4D" w:rsidRDefault="00664C4D" w:rsidP="00664C4D">
      <w:r>
        <w:t>Ethics application and approval documents are inserted as pdf files.</w:t>
      </w:r>
    </w:p>
    <w:p w14:paraId="6B125394" w14:textId="77777777" w:rsidR="00664C4D" w:rsidRDefault="00664C4D" w:rsidP="00664C4D">
      <w:r>
        <w:t>For multi-page documents only the first page is displayed. To display the full document, double-click anywhere on the document image to open the full document in Adobe Reader.</w:t>
      </w:r>
    </w:p>
    <w:p w14:paraId="391D3BF2" w14:textId="77777777" w:rsidR="00664C4D" w:rsidRPr="00251759" w:rsidRDefault="00664C4D" w:rsidP="00A10B3D">
      <w:pPr>
        <w:pStyle w:val="Heading3"/>
      </w:pPr>
      <w:bookmarkStart w:id="302" w:name="_Toc533669250"/>
      <w:bookmarkStart w:id="303" w:name="_Toc57035958"/>
      <w:r w:rsidRPr="00251759">
        <w:t>Ethics application and approval documents available:</w:t>
      </w:r>
      <w:bookmarkEnd w:id="302"/>
      <w:bookmarkEnd w:id="303"/>
    </w:p>
    <w:p w14:paraId="31917693" w14:textId="77777777" w:rsidR="00664C4D" w:rsidRDefault="00664C4D" w:rsidP="00664C4D">
      <w:pPr>
        <w:pStyle w:val="ListParagraph"/>
        <w:numPr>
          <w:ilvl w:val="0"/>
          <w:numId w:val="45"/>
        </w:numPr>
      </w:pPr>
      <w:r>
        <w:t>Middlesex University Research Ethics Review Form A (Figure 29);</w:t>
      </w:r>
    </w:p>
    <w:p w14:paraId="347EC011" w14:textId="77777777" w:rsidR="00664C4D" w:rsidRDefault="00664C4D" w:rsidP="00664C4D">
      <w:pPr>
        <w:pStyle w:val="ListParagraph"/>
        <w:numPr>
          <w:ilvl w:val="0"/>
          <w:numId w:val="45"/>
        </w:numPr>
      </w:pPr>
      <w:r>
        <w:t>Middlesex University Ethics Sub-Committee Request for Research Clarification (Figure 30);</w:t>
      </w:r>
    </w:p>
    <w:p w14:paraId="7D9B1DC5" w14:textId="77777777" w:rsidR="00664C4D" w:rsidRDefault="00664C4D" w:rsidP="00664C4D">
      <w:pPr>
        <w:pStyle w:val="ListParagraph"/>
        <w:numPr>
          <w:ilvl w:val="0"/>
          <w:numId w:val="45"/>
        </w:numPr>
      </w:pPr>
      <w:r>
        <w:t>Response to Request for Research Clarification (Figure 31);</w:t>
      </w:r>
    </w:p>
    <w:p w14:paraId="42D2075A" w14:textId="77777777" w:rsidR="00664C4D" w:rsidRDefault="00664C4D" w:rsidP="00664C4D">
      <w:pPr>
        <w:pStyle w:val="ListParagraph"/>
        <w:numPr>
          <w:ilvl w:val="0"/>
          <w:numId w:val="45"/>
        </w:numPr>
      </w:pPr>
      <w:r>
        <w:t>Middlesex University Form ED17 Ethics Approval (Figure 32);</w:t>
      </w:r>
    </w:p>
    <w:p w14:paraId="0E70DA0B" w14:textId="77777777" w:rsidR="00664C4D" w:rsidRDefault="00664C4D" w:rsidP="00664C4D">
      <w:pPr>
        <w:pStyle w:val="ListParagraph"/>
        <w:numPr>
          <w:ilvl w:val="0"/>
          <w:numId w:val="45"/>
        </w:numPr>
      </w:pPr>
      <w:r>
        <w:t>Middlesex University Independent Field/Location Work Risk Assessment Form FRA1 (Figure 32).</w:t>
      </w:r>
    </w:p>
    <w:p w14:paraId="1A69A360" w14:textId="77777777" w:rsidR="00664C4D" w:rsidRDefault="00664C4D" w:rsidP="00664C4D">
      <w:pPr>
        <w:spacing w:before="0" w:after="200" w:line="276" w:lineRule="auto"/>
        <w:jc w:val="both"/>
      </w:pPr>
      <w:r>
        <w:br w:type="page"/>
      </w:r>
    </w:p>
    <w:p w14:paraId="61AD695F" w14:textId="243DE58B" w:rsidR="00664C4D" w:rsidRDefault="00664C4D" w:rsidP="00A10B3D">
      <w:pPr>
        <w:pStyle w:val="Heading3"/>
      </w:pPr>
      <w:bookmarkStart w:id="304" w:name="_Toc533669251"/>
      <w:bookmarkStart w:id="305" w:name="_Toc57035959"/>
      <w:r>
        <w:lastRenderedPageBreak/>
        <w:t>I</w:t>
      </w:r>
      <w:r w:rsidR="004D5123">
        <w:tab/>
      </w:r>
      <w:r>
        <w:t>Middlesex University Research Ethics Review Form A</w:t>
      </w:r>
      <w:bookmarkEnd w:id="304"/>
      <w:bookmarkEnd w:id="305"/>
    </w:p>
    <w:p w14:paraId="54B05700" w14:textId="77777777" w:rsidR="00664C4D" w:rsidRDefault="00B568C9" w:rsidP="00664C4D">
      <w:pPr>
        <w:keepNext/>
      </w:pPr>
      <w:r>
        <w:rPr>
          <w:noProof/>
        </w:rPr>
        <w:object w:dxaOrig="8926" w:dyaOrig="12631" w14:anchorId="09DBA5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447.2pt;height:632.8pt;mso-width-percent:0;mso-height-percent:0;mso-width-percent:0;mso-height-percent:0" o:ole="">
            <v:imagedata r:id="rId79" o:title=""/>
          </v:shape>
          <o:OLEObject Type="Embed" ProgID="AcroExch.Document.11" ShapeID="_x0000_i1029" DrawAspect="Content" ObjectID="_1667719435" r:id="rId80"/>
        </w:object>
      </w:r>
    </w:p>
    <w:p w14:paraId="0C066DA6" w14:textId="0074DDE7" w:rsidR="00664C4D" w:rsidRPr="00B67989" w:rsidRDefault="00664C4D" w:rsidP="00664C4D">
      <w:pPr>
        <w:pStyle w:val="Subtitle"/>
      </w:pPr>
      <w:bookmarkStart w:id="306" w:name="_Toc5100697"/>
      <w:bookmarkStart w:id="307" w:name="_Toc9796143"/>
      <w:bookmarkStart w:id="308" w:name="_Toc9796223"/>
      <w:bookmarkStart w:id="309" w:name="_Toc54019633"/>
      <w:bookmarkStart w:id="310" w:name="_Toc56495243"/>
      <w:r>
        <w:t xml:space="preserve">Figure </w:t>
      </w:r>
      <w:r>
        <w:rPr>
          <w:noProof/>
        </w:rPr>
        <w:fldChar w:fldCharType="begin"/>
      </w:r>
      <w:r>
        <w:rPr>
          <w:noProof/>
        </w:rPr>
        <w:instrText xml:space="preserve"> SEQ Figure \* ARABIC </w:instrText>
      </w:r>
      <w:r>
        <w:rPr>
          <w:noProof/>
        </w:rPr>
        <w:fldChar w:fldCharType="separate"/>
      </w:r>
      <w:r w:rsidR="005F0AB9">
        <w:rPr>
          <w:noProof/>
        </w:rPr>
        <w:t>24</w:t>
      </w:r>
      <w:r>
        <w:rPr>
          <w:noProof/>
        </w:rPr>
        <w:fldChar w:fldCharType="end"/>
      </w:r>
      <w:r>
        <w:t>:</w:t>
      </w:r>
      <w:r w:rsidR="0018518C">
        <w:tab/>
      </w:r>
      <w:r>
        <w:t>Research Ethics Review Form A</w:t>
      </w:r>
      <w:bookmarkEnd w:id="306"/>
      <w:bookmarkEnd w:id="307"/>
      <w:bookmarkEnd w:id="308"/>
      <w:bookmarkEnd w:id="309"/>
      <w:bookmarkEnd w:id="310"/>
    </w:p>
    <w:p w14:paraId="6DA93A31" w14:textId="72281939" w:rsidR="00664C4D" w:rsidRDefault="00664C4D" w:rsidP="00A10B3D">
      <w:pPr>
        <w:pStyle w:val="Heading3"/>
      </w:pPr>
      <w:bookmarkStart w:id="311" w:name="_Toc533669252"/>
      <w:bookmarkStart w:id="312" w:name="_Toc57035960"/>
      <w:r>
        <w:lastRenderedPageBreak/>
        <w:t>II</w:t>
      </w:r>
      <w:r w:rsidR="004D5123">
        <w:tab/>
      </w:r>
      <w:r>
        <w:t>Ethics Sub-Committee request for research clarification</w:t>
      </w:r>
      <w:bookmarkEnd w:id="311"/>
      <w:bookmarkEnd w:id="312"/>
    </w:p>
    <w:p w14:paraId="102A4F2F" w14:textId="77777777" w:rsidR="00664C4D" w:rsidRDefault="00B568C9" w:rsidP="00664C4D">
      <w:pPr>
        <w:keepNext/>
      </w:pPr>
      <w:r>
        <w:rPr>
          <w:noProof/>
        </w:rPr>
        <w:object w:dxaOrig="8926" w:dyaOrig="12631" w14:anchorId="2A083DFE">
          <v:shape id="_x0000_i1028" type="#_x0000_t75" alt="" style="width:461.05pt;height:596.8pt;mso-width-percent:0;mso-height-percent:0;mso-width-percent:0;mso-height-percent:0" o:ole="">
            <v:imagedata r:id="rId81" o:title=""/>
          </v:shape>
          <o:OLEObject Type="Embed" ProgID="AcroExch.Document.11" ShapeID="_x0000_i1028" DrawAspect="Content" ObjectID="_1667719436" r:id="rId82"/>
        </w:object>
      </w:r>
    </w:p>
    <w:p w14:paraId="422C6869" w14:textId="77F6F0A8" w:rsidR="00664C4D" w:rsidRDefault="00664C4D" w:rsidP="00664C4D">
      <w:pPr>
        <w:pStyle w:val="Subtitle"/>
      </w:pPr>
      <w:bookmarkStart w:id="313" w:name="_Toc533667317"/>
      <w:bookmarkStart w:id="314" w:name="_Toc5100698"/>
      <w:bookmarkStart w:id="315" w:name="_Toc9796144"/>
      <w:bookmarkStart w:id="316" w:name="_Toc9796224"/>
      <w:bookmarkStart w:id="317" w:name="_Toc54019634"/>
      <w:bookmarkStart w:id="318" w:name="_Toc56495244"/>
      <w:r>
        <w:t xml:space="preserve">Figure </w:t>
      </w:r>
      <w:r>
        <w:rPr>
          <w:noProof/>
        </w:rPr>
        <w:fldChar w:fldCharType="begin"/>
      </w:r>
      <w:r>
        <w:rPr>
          <w:noProof/>
        </w:rPr>
        <w:instrText xml:space="preserve"> SEQ Figure \* ARABIC </w:instrText>
      </w:r>
      <w:r>
        <w:rPr>
          <w:noProof/>
        </w:rPr>
        <w:fldChar w:fldCharType="separate"/>
      </w:r>
      <w:r w:rsidR="005F0AB9">
        <w:rPr>
          <w:noProof/>
        </w:rPr>
        <w:t>25</w:t>
      </w:r>
      <w:r>
        <w:rPr>
          <w:noProof/>
        </w:rPr>
        <w:fldChar w:fldCharType="end"/>
      </w:r>
      <w:r>
        <w:t>:</w:t>
      </w:r>
      <w:r w:rsidR="0018518C">
        <w:tab/>
      </w:r>
      <w:r>
        <w:t>Ethics Sub-Committee request for research clarification</w:t>
      </w:r>
      <w:bookmarkEnd w:id="313"/>
      <w:bookmarkEnd w:id="314"/>
      <w:bookmarkEnd w:id="315"/>
      <w:bookmarkEnd w:id="316"/>
      <w:bookmarkEnd w:id="317"/>
      <w:bookmarkEnd w:id="318"/>
    </w:p>
    <w:p w14:paraId="063356EC" w14:textId="77777777" w:rsidR="00664C4D" w:rsidRPr="00694BB5" w:rsidRDefault="00664C4D" w:rsidP="00664C4D"/>
    <w:p w14:paraId="7A9A629D" w14:textId="5C31AE53" w:rsidR="00664C4D" w:rsidRDefault="00664C4D" w:rsidP="00A10B3D">
      <w:pPr>
        <w:pStyle w:val="Heading3"/>
      </w:pPr>
      <w:bookmarkStart w:id="319" w:name="_Toc533669253"/>
      <w:bookmarkStart w:id="320" w:name="_Toc57035961"/>
      <w:r>
        <w:lastRenderedPageBreak/>
        <w:t>III</w:t>
      </w:r>
      <w:r w:rsidR="004D5123">
        <w:tab/>
      </w:r>
      <w:r>
        <w:t>Response to request for research clarification</w:t>
      </w:r>
      <w:bookmarkEnd w:id="319"/>
      <w:bookmarkEnd w:id="320"/>
    </w:p>
    <w:p w14:paraId="0FC61ACC" w14:textId="77777777" w:rsidR="00664C4D" w:rsidRDefault="00B568C9" w:rsidP="00664C4D">
      <w:pPr>
        <w:keepNext/>
      </w:pPr>
      <w:r>
        <w:rPr>
          <w:noProof/>
        </w:rPr>
        <w:object w:dxaOrig="8926" w:dyaOrig="12631" w14:anchorId="770FB570">
          <v:shape id="_x0000_i1027" type="#_x0000_t75" alt="" style="width:445.4pt;height:625.85pt;mso-width-percent:0;mso-height-percent:0;mso-width-percent:0;mso-height-percent:0" o:ole="">
            <v:imagedata r:id="rId83" o:title=""/>
          </v:shape>
          <o:OLEObject Type="Embed" ProgID="AcroExch.Document.11" ShapeID="_x0000_i1027" DrawAspect="Content" ObjectID="_1667719437" r:id="rId84"/>
        </w:object>
      </w:r>
    </w:p>
    <w:p w14:paraId="6501B7BB" w14:textId="3BDD4DBD" w:rsidR="00A10B3D" w:rsidRDefault="00664C4D" w:rsidP="00A10B3D">
      <w:pPr>
        <w:pStyle w:val="Subtitle"/>
      </w:pPr>
      <w:bookmarkStart w:id="321" w:name="_Toc533667318"/>
      <w:bookmarkStart w:id="322" w:name="_Toc5100699"/>
      <w:bookmarkStart w:id="323" w:name="_Toc9796145"/>
      <w:bookmarkStart w:id="324" w:name="_Toc9796225"/>
      <w:bookmarkStart w:id="325" w:name="_Toc54019635"/>
      <w:bookmarkStart w:id="326" w:name="_Toc56495245"/>
      <w:r>
        <w:t xml:space="preserve">Figure </w:t>
      </w:r>
      <w:r>
        <w:rPr>
          <w:noProof/>
        </w:rPr>
        <w:fldChar w:fldCharType="begin"/>
      </w:r>
      <w:r>
        <w:rPr>
          <w:noProof/>
        </w:rPr>
        <w:instrText xml:space="preserve"> SEQ Figure \* ARABIC </w:instrText>
      </w:r>
      <w:r>
        <w:rPr>
          <w:noProof/>
        </w:rPr>
        <w:fldChar w:fldCharType="separate"/>
      </w:r>
      <w:r w:rsidR="005F0AB9">
        <w:rPr>
          <w:noProof/>
        </w:rPr>
        <w:t>26</w:t>
      </w:r>
      <w:r>
        <w:rPr>
          <w:noProof/>
        </w:rPr>
        <w:fldChar w:fldCharType="end"/>
      </w:r>
      <w:r>
        <w:t>:</w:t>
      </w:r>
      <w:r>
        <w:tab/>
        <w:t>Response to Request for research clarification</w:t>
      </w:r>
      <w:bookmarkStart w:id="327" w:name="_Toc533669254"/>
      <w:bookmarkEnd w:id="321"/>
      <w:bookmarkEnd w:id="322"/>
      <w:bookmarkEnd w:id="323"/>
      <w:bookmarkEnd w:id="324"/>
      <w:bookmarkEnd w:id="325"/>
      <w:bookmarkEnd w:id="326"/>
    </w:p>
    <w:p w14:paraId="70CCFC0A" w14:textId="377D5630" w:rsidR="00664C4D" w:rsidRDefault="00664C4D" w:rsidP="00A10B3D">
      <w:pPr>
        <w:pStyle w:val="Heading3"/>
      </w:pPr>
      <w:bookmarkStart w:id="328" w:name="_Toc57035962"/>
      <w:r>
        <w:lastRenderedPageBreak/>
        <w:t>IV</w:t>
      </w:r>
      <w:r w:rsidR="004D5123">
        <w:tab/>
      </w:r>
      <w:r>
        <w:t>Middlesex University Ethics Approval Document</w:t>
      </w:r>
      <w:bookmarkEnd w:id="327"/>
      <w:bookmarkEnd w:id="328"/>
    </w:p>
    <w:p w14:paraId="02EE0240" w14:textId="57E20BBF" w:rsidR="00664C4D" w:rsidRDefault="00B568C9" w:rsidP="00664C4D">
      <w:pPr>
        <w:keepNext/>
      </w:pPr>
      <w:r>
        <w:rPr>
          <w:noProof/>
        </w:rPr>
        <w:object w:dxaOrig="8926" w:dyaOrig="12631" w14:anchorId="3CFC7715">
          <v:shape id="_x0000_i1026" type="#_x0000_t75" alt="" style="width:444.05pt;height:627.75pt;mso-width-percent:0;mso-height-percent:0;mso-width-percent:0;mso-height-percent:0" o:ole="">
            <v:imagedata r:id="rId85" o:title=""/>
          </v:shape>
          <o:OLEObject Type="Embed" ProgID="AcroExch.Document.11" ShapeID="_x0000_i1026" DrawAspect="Content" ObjectID="_1667719438" r:id="rId86"/>
        </w:object>
      </w:r>
    </w:p>
    <w:p w14:paraId="7FD8F30A" w14:textId="0A80BBF4" w:rsidR="00664C4D" w:rsidRDefault="00664C4D" w:rsidP="00664C4D">
      <w:pPr>
        <w:pStyle w:val="Subtitle"/>
      </w:pPr>
      <w:bookmarkStart w:id="329" w:name="_Toc533667319"/>
      <w:bookmarkStart w:id="330" w:name="_Toc5100700"/>
      <w:bookmarkStart w:id="331" w:name="_Toc9796146"/>
      <w:bookmarkStart w:id="332" w:name="_Toc9796226"/>
      <w:bookmarkStart w:id="333" w:name="_Toc54019636"/>
      <w:bookmarkStart w:id="334" w:name="_Toc56495246"/>
      <w:r>
        <w:t xml:space="preserve">Figure </w:t>
      </w:r>
      <w:r>
        <w:rPr>
          <w:noProof/>
        </w:rPr>
        <w:fldChar w:fldCharType="begin"/>
      </w:r>
      <w:r>
        <w:rPr>
          <w:noProof/>
        </w:rPr>
        <w:instrText xml:space="preserve"> SEQ Figure \* ARABIC </w:instrText>
      </w:r>
      <w:r>
        <w:rPr>
          <w:noProof/>
        </w:rPr>
        <w:fldChar w:fldCharType="separate"/>
      </w:r>
      <w:r w:rsidR="005F0AB9">
        <w:rPr>
          <w:noProof/>
        </w:rPr>
        <w:t>27</w:t>
      </w:r>
      <w:r>
        <w:rPr>
          <w:noProof/>
        </w:rPr>
        <w:fldChar w:fldCharType="end"/>
      </w:r>
      <w:r>
        <w:t>:</w:t>
      </w:r>
      <w:r>
        <w:tab/>
        <w:t>Middlesex University Ethics Approval Document</w:t>
      </w:r>
      <w:bookmarkEnd w:id="329"/>
      <w:bookmarkEnd w:id="330"/>
      <w:bookmarkEnd w:id="331"/>
      <w:bookmarkEnd w:id="332"/>
      <w:bookmarkEnd w:id="333"/>
      <w:bookmarkEnd w:id="334"/>
    </w:p>
    <w:p w14:paraId="40F0C3C4" w14:textId="670DDC6E" w:rsidR="00664C4D" w:rsidRDefault="00664C4D" w:rsidP="00A10B3D">
      <w:pPr>
        <w:pStyle w:val="Heading3"/>
      </w:pPr>
      <w:bookmarkStart w:id="335" w:name="_Toc533669255"/>
      <w:bookmarkStart w:id="336" w:name="_Toc57035963"/>
      <w:r>
        <w:lastRenderedPageBreak/>
        <w:t>V</w:t>
      </w:r>
      <w:r w:rsidR="004D5123">
        <w:tab/>
      </w:r>
      <w:r>
        <w:t>Middlesex University Independent Field/Location Work Risk Assessment Form FRA1</w:t>
      </w:r>
      <w:bookmarkEnd w:id="335"/>
      <w:bookmarkEnd w:id="336"/>
    </w:p>
    <w:p w14:paraId="6F930DCB" w14:textId="77777777" w:rsidR="00664C4D" w:rsidRDefault="00B568C9" w:rsidP="00664C4D">
      <w:pPr>
        <w:keepNext/>
      </w:pPr>
      <w:r>
        <w:rPr>
          <w:noProof/>
        </w:rPr>
        <w:object w:dxaOrig="8926" w:dyaOrig="12631" w14:anchorId="36225BFB">
          <v:shape id="_x0000_i1025" type="#_x0000_t75" alt="" style="width:416.4pt;height:591.15pt;mso-width-percent:0;mso-height-percent:0;mso-width-percent:0;mso-height-percent:0" o:ole="">
            <v:imagedata r:id="rId87" o:title=""/>
          </v:shape>
          <o:OLEObject Type="Embed" ProgID="AcroExch.Document.11" ShapeID="_x0000_i1025" DrawAspect="Content" ObjectID="_1667719439" r:id="rId88"/>
        </w:object>
      </w:r>
    </w:p>
    <w:p w14:paraId="2E7452F8" w14:textId="0CD39A23" w:rsidR="00B94101" w:rsidRPr="00B94101" w:rsidRDefault="00664C4D" w:rsidP="00936532">
      <w:pPr>
        <w:pStyle w:val="Subtitle"/>
      </w:pPr>
      <w:bookmarkStart w:id="337" w:name="_Toc533667320"/>
      <w:bookmarkStart w:id="338" w:name="_Toc5100701"/>
      <w:bookmarkStart w:id="339" w:name="_Toc9796147"/>
      <w:bookmarkStart w:id="340" w:name="_Toc9796227"/>
      <w:bookmarkStart w:id="341" w:name="_Toc54019637"/>
      <w:bookmarkStart w:id="342" w:name="_Toc56495247"/>
      <w:r>
        <w:t xml:space="preserve">Figure </w:t>
      </w:r>
      <w:r>
        <w:rPr>
          <w:noProof/>
        </w:rPr>
        <w:fldChar w:fldCharType="begin"/>
      </w:r>
      <w:r>
        <w:rPr>
          <w:noProof/>
        </w:rPr>
        <w:instrText xml:space="preserve"> SEQ Figure \* ARABIC </w:instrText>
      </w:r>
      <w:r>
        <w:rPr>
          <w:noProof/>
        </w:rPr>
        <w:fldChar w:fldCharType="separate"/>
      </w:r>
      <w:r w:rsidR="005F0AB9">
        <w:rPr>
          <w:noProof/>
        </w:rPr>
        <w:t>28</w:t>
      </w:r>
      <w:r>
        <w:rPr>
          <w:noProof/>
        </w:rPr>
        <w:fldChar w:fldCharType="end"/>
      </w:r>
      <w:r>
        <w:t>:</w:t>
      </w:r>
      <w:r w:rsidR="00A10B3D">
        <w:tab/>
      </w:r>
      <w:r>
        <w:t>Risk Assessment F</w:t>
      </w:r>
      <w:bookmarkEnd w:id="337"/>
      <w:bookmarkEnd w:id="338"/>
      <w:bookmarkEnd w:id="339"/>
      <w:bookmarkEnd w:id="340"/>
      <w:bookmarkEnd w:id="341"/>
      <w:r w:rsidR="0018518C">
        <w:t>orm FRA1.</w:t>
      </w:r>
      <w:bookmarkEnd w:id="342"/>
    </w:p>
    <w:sectPr w:rsidR="00B94101" w:rsidRPr="00B94101" w:rsidSect="00A2665A">
      <w:headerReference w:type="default" r:id="rId8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570F4F" w14:textId="77777777" w:rsidR="00B568C9" w:rsidRDefault="00B568C9" w:rsidP="00F75D04">
      <w:pPr>
        <w:spacing w:before="0" w:after="0" w:line="240" w:lineRule="auto"/>
      </w:pPr>
      <w:r>
        <w:separator/>
      </w:r>
    </w:p>
  </w:endnote>
  <w:endnote w:type="continuationSeparator" w:id="0">
    <w:p w14:paraId="07116683" w14:textId="77777777" w:rsidR="00B568C9" w:rsidRDefault="00B568C9" w:rsidP="00F75D0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uli">
    <w:altName w:val="Geneva"/>
    <w:panose1 w:val="020B0604020202020204"/>
    <w:charset w:val="4D"/>
    <w:family w:val="auto"/>
    <w:pitch w:val="variable"/>
    <w:sig w:usb0="A00000EF" w:usb1="4000204B"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6FF" w:usb1="4000FCFF" w:usb2="00000009" w:usb3="00000000" w:csb0="0000019F" w:csb1="00000000"/>
  </w:font>
  <w:font w:name="Tahoma">
    <w:panose1 w:val="020B060403050404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imes New Roman (Body CS)">
    <w:panose1 w:val="020B0604020202020204"/>
    <w:charset w:val="00"/>
    <w:family w:val="roman"/>
    <w:pitch w:val="default"/>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69BDAE" w14:textId="77777777" w:rsidR="00B568C9" w:rsidRDefault="00B568C9" w:rsidP="00F75D04">
      <w:pPr>
        <w:spacing w:before="0" w:after="0" w:line="240" w:lineRule="auto"/>
      </w:pPr>
      <w:r>
        <w:separator/>
      </w:r>
    </w:p>
  </w:footnote>
  <w:footnote w:type="continuationSeparator" w:id="0">
    <w:p w14:paraId="527A413F" w14:textId="77777777" w:rsidR="00B568C9" w:rsidRDefault="00B568C9" w:rsidP="00F75D04">
      <w:pPr>
        <w:spacing w:before="0" w:after="0" w:line="240" w:lineRule="auto"/>
      </w:pPr>
      <w:r>
        <w:continuationSeparator/>
      </w:r>
    </w:p>
  </w:footnote>
  <w:footnote w:id="1">
    <w:p w14:paraId="349BA4E9" w14:textId="77777777" w:rsidR="00533FBF" w:rsidRDefault="00533FBF" w:rsidP="00664C4D">
      <w:pPr>
        <w:pStyle w:val="FootnoteText"/>
      </w:pPr>
      <w:r>
        <w:rPr>
          <w:rStyle w:val="FootnoteReference"/>
        </w:rPr>
        <w:footnoteRef/>
      </w:r>
      <w:r>
        <w:t xml:space="preserve"> </w:t>
      </w:r>
      <w:r w:rsidRPr="00C31337">
        <w:rPr>
          <w:rFonts w:ascii="Gill Sans MT" w:hAnsi="Gill Sans MT"/>
          <w:sz w:val="18"/>
          <w:szCs w:val="18"/>
        </w:rPr>
        <w:t>Available at:</w:t>
      </w:r>
      <w:r>
        <w:rPr>
          <w:rFonts w:ascii="Gill Sans MT" w:hAnsi="Gill Sans MT"/>
          <w:sz w:val="18"/>
          <w:szCs w:val="18"/>
        </w:rPr>
        <w:t xml:space="preserve"> http://www.ad1281.uk/researchQNR.html</w:t>
      </w:r>
    </w:p>
  </w:footnote>
  <w:footnote w:id="2">
    <w:p w14:paraId="52123D22" w14:textId="77777777" w:rsidR="00533FBF" w:rsidRDefault="00533FBF" w:rsidP="00664C4D">
      <w:pPr>
        <w:pStyle w:val="FootnoteText"/>
      </w:pPr>
      <w:r>
        <w:rPr>
          <w:rStyle w:val="FootnoteReference"/>
        </w:rPr>
        <w:footnoteRef/>
      </w:r>
      <w:r>
        <w:t xml:space="preserve"> </w:t>
      </w:r>
      <w:r w:rsidRPr="00A71F4C">
        <w:rPr>
          <w:rFonts w:ascii="Gill Sans MT" w:hAnsi="Gill Sans MT"/>
          <w:sz w:val="18"/>
          <w:szCs w:val="18"/>
        </w:rPr>
        <w:t>a link was provided to the relevant documentation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5342485"/>
      <w:docPartObj>
        <w:docPartGallery w:val="Page Numbers (Top of Page)"/>
        <w:docPartUnique/>
      </w:docPartObj>
    </w:sdtPr>
    <w:sdtEndPr>
      <w:rPr>
        <w:noProof/>
      </w:rPr>
    </w:sdtEndPr>
    <w:sdtContent>
      <w:p w14:paraId="0468450C" w14:textId="77777777" w:rsidR="00533FBF" w:rsidRDefault="00533FB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F2D9B1A" w14:textId="77777777" w:rsidR="00533FBF" w:rsidRDefault="00533FBF">
    <w:pPr>
      <w:pStyle w:val="Header"/>
    </w:pPr>
    <w:r>
      <w:rPr>
        <w:noProof/>
        <w:lang w:eastAsia="en-GB"/>
      </w:rPr>
      <mc:AlternateContent>
        <mc:Choice Requires="wps">
          <w:drawing>
            <wp:anchor distT="0" distB="0" distL="114300" distR="114300" simplePos="0" relativeHeight="251668480" behindDoc="0" locked="0" layoutInCell="1" allowOverlap="1" wp14:anchorId="45E1EDEB" wp14:editId="07712B90">
              <wp:simplePos x="0" y="0"/>
              <wp:positionH relativeFrom="column">
                <wp:posOffset>28574</wp:posOffset>
              </wp:positionH>
              <wp:positionV relativeFrom="paragraph">
                <wp:posOffset>90170</wp:posOffset>
              </wp:positionV>
              <wp:extent cx="5381625" cy="0"/>
              <wp:effectExtent l="0" t="0" r="0" b="0"/>
              <wp:wrapNone/>
              <wp:docPr id="43" name="Straight Connector 43"/>
              <wp:cNvGraphicFramePr/>
              <a:graphic xmlns:a="http://schemas.openxmlformats.org/drawingml/2006/main">
                <a:graphicData uri="http://schemas.microsoft.com/office/word/2010/wordprocessingShape">
                  <wps:wsp>
                    <wps:cNvCnPr/>
                    <wps:spPr>
                      <a:xfrm>
                        <a:off x="0" y="0"/>
                        <a:ext cx="5381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740823" id="Straight Connector 4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25pt,7.1pt" to="426pt,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" strokecolor="#4472c4 [3204]" strokeweight=".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7530071"/>
      <w:docPartObj>
        <w:docPartGallery w:val="Page Numbers (Top of Page)"/>
        <w:docPartUnique/>
      </w:docPartObj>
    </w:sdtPr>
    <w:sdtEndPr>
      <w:rPr>
        <w:noProof/>
      </w:rPr>
    </w:sdtEndPr>
    <w:sdtContent>
      <w:p w14:paraId="0F8C0C4D" w14:textId="77777777" w:rsidR="00533FBF" w:rsidRDefault="00533FB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AC09149" w14:textId="77777777" w:rsidR="00533FBF" w:rsidRDefault="00533FBF">
    <w:pPr>
      <w:pStyle w:val="Header"/>
    </w:pPr>
    <w:r>
      <w:rPr>
        <w:noProof/>
        <w:lang w:eastAsia="en-GB"/>
      </w:rPr>
      <mc:AlternateContent>
        <mc:Choice Requires="wps">
          <w:drawing>
            <wp:anchor distT="0" distB="0" distL="114300" distR="114300" simplePos="0" relativeHeight="251659264" behindDoc="0" locked="0" layoutInCell="1" allowOverlap="1" wp14:anchorId="58B111D8" wp14:editId="1C066E3A">
              <wp:simplePos x="0" y="0"/>
              <wp:positionH relativeFrom="column">
                <wp:posOffset>28574</wp:posOffset>
              </wp:positionH>
              <wp:positionV relativeFrom="paragraph">
                <wp:posOffset>90170</wp:posOffset>
              </wp:positionV>
              <wp:extent cx="5381625"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5381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30FE97" id="Straight Connector 1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7.1pt" to="426pt,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" strokecolor="#4472c4 [3204]"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71485387"/>
      <w:docPartObj>
        <w:docPartGallery w:val="Page Numbers (Top of Page)"/>
        <w:docPartUnique/>
      </w:docPartObj>
    </w:sdtPr>
    <w:sdtEndPr>
      <w:rPr>
        <w:noProof/>
      </w:rPr>
    </w:sdtEndPr>
    <w:sdtContent>
      <w:p w14:paraId="09EF30B8" w14:textId="77777777" w:rsidR="00533FBF" w:rsidRDefault="00533FBF">
        <w:pPr>
          <w:pStyle w:val="Header"/>
          <w:jc w:val="right"/>
        </w:pPr>
        <w:r>
          <w:fldChar w:fldCharType="begin"/>
        </w:r>
        <w:r>
          <w:instrText xml:space="preserve"> PAGE   \* MERGEFORMAT </w:instrText>
        </w:r>
        <w:r>
          <w:fldChar w:fldCharType="separate"/>
        </w:r>
        <w:r>
          <w:rPr>
            <w:noProof/>
          </w:rPr>
          <w:t>198</w:t>
        </w:r>
        <w:r>
          <w:rPr>
            <w:noProof/>
          </w:rPr>
          <w:fldChar w:fldCharType="end"/>
        </w:r>
      </w:p>
    </w:sdtContent>
  </w:sdt>
  <w:p w14:paraId="382CAB3B" w14:textId="77777777" w:rsidR="00533FBF" w:rsidRDefault="00533FBF">
    <w:pPr>
      <w:pStyle w:val="Header"/>
    </w:pPr>
    <w:r>
      <w:rPr>
        <w:noProof/>
        <w:lang w:eastAsia="en-GB"/>
      </w:rPr>
      <mc:AlternateContent>
        <mc:Choice Requires="wps">
          <w:drawing>
            <wp:anchor distT="0" distB="0" distL="114300" distR="114300" simplePos="0" relativeHeight="251663360" behindDoc="0" locked="0" layoutInCell="1" allowOverlap="1" wp14:anchorId="174248C5" wp14:editId="64EE5F64">
              <wp:simplePos x="0" y="0"/>
              <wp:positionH relativeFrom="column">
                <wp:posOffset>28574</wp:posOffset>
              </wp:positionH>
              <wp:positionV relativeFrom="paragraph">
                <wp:posOffset>90170</wp:posOffset>
              </wp:positionV>
              <wp:extent cx="5381625" cy="0"/>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5381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3C83C0" id="Straight Connector 2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25pt,7.1pt" to="426pt,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" strokecolor="#4472c4 [3204]" strokeweight=".5pt">
              <v:stroke joinstyle="miter"/>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8837628"/>
      <w:docPartObj>
        <w:docPartGallery w:val="Page Numbers (Top of Page)"/>
        <w:docPartUnique/>
      </w:docPartObj>
    </w:sdtPr>
    <w:sdtEndPr>
      <w:rPr>
        <w:noProof/>
      </w:rPr>
    </w:sdtEndPr>
    <w:sdtContent>
      <w:p w14:paraId="20C02DED" w14:textId="77777777" w:rsidR="00533FBF" w:rsidRDefault="00533FBF">
        <w:pPr>
          <w:pStyle w:val="Header"/>
          <w:jc w:val="right"/>
        </w:pPr>
        <w:r>
          <w:fldChar w:fldCharType="begin"/>
        </w:r>
        <w:r>
          <w:instrText xml:space="preserve"> PAGE   \* MERGEFORMAT </w:instrText>
        </w:r>
        <w:r>
          <w:fldChar w:fldCharType="separate"/>
        </w:r>
        <w:r>
          <w:rPr>
            <w:noProof/>
          </w:rPr>
          <w:t>325</w:t>
        </w:r>
        <w:r>
          <w:rPr>
            <w:noProof/>
          </w:rPr>
          <w:fldChar w:fldCharType="end"/>
        </w:r>
      </w:p>
    </w:sdtContent>
  </w:sdt>
  <w:p w14:paraId="07AE9825" w14:textId="77777777" w:rsidR="00533FBF" w:rsidRDefault="00533FBF">
    <w:pPr>
      <w:pStyle w:val="Header"/>
    </w:pPr>
    <w:r>
      <w:rPr>
        <w:noProof/>
        <w:lang w:eastAsia="en-GB"/>
      </w:rPr>
      <mc:AlternateContent>
        <mc:Choice Requires="wps">
          <w:drawing>
            <wp:anchor distT="0" distB="0" distL="114300" distR="114300" simplePos="0" relativeHeight="251666432" behindDoc="0" locked="0" layoutInCell="1" allowOverlap="1" wp14:anchorId="7D155E3F" wp14:editId="37CD8AF4">
              <wp:simplePos x="0" y="0"/>
              <wp:positionH relativeFrom="column">
                <wp:posOffset>9524</wp:posOffset>
              </wp:positionH>
              <wp:positionV relativeFrom="paragraph">
                <wp:posOffset>118745</wp:posOffset>
              </wp:positionV>
              <wp:extent cx="5362575"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536257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1C86FF11" id="Straight Connector 13"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9.35pt" to="423pt,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" strokecolor="#ed7d31 [3205]" strokeweight=".5pt">
              <v:stroke joinstyle="miter"/>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0145791"/>
      <w:docPartObj>
        <w:docPartGallery w:val="Page Numbers (Top of Page)"/>
        <w:docPartUnique/>
      </w:docPartObj>
    </w:sdtPr>
    <w:sdtEndPr>
      <w:rPr>
        <w:noProof/>
      </w:rPr>
    </w:sdtEndPr>
    <w:sdtContent>
      <w:p w14:paraId="54030570" w14:textId="77777777" w:rsidR="00533FBF" w:rsidRDefault="00533FBF">
        <w:pPr>
          <w:pStyle w:val="Header"/>
          <w:jc w:val="right"/>
        </w:pPr>
        <w:r>
          <w:fldChar w:fldCharType="begin"/>
        </w:r>
        <w:r>
          <w:instrText xml:space="preserve"> PAGE   \* MERGEFORMAT </w:instrText>
        </w:r>
        <w:r>
          <w:fldChar w:fldCharType="separate"/>
        </w:r>
        <w:r>
          <w:rPr>
            <w:noProof/>
          </w:rPr>
          <w:t>225</w:t>
        </w:r>
        <w:r>
          <w:rPr>
            <w:noProof/>
          </w:rPr>
          <w:fldChar w:fldCharType="end"/>
        </w:r>
      </w:p>
    </w:sdtContent>
  </w:sdt>
  <w:p w14:paraId="12F47D32" w14:textId="77777777" w:rsidR="00533FBF" w:rsidRDefault="00533FBF">
    <w:pPr>
      <w:pStyle w:val="Header"/>
    </w:pPr>
    <w:r>
      <w:rPr>
        <w:noProof/>
        <w:lang w:eastAsia="en-GB"/>
      </w:rPr>
      <mc:AlternateContent>
        <mc:Choice Requires="wps">
          <w:drawing>
            <wp:anchor distT="0" distB="0" distL="114300" distR="114300" simplePos="0" relativeHeight="251664384" behindDoc="0" locked="0" layoutInCell="1" allowOverlap="1" wp14:anchorId="27CE7784" wp14:editId="36CBC3EB">
              <wp:simplePos x="0" y="0"/>
              <wp:positionH relativeFrom="column">
                <wp:posOffset>28574</wp:posOffset>
              </wp:positionH>
              <wp:positionV relativeFrom="paragraph">
                <wp:posOffset>90170</wp:posOffset>
              </wp:positionV>
              <wp:extent cx="5381625"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5381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1AF614" id="Straight Connector 3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25pt,7.1pt" to="426pt,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" strokecolor="#4472c4 [3204]"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0DCCD14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2A448E"/>
    <w:multiLevelType w:val="hybridMultilevel"/>
    <w:tmpl w:val="5B2C08C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8647A3"/>
    <w:multiLevelType w:val="hybridMultilevel"/>
    <w:tmpl w:val="A7BAF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2931C9"/>
    <w:multiLevelType w:val="hybridMultilevel"/>
    <w:tmpl w:val="2DE65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491649"/>
    <w:multiLevelType w:val="multilevel"/>
    <w:tmpl w:val="32FA1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4B2554"/>
    <w:multiLevelType w:val="hybridMultilevel"/>
    <w:tmpl w:val="9E2449F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37797F"/>
    <w:multiLevelType w:val="hybridMultilevel"/>
    <w:tmpl w:val="B6EC1B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74E4545"/>
    <w:multiLevelType w:val="hybridMultilevel"/>
    <w:tmpl w:val="5840EF74"/>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9" w15:restartNumberingAfterBreak="0">
    <w:nsid w:val="176C3EFF"/>
    <w:multiLevelType w:val="hybridMultilevel"/>
    <w:tmpl w:val="EE5CE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826060"/>
    <w:multiLevelType w:val="hybridMultilevel"/>
    <w:tmpl w:val="0FAA3B1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445FFE"/>
    <w:multiLevelType w:val="multilevel"/>
    <w:tmpl w:val="CA78E3B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D3772F6"/>
    <w:multiLevelType w:val="hybridMultilevel"/>
    <w:tmpl w:val="560204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D8711D"/>
    <w:multiLevelType w:val="hybridMultilevel"/>
    <w:tmpl w:val="7A4E5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F64927"/>
    <w:multiLevelType w:val="hybridMultilevel"/>
    <w:tmpl w:val="28A6D6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8684621"/>
    <w:multiLevelType w:val="hybridMultilevel"/>
    <w:tmpl w:val="53FE8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175F7E"/>
    <w:multiLevelType w:val="hybridMultilevel"/>
    <w:tmpl w:val="5B1CD90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894E33"/>
    <w:multiLevelType w:val="multilevel"/>
    <w:tmpl w:val="D3E4748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B86921"/>
    <w:multiLevelType w:val="hybridMultilevel"/>
    <w:tmpl w:val="ED50DFF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DB7A7B"/>
    <w:multiLevelType w:val="hybridMultilevel"/>
    <w:tmpl w:val="240C6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266102"/>
    <w:multiLevelType w:val="hybridMultilevel"/>
    <w:tmpl w:val="8A4E6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0C6009"/>
    <w:multiLevelType w:val="multilevel"/>
    <w:tmpl w:val="0C5A1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0F12F24"/>
    <w:multiLevelType w:val="hybridMultilevel"/>
    <w:tmpl w:val="55366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BF6CB6"/>
    <w:multiLevelType w:val="hybridMultilevel"/>
    <w:tmpl w:val="7FF8B30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D7273C"/>
    <w:multiLevelType w:val="hybridMultilevel"/>
    <w:tmpl w:val="CA26B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4844AF"/>
    <w:multiLevelType w:val="multilevel"/>
    <w:tmpl w:val="5E0AFC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48E83159"/>
    <w:multiLevelType w:val="hybridMultilevel"/>
    <w:tmpl w:val="A28421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7A6819"/>
    <w:multiLevelType w:val="multilevel"/>
    <w:tmpl w:val="D3E4748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2F7734"/>
    <w:multiLevelType w:val="hybridMultilevel"/>
    <w:tmpl w:val="89D2C5B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8D0212"/>
    <w:multiLevelType w:val="hybridMultilevel"/>
    <w:tmpl w:val="16F039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5C4079F"/>
    <w:multiLevelType w:val="hybridMultilevel"/>
    <w:tmpl w:val="0254B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F36A5E"/>
    <w:multiLevelType w:val="hybridMultilevel"/>
    <w:tmpl w:val="ADCAC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0C363D"/>
    <w:multiLevelType w:val="hybridMultilevel"/>
    <w:tmpl w:val="DF2C2242"/>
    <w:lvl w:ilvl="0" w:tplc="BF5E1E5A">
      <w:start w:val="1"/>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F005203"/>
    <w:multiLevelType w:val="multilevel"/>
    <w:tmpl w:val="FF9C91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61A25442"/>
    <w:multiLevelType w:val="hybridMultilevel"/>
    <w:tmpl w:val="49B4D8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3976932"/>
    <w:multiLevelType w:val="hybridMultilevel"/>
    <w:tmpl w:val="0622A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617E64"/>
    <w:multiLevelType w:val="hybridMultilevel"/>
    <w:tmpl w:val="D81419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A09289C"/>
    <w:multiLevelType w:val="hybridMultilevel"/>
    <w:tmpl w:val="F66AC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D06965"/>
    <w:multiLevelType w:val="hybridMultilevel"/>
    <w:tmpl w:val="3ED4A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7317D1"/>
    <w:multiLevelType w:val="hybridMultilevel"/>
    <w:tmpl w:val="CC76731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892B2F"/>
    <w:multiLevelType w:val="hybridMultilevel"/>
    <w:tmpl w:val="B67C6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D30C02"/>
    <w:multiLevelType w:val="hybridMultilevel"/>
    <w:tmpl w:val="C074B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8C5850"/>
    <w:multiLevelType w:val="hybridMultilevel"/>
    <w:tmpl w:val="95381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8A0C13"/>
    <w:multiLevelType w:val="hybridMultilevel"/>
    <w:tmpl w:val="3B5ED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6C5D2D"/>
    <w:multiLevelType w:val="hybridMultilevel"/>
    <w:tmpl w:val="AAB0D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7D6F92"/>
    <w:multiLevelType w:val="hybridMultilevel"/>
    <w:tmpl w:val="0A42F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FB2136"/>
    <w:multiLevelType w:val="hybridMultilevel"/>
    <w:tmpl w:val="874E6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884F30"/>
    <w:multiLevelType w:val="hybridMultilevel"/>
    <w:tmpl w:val="73DC32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9"/>
  </w:num>
  <w:num w:numId="2">
    <w:abstractNumId w:val="13"/>
  </w:num>
  <w:num w:numId="3">
    <w:abstractNumId w:val="38"/>
  </w:num>
  <w:num w:numId="4">
    <w:abstractNumId w:val="7"/>
  </w:num>
  <w:num w:numId="5">
    <w:abstractNumId w:val="17"/>
  </w:num>
  <w:num w:numId="6">
    <w:abstractNumId w:val="27"/>
  </w:num>
  <w:num w:numId="7">
    <w:abstractNumId w:val="15"/>
  </w:num>
  <w:num w:numId="8">
    <w:abstractNumId w:val="20"/>
  </w:num>
  <w:num w:numId="9">
    <w:abstractNumId w:val="32"/>
  </w:num>
  <w:num w:numId="10">
    <w:abstractNumId w:val="1"/>
  </w:num>
  <w:num w:numId="11">
    <w:abstractNumId w:val="0"/>
  </w:num>
  <w:num w:numId="12">
    <w:abstractNumId w:val="18"/>
  </w:num>
  <w:num w:numId="13">
    <w:abstractNumId w:val="23"/>
  </w:num>
  <w:num w:numId="14">
    <w:abstractNumId w:val="6"/>
  </w:num>
  <w:num w:numId="15">
    <w:abstractNumId w:val="12"/>
  </w:num>
  <w:num w:numId="16">
    <w:abstractNumId w:val="14"/>
  </w:num>
  <w:num w:numId="17">
    <w:abstractNumId w:val="29"/>
  </w:num>
  <w:num w:numId="18">
    <w:abstractNumId w:val="34"/>
  </w:num>
  <w:num w:numId="19">
    <w:abstractNumId w:val="39"/>
  </w:num>
  <w:num w:numId="20">
    <w:abstractNumId w:val="2"/>
  </w:num>
  <w:num w:numId="21">
    <w:abstractNumId w:val="44"/>
  </w:num>
  <w:num w:numId="22">
    <w:abstractNumId w:val="35"/>
  </w:num>
  <w:num w:numId="23">
    <w:abstractNumId w:val="28"/>
  </w:num>
  <w:num w:numId="24">
    <w:abstractNumId w:val="21"/>
  </w:num>
  <w:num w:numId="25">
    <w:abstractNumId w:val="25"/>
  </w:num>
  <w:num w:numId="26">
    <w:abstractNumId w:val="33"/>
  </w:num>
  <w:num w:numId="27">
    <w:abstractNumId w:val="26"/>
  </w:num>
  <w:num w:numId="28">
    <w:abstractNumId w:val="3"/>
  </w:num>
  <w:num w:numId="29">
    <w:abstractNumId w:val="5"/>
  </w:num>
  <w:num w:numId="30">
    <w:abstractNumId w:val="37"/>
  </w:num>
  <w:num w:numId="31">
    <w:abstractNumId w:val="43"/>
  </w:num>
  <w:num w:numId="32">
    <w:abstractNumId w:val="41"/>
  </w:num>
  <w:num w:numId="33">
    <w:abstractNumId w:val="30"/>
  </w:num>
  <w:num w:numId="34">
    <w:abstractNumId w:val="19"/>
  </w:num>
  <w:num w:numId="35">
    <w:abstractNumId w:val="36"/>
  </w:num>
  <w:num w:numId="36">
    <w:abstractNumId w:val="11"/>
  </w:num>
  <w:num w:numId="37">
    <w:abstractNumId w:val="22"/>
  </w:num>
  <w:num w:numId="38">
    <w:abstractNumId w:val="10"/>
  </w:num>
  <w:num w:numId="39">
    <w:abstractNumId w:val="42"/>
  </w:num>
  <w:num w:numId="40">
    <w:abstractNumId w:val="46"/>
  </w:num>
  <w:num w:numId="41">
    <w:abstractNumId w:val="45"/>
  </w:num>
  <w:num w:numId="42">
    <w:abstractNumId w:val="31"/>
  </w:num>
  <w:num w:numId="43">
    <w:abstractNumId w:val="24"/>
  </w:num>
  <w:num w:numId="44">
    <w:abstractNumId w:val="47"/>
  </w:num>
  <w:num w:numId="45">
    <w:abstractNumId w:val="16"/>
  </w:num>
  <w:num w:numId="46">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0"/>
  </w:num>
  <w:num w:numId="48">
    <w:abstractNumId w:val="8"/>
  </w:num>
  <w:num w:numId="49">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9"/>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D04"/>
    <w:rsid w:val="00003B82"/>
    <w:rsid w:val="00003EA4"/>
    <w:rsid w:val="00004487"/>
    <w:rsid w:val="0000449A"/>
    <w:rsid w:val="0000500B"/>
    <w:rsid w:val="000056FF"/>
    <w:rsid w:val="0000580D"/>
    <w:rsid w:val="00007B8A"/>
    <w:rsid w:val="0001128E"/>
    <w:rsid w:val="000123D2"/>
    <w:rsid w:val="000146BF"/>
    <w:rsid w:val="000166CE"/>
    <w:rsid w:val="000208BE"/>
    <w:rsid w:val="0002518F"/>
    <w:rsid w:val="00030ACE"/>
    <w:rsid w:val="00032CA6"/>
    <w:rsid w:val="00035954"/>
    <w:rsid w:val="00037F5E"/>
    <w:rsid w:val="00040656"/>
    <w:rsid w:val="00043706"/>
    <w:rsid w:val="00044B3E"/>
    <w:rsid w:val="00046B9B"/>
    <w:rsid w:val="00047252"/>
    <w:rsid w:val="00056C40"/>
    <w:rsid w:val="00057004"/>
    <w:rsid w:val="000573C6"/>
    <w:rsid w:val="00057C4A"/>
    <w:rsid w:val="000601F9"/>
    <w:rsid w:val="00060593"/>
    <w:rsid w:val="00061580"/>
    <w:rsid w:val="000631E7"/>
    <w:rsid w:val="000633AE"/>
    <w:rsid w:val="000638D7"/>
    <w:rsid w:val="00063A7A"/>
    <w:rsid w:val="00070DEC"/>
    <w:rsid w:val="000718EA"/>
    <w:rsid w:val="000736F7"/>
    <w:rsid w:val="000757F0"/>
    <w:rsid w:val="000758A7"/>
    <w:rsid w:val="000765CE"/>
    <w:rsid w:val="00077CFE"/>
    <w:rsid w:val="00080121"/>
    <w:rsid w:val="00080C43"/>
    <w:rsid w:val="00081FB1"/>
    <w:rsid w:val="000838AA"/>
    <w:rsid w:val="0008468E"/>
    <w:rsid w:val="00085E3D"/>
    <w:rsid w:val="00086112"/>
    <w:rsid w:val="0009185A"/>
    <w:rsid w:val="00094EBE"/>
    <w:rsid w:val="00096EB2"/>
    <w:rsid w:val="000971D7"/>
    <w:rsid w:val="00097CB6"/>
    <w:rsid w:val="000A115D"/>
    <w:rsid w:val="000A18C1"/>
    <w:rsid w:val="000A715B"/>
    <w:rsid w:val="000A7306"/>
    <w:rsid w:val="000B12B2"/>
    <w:rsid w:val="000B2858"/>
    <w:rsid w:val="000B4328"/>
    <w:rsid w:val="000B6579"/>
    <w:rsid w:val="000C0184"/>
    <w:rsid w:val="000C095E"/>
    <w:rsid w:val="000C0B22"/>
    <w:rsid w:val="000C1E2A"/>
    <w:rsid w:val="000C2280"/>
    <w:rsid w:val="000C28C5"/>
    <w:rsid w:val="000C5CBA"/>
    <w:rsid w:val="000D114A"/>
    <w:rsid w:val="000D345F"/>
    <w:rsid w:val="000D369D"/>
    <w:rsid w:val="000D40AC"/>
    <w:rsid w:val="000D5003"/>
    <w:rsid w:val="000D58AD"/>
    <w:rsid w:val="000D61DF"/>
    <w:rsid w:val="000E690E"/>
    <w:rsid w:val="000E71C3"/>
    <w:rsid w:val="000F0752"/>
    <w:rsid w:val="000F3AC8"/>
    <w:rsid w:val="000F438F"/>
    <w:rsid w:val="000F4678"/>
    <w:rsid w:val="000F5E95"/>
    <w:rsid w:val="000F7B50"/>
    <w:rsid w:val="00100C45"/>
    <w:rsid w:val="001010D4"/>
    <w:rsid w:val="00101501"/>
    <w:rsid w:val="00101E85"/>
    <w:rsid w:val="001039E6"/>
    <w:rsid w:val="001040CB"/>
    <w:rsid w:val="0010541D"/>
    <w:rsid w:val="00106EBF"/>
    <w:rsid w:val="00110336"/>
    <w:rsid w:val="0011110C"/>
    <w:rsid w:val="001117AB"/>
    <w:rsid w:val="00113072"/>
    <w:rsid w:val="001134E9"/>
    <w:rsid w:val="00114FC6"/>
    <w:rsid w:val="00115215"/>
    <w:rsid w:val="00117F30"/>
    <w:rsid w:val="00120A49"/>
    <w:rsid w:val="00122EB2"/>
    <w:rsid w:val="00124154"/>
    <w:rsid w:val="00126037"/>
    <w:rsid w:val="00130A2B"/>
    <w:rsid w:val="00131AD3"/>
    <w:rsid w:val="00132BA4"/>
    <w:rsid w:val="00133594"/>
    <w:rsid w:val="001419A7"/>
    <w:rsid w:val="00142BE8"/>
    <w:rsid w:val="001442AA"/>
    <w:rsid w:val="001525EC"/>
    <w:rsid w:val="001559D8"/>
    <w:rsid w:val="001571BF"/>
    <w:rsid w:val="001574FC"/>
    <w:rsid w:val="00163DCF"/>
    <w:rsid w:val="00165BDE"/>
    <w:rsid w:val="00166F56"/>
    <w:rsid w:val="00172042"/>
    <w:rsid w:val="00172F28"/>
    <w:rsid w:val="0018518C"/>
    <w:rsid w:val="001904D5"/>
    <w:rsid w:val="00192B52"/>
    <w:rsid w:val="001A139A"/>
    <w:rsid w:val="001A1A6F"/>
    <w:rsid w:val="001A321A"/>
    <w:rsid w:val="001A3866"/>
    <w:rsid w:val="001B1009"/>
    <w:rsid w:val="001B1C2D"/>
    <w:rsid w:val="001B2E53"/>
    <w:rsid w:val="001B59C3"/>
    <w:rsid w:val="001B702F"/>
    <w:rsid w:val="001C0658"/>
    <w:rsid w:val="001C239E"/>
    <w:rsid w:val="001C3273"/>
    <w:rsid w:val="001C4FB7"/>
    <w:rsid w:val="001D0E17"/>
    <w:rsid w:val="001D265F"/>
    <w:rsid w:val="001D2FCF"/>
    <w:rsid w:val="001D41C9"/>
    <w:rsid w:val="001E07BD"/>
    <w:rsid w:val="001E2353"/>
    <w:rsid w:val="001E2B81"/>
    <w:rsid w:val="001E4B5E"/>
    <w:rsid w:val="001E50FD"/>
    <w:rsid w:val="001F1441"/>
    <w:rsid w:val="001F2C7F"/>
    <w:rsid w:val="001F365B"/>
    <w:rsid w:val="00200AE8"/>
    <w:rsid w:val="00200C67"/>
    <w:rsid w:val="00201002"/>
    <w:rsid w:val="00202BFF"/>
    <w:rsid w:val="00203630"/>
    <w:rsid w:val="00204824"/>
    <w:rsid w:val="00204AB1"/>
    <w:rsid w:val="00206BC1"/>
    <w:rsid w:val="002072E3"/>
    <w:rsid w:val="00210006"/>
    <w:rsid w:val="002107CF"/>
    <w:rsid w:val="002213A3"/>
    <w:rsid w:val="00221699"/>
    <w:rsid w:val="0022536A"/>
    <w:rsid w:val="00225D1C"/>
    <w:rsid w:val="00234B2E"/>
    <w:rsid w:val="00237EF2"/>
    <w:rsid w:val="00240C6E"/>
    <w:rsid w:val="00243EEF"/>
    <w:rsid w:val="00261B80"/>
    <w:rsid w:val="002652B3"/>
    <w:rsid w:val="00265FF5"/>
    <w:rsid w:val="00266998"/>
    <w:rsid w:val="002669DC"/>
    <w:rsid w:val="0027014C"/>
    <w:rsid w:val="00272A93"/>
    <w:rsid w:val="002740EA"/>
    <w:rsid w:val="002767F0"/>
    <w:rsid w:val="00277556"/>
    <w:rsid w:val="002804E5"/>
    <w:rsid w:val="00292999"/>
    <w:rsid w:val="00295B4A"/>
    <w:rsid w:val="00296354"/>
    <w:rsid w:val="00296CD1"/>
    <w:rsid w:val="00296FB1"/>
    <w:rsid w:val="002A0F08"/>
    <w:rsid w:val="002B07C1"/>
    <w:rsid w:val="002B1A3A"/>
    <w:rsid w:val="002B2CD5"/>
    <w:rsid w:val="002B49D4"/>
    <w:rsid w:val="002B5B75"/>
    <w:rsid w:val="002D4749"/>
    <w:rsid w:val="002D76D9"/>
    <w:rsid w:val="002E725F"/>
    <w:rsid w:val="002F1339"/>
    <w:rsid w:val="002F2351"/>
    <w:rsid w:val="002F415F"/>
    <w:rsid w:val="002F63AF"/>
    <w:rsid w:val="00300465"/>
    <w:rsid w:val="003045AA"/>
    <w:rsid w:val="00304DFF"/>
    <w:rsid w:val="00306913"/>
    <w:rsid w:val="00310D86"/>
    <w:rsid w:val="00310ED4"/>
    <w:rsid w:val="0031555D"/>
    <w:rsid w:val="00315E1A"/>
    <w:rsid w:val="00317069"/>
    <w:rsid w:val="003214C8"/>
    <w:rsid w:val="00321FC0"/>
    <w:rsid w:val="0032215A"/>
    <w:rsid w:val="003249AD"/>
    <w:rsid w:val="00326DC3"/>
    <w:rsid w:val="00327542"/>
    <w:rsid w:val="00331EDF"/>
    <w:rsid w:val="0033452A"/>
    <w:rsid w:val="003356C2"/>
    <w:rsid w:val="003365C1"/>
    <w:rsid w:val="003366CE"/>
    <w:rsid w:val="00340DBB"/>
    <w:rsid w:val="003435EF"/>
    <w:rsid w:val="00351D75"/>
    <w:rsid w:val="003556E2"/>
    <w:rsid w:val="00356133"/>
    <w:rsid w:val="00357139"/>
    <w:rsid w:val="0036109D"/>
    <w:rsid w:val="00364E20"/>
    <w:rsid w:val="00365D63"/>
    <w:rsid w:val="00373AC5"/>
    <w:rsid w:val="00376006"/>
    <w:rsid w:val="00376C88"/>
    <w:rsid w:val="00376D11"/>
    <w:rsid w:val="00382C5B"/>
    <w:rsid w:val="00383268"/>
    <w:rsid w:val="00384145"/>
    <w:rsid w:val="00384210"/>
    <w:rsid w:val="00385FCB"/>
    <w:rsid w:val="003954E1"/>
    <w:rsid w:val="003974F5"/>
    <w:rsid w:val="003A1F7D"/>
    <w:rsid w:val="003A35FE"/>
    <w:rsid w:val="003B08BF"/>
    <w:rsid w:val="003B0DE8"/>
    <w:rsid w:val="003B10BA"/>
    <w:rsid w:val="003B75E3"/>
    <w:rsid w:val="003C0AD5"/>
    <w:rsid w:val="003C4332"/>
    <w:rsid w:val="003C47CC"/>
    <w:rsid w:val="003C4CBB"/>
    <w:rsid w:val="003D11D2"/>
    <w:rsid w:val="003D278C"/>
    <w:rsid w:val="003D4901"/>
    <w:rsid w:val="003D6CE4"/>
    <w:rsid w:val="003E007D"/>
    <w:rsid w:val="003E15EB"/>
    <w:rsid w:val="003E3EA5"/>
    <w:rsid w:val="003E60DA"/>
    <w:rsid w:val="003F42DB"/>
    <w:rsid w:val="003F5C30"/>
    <w:rsid w:val="003F5E2A"/>
    <w:rsid w:val="003F7BE7"/>
    <w:rsid w:val="00400242"/>
    <w:rsid w:val="00401DC0"/>
    <w:rsid w:val="00402076"/>
    <w:rsid w:val="00402C0E"/>
    <w:rsid w:val="00403C35"/>
    <w:rsid w:val="00410316"/>
    <w:rsid w:val="004160AC"/>
    <w:rsid w:val="00420F43"/>
    <w:rsid w:val="004229DF"/>
    <w:rsid w:val="004321ED"/>
    <w:rsid w:val="00435835"/>
    <w:rsid w:val="0043700A"/>
    <w:rsid w:val="004418D0"/>
    <w:rsid w:val="00442C53"/>
    <w:rsid w:val="00442F3C"/>
    <w:rsid w:val="00451907"/>
    <w:rsid w:val="00453A89"/>
    <w:rsid w:val="004601AE"/>
    <w:rsid w:val="00461569"/>
    <w:rsid w:val="0046306F"/>
    <w:rsid w:val="00467128"/>
    <w:rsid w:val="00471915"/>
    <w:rsid w:val="00473E09"/>
    <w:rsid w:val="00474F0B"/>
    <w:rsid w:val="00476C72"/>
    <w:rsid w:val="004832B6"/>
    <w:rsid w:val="00484A4A"/>
    <w:rsid w:val="004853BC"/>
    <w:rsid w:val="00490522"/>
    <w:rsid w:val="00490BD3"/>
    <w:rsid w:val="00491C35"/>
    <w:rsid w:val="00497E96"/>
    <w:rsid w:val="004A04AF"/>
    <w:rsid w:val="004A08B8"/>
    <w:rsid w:val="004A2E0D"/>
    <w:rsid w:val="004A49C0"/>
    <w:rsid w:val="004B1DBE"/>
    <w:rsid w:val="004B2971"/>
    <w:rsid w:val="004B3AF8"/>
    <w:rsid w:val="004B7915"/>
    <w:rsid w:val="004C05DC"/>
    <w:rsid w:val="004C0CA8"/>
    <w:rsid w:val="004C24E0"/>
    <w:rsid w:val="004C3F65"/>
    <w:rsid w:val="004C3FA0"/>
    <w:rsid w:val="004C5A74"/>
    <w:rsid w:val="004C6119"/>
    <w:rsid w:val="004C6F89"/>
    <w:rsid w:val="004D1360"/>
    <w:rsid w:val="004D347D"/>
    <w:rsid w:val="004D426D"/>
    <w:rsid w:val="004D5123"/>
    <w:rsid w:val="004E1260"/>
    <w:rsid w:val="004E3AC9"/>
    <w:rsid w:val="004E595B"/>
    <w:rsid w:val="004E6370"/>
    <w:rsid w:val="004E68E3"/>
    <w:rsid w:val="004E6EF8"/>
    <w:rsid w:val="004E70F4"/>
    <w:rsid w:val="004F157F"/>
    <w:rsid w:val="004F1A5F"/>
    <w:rsid w:val="004F2F39"/>
    <w:rsid w:val="004F5514"/>
    <w:rsid w:val="004F78A1"/>
    <w:rsid w:val="004F7967"/>
    <w:rsid w:val="004F7BC5"/>
    <w:rsid w:val="005071A2"/>
    <w:rsid w:val="00512022"/>
    <w:rsid w:val="005138BC"/>
    <w:rsid w:val="0052146D"/>
    <w:rsid w:val="00533FBF"/>
    <w:rsid w:val="005347BE"/>
    <w:rsid w:val="0053484D"/>
    <w:rsid w:val="00535D19"/>
    <w:rsid w:val="005365EE"/>
    <w:rsid w:val="00540676"/>
    <w:rsid w:val="0054089D"/>
    <w:rsid w:val="005409BF"/>
    <w:rsid w:val="00540D10"/>
    <w:rsid w:val="005423FB"/>
    <w:rsid w:val="00544BB8"/>
    <w:rsid w:val="0054507F"/>
    <w:rsid w:val="005466FC"/>
    <w:rsid w:val="00551AE0"/>
    <w:rsid w:val="0055506A"/>
    <w:rsid w:val="00557DFB"/>
    <w:rsid w:val="005606FF"/>
    <w:rsid w:val="0056263E"/>
    <w:rsid w:val="00563291"/>
    <w:rsid w:val="00564D13"/>
    <w:rsid w:val="00567EBE"/>
    <w:rsid w:val="00571A40"/>
    <w:rsid w:val="0057526E"/>
    <w:rsid w:val="00576070"/>
    <w:rsid w:val="00581445"/>
    <w:rsid w:val="005814E8"/>
    <w:rsid w:val="00583965"/>
    <w:rsid w:val="00585C94"/>
    <w:rsid w:val="00587191"/>
    <w:rsid w:val="00587A11"/>
    <w:rsid w:val="005909C2"/>
    <w:rsid w:val="005939F2"/>
    <w:rsid w:val="0059456F"/>
    <w:rsid w:val="00595DEB"/>
    <w:rsid w:val="005969A0"/>
    <w:rsid w:val="005A4C60"/>
    <w:rsid w:val="005A53B0"/>
    <w:rsid w:val="005A739F"/>
    <w:rsid w:val="005B0F29"/>
    <w:rsid w:val="005B2743"/>
    <w:rsid w:val="005B3FDB"/>
    <w:rsid w:val="005B5DBE"/>
    <w:rsid w:val="005B70E3"/>
    <w:rsid w:val="005C6B40"/>
    <w:rsid w:val="005D15E9"/>
    <w:rsid w:val="005D2797"/>
    <w:rsid w:val="005D4915"/>
    <w:rsid w:val="005D6C5F"/>
    <w:rsid w:val="005E1412"/>
    <w:rsid w:val="005E32AF"/>
    <w:rsid w:val="005E38D3"/>
    <w:rsid w:val="005E5C94"/>
    <w:rsid w:val="005F0AB9"/>
    <w:rsid w:val="005F0F17"/>
    <w:rsid w:val="005F0F49"/>
    <w:rsid w:val="005F1430"/>
    <w:rsid w:val="005F1816"/>
    <w:rsid w:val="005F3652"/>
    <w:rsid w:val="005F4E9E"/>
    <w:rsid w:val="005F5D88"/>
    <w:rsid w:val="005F78BC"/>
    <w:rsid w:val="006019DF"/>
    <w:rsid w:val="00602DED"/>
    <w:rsid w:val="0060485C"/>
    <w:rsid w:val="00604E31"/>
    <w:rsid w:val="00606C29"/>
    <w:rsid w:val="006102C0"/>
    <w:rsid w:val="00610D28"/>
    <w:rsid w:val="00611FB8"/>
    <w:rsid w:val="0061247E"/>
    <w:rsid w:val="006126B8"/>
    <w:rsid w:val="0061285F"/>
    <w:rsid w:val="00614858"/>
    <w:rsid w:val="006168D0"/>
    <w:rsid w:val="0062104D"/>
    <w:rsid w:val="006219E0"/>
    <w:rsid w:val="00622927"/>
    <w:rsid w:val="00626F47"/>
    <w:rsid w:val="00631502"/>
    <w:rsid w:val="00632E07"/>
    <w:rsid w:val="00633F13"/>
    <w:rsid w:val="0063711A"/>
    <w:rsid w:val="00640EE4"/>
    <w:rsid w:val="006429C1"/>
    <w:rsid w:val="00642BC9"/>
    <w:rsid w:val="00642C69"/>
    <w:rsid w:val="00643B4B"/>
    <w:rsid w:val="00645330"/>
    <w:rsid w:val="0064636D"/>
    <w:rsid w:val="0064764E"/>
    <w:rsid w:val="00656E1A"/>
    <w:rsid w:val="00661B53"/>
    <w:rsid w:val="00662363"/>
    <w:rsid w:val="00663B95"/>
    <w:rsid w:val="00664C4D"/>
    <w:rsid w:val="00666C51"/>
    <w:rsid w:val="00667566"/>
    <w:rsid w:val="00667FB7"/>
    <w:rsid w:val="00670866"/>
    <w:rsid w:val="00674A5D"/>
    <w:rsid w:val="00675DA6"/>
    <w:rsid w:val="00682F50"/>
    <w:rsid w:val="00687BA0"/>
    <w:rsid w:val="00694124"/>
    <w:rsid w:val="00697BFF"/>
    <w:rsid w:val="006A10F5"/>
    <w:rsid w:val="006A4C26"/>
    <w:rsid w:val="006A772C"/>
    <w:rsid w:val="006A7890"/>
    <w:rsid w:val="006B34A0"/>
    <w:rsid w:val="006B419C"/>
    <w:rsid w:val="006B4BDE"/>
    <w:rsid w:val="006D3882"/>
    <w:rsid w:val="006D43F8"/>
    <w:rsid w:val="006D5446"/>
    <w:rsid w:val="006E262B"/>
    <w:rsid w:val="006E31FE"/>
    <w:rsid w:val="006E3567"/>
    <w:rsid w:val="006E45AB"/>
    <w:rsid w:val="006F0841"/>
    <w:rsid w:val="006F100A"/>
    <w:rsid w:val="006F1525"/>
    <w:rsid w:val="006F1533"/>
    <w:rsid w:val="006F3FE3"/>
    <w:rsid w:val="00700E78"/>
    <w:rsid w:val="0070152D"/>
    <w:rsid w:val="007015CD"/>
    <w:rsid w:val="00702A9B"/>
    <w:rsid w:val="00706F3B"/>
    <w:rsid w:val="007073E5"/>
    <w:rsid w:val="007177E8"/>
    <w:rsid w:val="00720890"/>
    <w:rsid w:val="00721A4D"/>
    <w:rsid w:val="0072216C"/>
    <w:rsid w:val="007245B3"/>
    <w:rsid w:val="007249C5"/>
    <w:rsid w:val="0073027C"/>
    <w:rsid w:val="00732FA3"/>
    <w:rsid w:val="00732FEC"/>
    <w:rsid w:val="00734002"/>
    <w:rsid w:val="00740F49"/>
    <w:rsid w:val="00744804"/>
    <w:rsid w:val="007475E7"/>
    <w:rsid w:val="0074785A"/>
    <w:rsid w:val="00753920"/>
    <w:rsid w:val="00755205"/>
    <w:rsid w:val="00757183"/>
    <w:rsid w:val="0076394A"/>
    <w:rsid w:val="00764539"/>
    <w:rsid w:val="007679D0"/>
    <w:rsid w:val="007707AB"/>
    <w:rsid w:val="00770AA8"/>
    <w:rsid w:val="007712B6"/>
    <w:rsid w:val="00773973"/>
    <w:rsid w:val="00776230"/>
    <w:rsid w:val="007774ED"/>
    <w:rsid w:val="007802EA"/>
    <w:rsid w:val="00780EA7"/>
    <w:rsid w:val="007826E8"/>
    <w:rsid w:val="00783DAE"/>
    <w:rsid w:val="00787793"/>
    <w:rsid w:val="00793BE0"/>
    <w:rsid w:val="0079497E"/>
    <w:rsid w:val="00794B7C"/>
    <w:rsid w:val="007A1F3D"/>
    <w:rsid w:val="007A497F"/>
    <w:rsid w:val="007A6726"/>
    <w:rsid w:val="007A7C5A"/>
    <w:rsid w:val="007A7C7E"/>
    <w:rsid w:val="007B009C"/>
    <w:rsid w:val="007B0625"/>
    <w:rsid w:val="007B5DE1"/>
    <w:rsid w:val="007B6D72"/>
    <w:rsid w:val="007C33FD"/>
    <w:rsid w:val="007C6B9A"/>
    <w:rsid w:val="007C7C40"/>
    <w:rsid w:val="007D20BF"/>
    <w:rsid w:val="007D221D"/>
    <w:rsid w:val="007D2DC3"/>
    <w:rsid w:val="007D519D"/>
    <w:rsid w:val="007E026B"/>
    <w:rsid w:val="007E1398"/>
    <w:rsid w:val="007E1461"/>
    <w:rsid w:val="007E1969"/>
    <w:rsid w:val="007E3C78"/>
    <w:rsid w:val="007E3F51"/>
    <w:rsid w:val="007E4F5A"/>
    <w:rsid w:val="007E5BE8"/>
    <w:rsid w:val="007E6987"/>
    <w:rsid w:val="007F2228"/>
    <w:rsid w:val="007F3B08"/>
    <w:rsid w:val="007F4413"/>
    <w:rsid w:val="007F47C2"/>
    <w:rsid w:val="00800CF2"/>
    <w:rsid w:val="00805089"/>
    <w:rsid w:val="008105B3"/>
    <w:rsid w:val="00810AEB"/>
    <w:rsid w:val="008163C7"/>
    <w:rsid w:val="0081756E"/>
    <w:rsid w:val="00817AED"/>
    <w:rsid w:val="00820751"/>
    <w:rsid w:val="008211B8"/>
    <w:rsid w:val="00822C08"/>
    <w:rsid w:val="0082338F"/>
    <w:rsid w:val="00832C52"/>
    <w:rsid w:val="00837FE0"/>
    <w:rsid w:val="008418A1"/>
    <w:rsid w:val="00843013"/>
    <w:rsid w:val="0084741D"/>
    <w:rsid w:val="00847686"/>
    <w:rsid w:val="00862DA9"/>
    <w:rsid w:val="008639A0"/>
    <w:rsid w:val="0086791B"/>
    <w:rsid w:val="008719EC"/>
    <w:rsid w:val="00873A52"/>
    <w:rsid w:val="00873B57"/>
    <w:rsid w:val="00875371"/>
    <w:rsid w:val="00877FC8"/>
    <w:rsid w:val="008816CD"/>
    <w:rsid w:val="00882646"/>
    <w:rsid w:val="00882E9A"/>
    <w:rsid w:val="00884C95"/>
    <w:rsid w:val="00890CB3"/>
    <w:rsid w:val="00892A72"/>
    <w:rsid w:val="00892B4A"/>
    <w:rsid w:val="00893181"/>
    <w:rsid w:val="00894CEA"/>
    <w:rsid w:val="008978D6"/>
    <w:rsid w:val="008A2295"/>
    <w:rsid w:val="008A3770"/>
    <w:rsid w:val="008A461C"/>
    <w:rsid w:val="008A6D67"/>
    <w:rsid w:val="008A7E0D"/>
    <w:rsid w:val="008B0243"/>
    <w:rsid w:val="008B029E"/>
    <w:rsid w:val="008B16CC"/>
    <w:rsid w:val="008C06F0"/>
    <w:rsid w:val="008C0A9C"/>
    <w:rsid w:val="008C104A"/>
    <w:rsid w:val="008C1DD0"/>
    <w:rsid w:val="008C2578"/>
    <w:rsid w:val="008C2E73"/>
    <w:rsid w:val="008C3643"/>
    <w:rsid w:val="008C47A8"/>
    <w:rsid w:val="008C5453"/>
    <w:rsid w:val="008C78C0"/>
    <w:rsid w:val="008C7946"/>
    <w:rsid w:val="008D0258"/>
    <w:rsid w:val="008D52CD"/>
    <w:rsid w:val="008D6A35"/>
    <w:rsid w:val="008E23E0"/>
    <w:rsid w:val="008E256B"/>
    <w:rsid w:val="008E4063"/>
    <w:rsid w:val="008E74F3"/>
    <w:rsid w:val="008F0DAC"/>
    <w:rsid w:val="008F3EF3"/>
    <w:rsid w:val="008F4947"/>
    <w:rsid w:val="008F570A"/>
    <w:rsid w:val="008F7745"/>
    <w:rsid w:val="008F7AC4"/>
    <w:rsid w:val="0090166C"/>
    <w:rsid w:val="00902B7B"/>
    <w:rsid w:val="00903928"/>
    <w:rsid w:val="00903D66"/>
    <w:rsid w:val="00910400"/>
    <w:rsid w:val="0091082F"/>
    <w:rsid w:val="00910D2E"/>
    <w:rsid w:val="00913E1C"/>
    <w:rsid w:val="009146EE"/>
    <w:rsid w:val="00915F63"/>
    <w:rsid w:val="00917EB8"/>
    <w:rsid w:val="00921B32"/>
    <w:rsid w:val="009222DF"/>
    <w:rsid w:val="00925BB7"/>
    <w:rsid w:val="00930E6C"/>
    <w:rsid w:val="00931604"/>
    <w:rsid w:val="00933284"/>
    <w:rsid w:val="00933B1E"/>
    <w:rsid w:val="00934F24"/>
    <w:rsid w:val="00936290"/>
    <w:rsid w:val="00936532"/>
    <w:rsid w:val="00937644"/>
    <w:rsid w:val="00940B33"/>
    <w:rsid w:val="009420AB"/>
    <w:rsid w:val="00943308"/>
    <w:rsid w:val="009453C7"/>
    <w:rsid w:val="009503C9"/>
    <w:rsid w:val="00951BD0"/>
    <w:rsid w:val="0095426E"/>
    <w:rsid w:val="00957AAA"/>
    <w:rsid w:val="00960559"/>
    <w:rsid w:val="0096683F"/>
    <w:rsid w:val="00966CD1"/>
    <w:rsid w:val="00974152"/>
    <w:rsid w:val="00983C2F"/>
    <w:rsid w:val="00984DDA"/>
    <w:rsid w:val="009851DA"/>
    <w:rsid w:val="0098576A"/>
    <w:rsid w:val="00990233"/>
    <w:rsid w:val="009943FB"/>
    <w:rsid w:val="00994CAA"/>
    <w:rsid w:val="00996C13"/>
    <w:rsid w:val="00997D83"/>
    <w:rsid w:val="009A0B83"/>
    <w:rsid w:val="009A27D7"/>
    <w:rsid w:val="009A4AF7"/>
    <w:rsid w:val="009A6038"/>
    <w:rsid w:val="009B27F9"/>
    <w:rsid w:val="009B5216"/>
    <w:rsid w:val="009C0812"/>
    <w:rsid w:val="009C10D3"/>
    <w:rsid w:val="009C2BEE"/>
    <w:rsid w:val="009C3B44"/>
    <w:rsid w:val="009C783D"/>
    <w:rsid w:val="009D10D1"/>
    <w:rsid w:val="009D2E1A"/>
    <w:rsid w:val="009D4A92"/>
    <w:rsid w:val="009D4EF1"/>
    <w:rsid w:val="009D5419"/>
    <w:rsid w:val="009D7565"/>
    <w:rsid w:val="009D79E1"/>
    <w:rsid w:val="009E0C40"/>
    <w:rsid w:val="009E10FA"/>
    <w:rsid w:val="009E17B7"/>
    <w:rsid w:val="009E2907"/>
    <w:rsid w:val="009E5411"/>
    <w:rsid w:val="009E77AB"/>
    <w:rsid w:val="009F0363"/>
    <w:rsid w:val="009F3A02"/>
    <w:rsid w:val="009F5F43"/>
    <w:rsid w:val="009F6413"/>
    <w:rsid w:val="009F6487"/>
    <w:rsid w:val="00A005C9"/>
    <w:rsid w:val="00A00A0F"/>
    <w:rsid w:val="00A00B99"/>
    <w:rsid w:val="00A02020"/>
    <w:rsid w:val="00A02FE4"/>
    <w:rsid w:val="00A07A41"/>
    <w:rsid w:val="00A07F8A"/>
    <w:rsid w:val="00A1008E"/>
    <w:rsid w:val="00A10B3D"/>
    <w:rsid w:val="00A11667"/>
    <w:rsid w:val="00A1269D"/>
    <w:rsid w:val="00A13A05"/>
    <w:rsid w:val="00A14DFE"/>
    <w:rsid w:val="00A212A8"/>
    <w:rsid w:val="00A21907"/>
    <w:rsid w:val="00A21951"/>
    <w:rsid w:val="00A21EE5"/>
    <w:rsid w:val="00A2211C"/>
    <w:rsid w:val="00A22E09"/>
    <w:rsid w:val="00A24F93"/>
    <w:rsid w:val="00A2665A"/>
    <w:rsid w:val="00A26A87"/>
    <w:rsid w:val="00A2703E"/>
    <w:rsid w:val="00A31DE7"/>
    <w:rsid w:val="00A323DC"/>
    <w:rsid w:val="00A32CA6"/>
    <w:rsid w:val="00A4088D"/>
    <w:rsid w:val="00A43566"/>
    <w:rsid w:val="00A46B12"/>
    <w:rsid w:val="00A46F1E"/>
    <w:rsid w:val="00A52304"/>
    <w:rsid w:val="00A52993"/>
    <w:rsid w:val="00A53EAA"/>
    <w:rsid w:val="00A57317"/>
    <w:rsid w:val="00A57A63"/>
    <w:rsid w:val="00A6198D"/>
    <w:rsid w:val="00A63C4D"/>
    <w:rsid w:val="00A67D4A"/>
    <w:rsid w:val="00A70722"/>
    <w:rsid w:val="00A71300"/>
    <w:rsid w:val="00A72ECD"/>
    <w:rsid w:val="00A739B0"/>
    <w:rsid w:val="00A739B7"/>
    <w:rsid w:val="00A7553E"/>
    <w:rsid w:val="00A76632"/>
    <w:rsid w:val="00A814A6"/>
    <w:rsid w:val="00A83138"/>
    <w:rsid w:val="00A85F17"/>
    <w:rsid w:val="00A870CE"/>
    <w:rsid w:val="00A9158A"/>
    <w:rsid w:val="00A93CD9"/>
    <w:rsid w:val="00A9475B"/>
    <w:rsid w:val="00A95CA0"/>
    <w:rsid w:val="00A97B40"/>
    <w:rsid w:val="00AA12AF"/>
    <w:rsid w:val="00AA2F7B"/>
    <w:rsid w:val="00AA34EC"/>
    <w:rsid w:val="00AA53A5"/>
    <w:rsid w:val="00AB0C3B"/>
    <w:rsid w:val="00AB320D"/>
    <w:rsid w:val="00AB6DFA"/>
    <w:rsid w:val="00AC3FCB"/>
    <w:rsid w:val="00AC41FC"/>
    <w:rsid w:val="00AC4F7B"/>
    <w:rsid w:val="00AC5864"/>
    <w:rsid w:val="00AC75C1"/>
    <w:rsid w:val="00AD0193"/>
    <w:rsid w:val="00AD0D86"/>
    <w:rsid w:val="00AD15CB"/>
    <w:rsid w:val="00AD555D"/>
    <w:rsid w:val="00AE47A7"/>
    <w:rsid w:val="00AE48D0"/>
    <w:rsid w:val="00AF008B"/>
    <w:rsid w:val="00AF1EC0"/>
    <w:rsid w:val="00AF3135"/>
    <w:rsid w:val="00AF38E7"/>
    <w:rsid w:val="00AF40B0"/>
    <w:rsid w:val="00AF5877"/>
    <w:rsid w:val="00B00FB6"/>
    <w:rsid w:val="00B01E32"/>
    <w:rsid w:val="00B0261C"/>
    <w:rsid w:val="00B036B3"/>
    <w:rsid w:val="00B0680E"/>
    <w:rsid w:val="00B06DC7"/>
    <w:rsid w:val="00B10970"/>
    <w:rsid w:val="00B11B44"/>
    <w:rsid w:val="00B11F89"/>
    <w:rsid w:val="00B122D9"/>
    <w:rsid w:val="00B12F5B"/>
    <w:rsid w:val="00B1342B"/>
    <w:rsid w:val="00B145C2"/>
    <w:rsid w:val="00B2280B"/>
    <w:rsid w:val="00B23C90"/>
    <w:rsid w:val="00B26B86"/>
    <w:rsid w:val="00B27A01"/>
    <w:rsid w:val="00B30D9B"/>
    <w:rsid w:val="00B32636"/>
    <w:rsid w:val="00B3337E"/>
    <w:rsid w:val="00B33FC4"/>
    <w:rsid w:val="00B34AC7"/>
    <w:rsid w:val="00B3671B"/>
    <w:rsid w:val="00B37CFA"/>
    <w:rsid w:val="00B41A56"/>
    <w:rsid w:val="00B41E6A"/>
    <w:rsid w:val="00B448D2"/>
    <w:rsid w:val="00B45500"/>
    <w:rsid w:val="00B54D0B"/>
    <w:rsid w:val="00B5607E"/>
    <w:rsid w:val="00B568C9"/>
    <w:rsid w:val="00B56988"/>
    <w:rsid w:val="00B57982"/>
    <w:rsid w:val="00B65F49"/>
    <w:rsid w:val="00B65F72"/>
    <w:rsid w:val="00B668BD"/>
    <w:rsid w:val="00B67E2F"/>
    <w:rsid w:val="00B73725"/>
    <w:rsid w:val="00B75A85"/>
    <w:rsid w:val="00B76BDB"/>
    <w:rsid w:val="00B7719E"/>
    <w:rsid w:val="00B82BC4"/>
    <w:rsid w:val="00B869EA"/>
    <w:rsid w:val="00B86B4F"/>
    <w:rsid w:val="00B924BB"/>
    <w:rsid w:val="00B94101"/>
    <w:rsid w:val="00B969C7"/>
    <w:rsid w:val="00B976DB"/>
    <w:rsid w:val="00BA0F26"/>
    <w:rsid w:val="00BA3E92"/>
    <w:rsid w:val="00BA43A6"/>
    <w:rsid w:val="00BA4505"/>
    <w:rsid w:val="00BA7625"/>
    <w:rsid w:val="00BB0BE5"/>
    <w:rsid w:val="00BB279F"/>
    <w:rsid w:val="00BB28F4"/>
    <w:rsid w:val="00BB431E"/>
    <w:rsid w:val="00BB5092"/>
    <w:rsid w:val="00BC030D"/>
    <w:rsid w:val="00BC06AD"/>
    <w:rsid w:val="00BC295E"/>
    <w:rsid w:val="00BC4452"/>
    <w:rsid w:val="00BC5761"/>
    <w:rsid w:val="00BC76EC"/>
    <w:rsid w:val="00BC79C5"/>
    <w:rsid w:val="00BC7CA4"/>
    <w:rsid w:val="00BD11EB"/>
    <w:rsid w:val="00BD1E1C"/>
    <w:rsid w:val="00BD1F27"/>
    <w:rsid w:val="00BD5ABA"/>
    <w:rsid w:val="00BE2F36"/>
    <w:rsid w:val="00BE39E5"/>
    <w:rsid w:val="00BE44EB"/>
    <w:rsid w:val="00BE4C47"/>
    <w:rsid w:val="00BE5F8C"/>
    <w:rsid w:val="00BF01B0"/>
    <w:rsid w:val="00BF0987"/>
    <w:rsid w:val="00C045B6"/>
    <w:rsid w:val="00C05F42"/>
    <w:rsid w:val="00C13A45"/>
    <w:rsid w:val="00C13E09"/>
    <w:rsid w:val="00C16949"/>
    <w:rsid w:val="00C1766B"/>
    <w:rsid w:val="00C17A13"/>
    <w:rsid w:val="00C2298D"/>
    <w:rsid w:val="00C22B08"/>
    <w:rsid w:val="00C23C72"/>
    <w:rsid w:val="00C24540"/>
    <w:rsid w:val="00C249CE"/>
    <w:rsid w:val="00C24D49"/>
    <w:rsid w:val="00C25704"/>
    <w:rsid w:val="00C25DD3"/>
    <w:rsid w:val="00C3134E"/>
    <w:rsid w:val="00C36BB1"/>
    <w:rsid w:val="00C41FC2"/>
    <w:rsid w:val="00C45170"/>
    <w:rsid w:val="00C50808"/>
    <w:rsid w:val="00C50B34"/>
    <w:rsid w:val="00C51466"/>
    <w:rsid w:val="00C516F4"/>
    <w:rsid w:val="00C51960"/>
    <w:rsid w:val="00C51F55"/>
    <w:rsid w:val="00C53413"/>
    <w:rsid w:val="00C56B85"/>
    <w:rsid w:val="00C57E86"/>
    <w:rsid w:val="00C60D5F"/>
    <w:rsid w:val="00C6271D"/>
    <w:rsid w:val="00C63D67"/>
    <w:rsid w:val="00C648AC"/>
    <w:rsid w:val="00C649DB"/>
    <w:rsid w:val="00C64AF2"/>
    <w:rsid w:val="00C73671"/>
    <w:rsid w:val="00C74F4B"/>
    <w:rsid w:val="00C7508F"/>
    <w:rsid w:val="00C75B3D"/>
    <w:rsid w:val="00C75EBE"/>
    <w:rsid w:val="00C77019"/>
    <w:rsid w:val="00C82A14"/>
    <w:rsid w:val="00C87A5B"/>
    <w:rsid w:val="00C87D4F"/>
    <w:rsid w:val="00C90BD2"/>
    <w:rsid w:val="00C91485"/>
    <w:rsid w:val="00C92780"/>
    <w:rsid w:val="00C92807"/>
    <w:rsid w:val="00C93175"/>
    <w:rsid w:val="00C95704"/>
    <w:rsid w:val="00CA19F0"/>
    <w:rsid w:val="00CA2A5B"/>
    <w:rsid w:val="00CA43AD"/>
    <w:rsid w:val="00CA48C2"/>
    <w:rsid w:val="00CA682D"/>
    <w:rsid w:val="00CA6842"/>
    <w:rsid w:val="00CA7588"/>
    <w:rsid w:val="00CB0AB7"/>
    <w:rsid w:val="00CB0D8F"/>
    <w:rsid w:val="00CB20E4"/>
    <w:rsid w:val="00CC52D4"/>
    <w:rsid w:val="00CC5358"/>
    <w:rsid w:val="00CD0567"/>
    <w:rsid w:val="00CD07AF"/>
    <w:rsid w:val="00CD2DFC"/>
    <w:rsid w:val="00CD6381"/>
    <w:rsid w:val="00CE605C"/>
    <w:rsid w:val="00CE63E5"/>
    <w:rsid w:val="00CF2EDC"/>
    <w:rsid w:val="00CF301C"/>
    <w:rsid w:val="00CF4904"/>
    <w:rsid w:val="00CF6CE4"/>
    <w:rsid w:val="00D029AE"/>
    <w:rsid w:val="00D04473"/>
    <w:rsid w:val="00D072F0"/>
    <w:rsid w:val="00D102B1"/>
    <w:rsid w:val="00D1045C"/>
    <w:rsid w:val="00D128E4"/>
    <w:rsid w:val="00D135C5"/>
    <w:rsid w:val="00D14017"/>
    <w:rsid w:val="00D141BB"/>
    <w:rsid w:val="00D2097C"/>
    <w:rsid w:val="00D214FA"/>
    <w:rsid w:val="00D2328E"/>
    <w:rsid w:val="00D235C4"/>
    <w:rsid w:val="00D24E40"/>
    <w:rsid w:val="00D2523D"/>
    <w:rsid w:val="00D267E5"/>
    <w:rsid w:val="00D32A9C"/>
    <w:rsid w:val="00D32C08"/>
    <w:rsid w:val="00D33D1F"/>
    <w:rsid w:val="00D4183E"/>
    <w:rsid w:val="00D42029"/>
    <w:rsid w:val="00D47216"/>
    <w:rsid w:val="00D47261"/>
    <w:rsid w:val="00D51986"/>
    <w:rsid w:val="00D535A2"/>
    <w:rsid w:val="00D5501D"/>
    <w:rsid w:val="00D56235"/>
    <w:rsid w:val="00D57792"/>
    <w:rsid w:val="00D60648"/>
    <w:rsid w:val="00D60C27"/>
    <w:rsid w:val="00D60E62"/>
    <w:rsid w:val="00D65330"/>
    <w:rsid w:val="00D67081"/>
    <w:rsid w:val="00D6711C"/>
    <w:rsid w:val="00D72B60"/>
    <w:rsid w:val="00D7500F"/>
    <w:rsid w:val="00D864C3"/>
    <w:rsid w:val="00D86D48"/>
    <w:rsid w:val="00D9355F"/>
    <w:rsid w:val="00D9387E"/>
    <w:rsid w:val="00D94156"/>
    <w:rsid w:val="00D9623C"/>
    <w:rsid w:val="00D97419"/>
    <w:rsid w:val="00D9742A"/>
    <w:rsid w:val="00D978BD"/>
    <w:rsid w:val="00DA006F"/>
    <w:rsid w:val="00DA083F"/>
    <w:rsid w:val="00DA1A1E"/>
    <w:rsid w:val="00DA1F4F"/>
    <w:rsid w:val="00DA4BD9"/>
    <w:rsid w:val="00DA571B"/>
    <w:rsid w:val="00DA6330"/>
    <w:rsid w:val="00DB0572"/>
    <w:rsid w:val="00DB3726"/>
    <w:rsid w:val="00DB439E"/>
    <w:rsid w:val="00DC010C"/>
    <w:rsid w:val="00DC2AEC"/>
    <w:rsid w:val="00DC31CB"/>
    <w:rsid w:val="00DC3C57"/>
    <w:rsid w:val="00DC3EDF"/>
    <w:rsid w:val="00DC4E9A"/>
    <w:rsid w:val="00DC6F31"/>
    <w:rsid w:val="00DC7C12"/>
    <w:rsid w:val="00DD27E8"/>
    <w:rsid w:val="00DD37E1"/>
    <w:rsid w:val="00DD39CD"/>
    <w:rsid w:val="00DD547D"/>
    <w:rsid w:val="00DD708C"/>
    <w:rsid w:val="00DD7818"/>
    <w:rsid w:val="00DE38F0"/>
    <w:rsid w:val="00DE42C5"/>
    <w:rsid w:val="00DE6212"/>
    <w:rsid w:val="00DF02D3"/>
    <w:rsid w:val="00DF1A67"/>
    <w:rsid w:val="00DF2575"/>
    <w:rsid w:val="00DF2DC4"/>
    <w:rsid w:val="00DF543A"/>
    <w:rsid w:val="00E02C12"/>
    <w:rsid w:val="00E02C59"/>
    <w:rsid w:val="00E078C5"/>
    <w:rsid w:val="00E23185"/>
    <w:rsid w:val="00E25A89"/>
    <w:rsid w:val="00E2674F"/>
    <w:rsid w:val="00E2724C"/>
    <w:rsid w:val="00E317C7"/>
    <w:rsid w:val="00E36FCE"/>
    <w:rsid w:val="00E4009D"/>
    <w:rsid w:val="00E4094F"/>
    <w:rsid w:val="00E40A22"/>
    <w:rsid w:val="00E42D33"/>
    <w:rsid w:val="00E44896"/>
    <w:rsid w:val="00E46CB2"/>
    <w:rsid w:val="00E4771F"/>
    <w:rsid w:val="00E50297"/>
    <w:rsid w:val="00E504BC"/>
    <w:rsid w:val="00E53EB1"/>
    <w:rsid w:val="00E569D7"/>
    <w:rsid w:val="00E571AF"/>
    <w:rsid w:val="00E57F62"/>
    <w:rsid w:val="00E60E29"/>
    <w:rsid w:val="00E60E2D"/>
    <w:rsid w:val="00E614A8"/>
    <w:rsid w:val="00E63387"/>
    <w:rsid w:val="00E66FF3"/>
    <w:rsid w:val="00E67E80"/>
    <w:rsid w:val="00E70949"/>
    <w:rsid w:val="00E730EB"/>
    <w:rsid w:val="00E736B2"/>
    <w:rsid w:val="00E74DFB"/>
    <w:rsid w:val="00E755D9"/>
    <w:rsid w:val="00E75DCB"/>
    <w:rsid w:val="00E77F9E"/>
    <w:rsid w:val="00E861A4"/>
    <w:rsid w:val="00E904BC"/>
    <w:rsid w:val="00E91661"/>
    <w:rsid w:val="00E93095"/>
    <w:rsid w:val="00E95780"/>
    <w:rsid w:val="00E97C49"/>
    <w:rsid w:val="00EA1034"/>
    <w:rsid w:val="00EA1B8A"/>
    <w:rsid w:val="00EA1E29"/>
    <w:rsid w:val="00EA27BD"/>
    <w:rsid w:val="00EA5535"/>
    <w:rsid w:val="00EA60AD"/>
    <w:rsid w:val="00EA6B99"/>
    <w:rsid w:val="00EA6D4C"/>
    <w:rsid w:val="00EB269D"/>
    <w:rsid w:val="00EB4ABF"/>
    <w:rsid w:val="00EB5903"/>
    <w:rsid w:val="00EB68CC"/>
    <w:rsid w:val="00EB6B09"/>
    <w:rsid w:val="00EC032E"/>
    <w:rsid w:val="00EC3192"/>
    <w:rsid w:val="00EC3931"/>
    <w:rsid w:val="00EC4571"/>
    <w:rsid w:val="00EC64C3"/>
    <w:rsid w:val="00EC7F64"/>
    <w:rsid w:val="00ED0252"/>
    <w:rsid w:val="00ED0D1B"/>
    <w:rsid w:val="00ED677B"/>
    <w:rsid w:val="00ED695E"/>
    <w:rsid w:val="00ED6CBD"/>
    <w:rsid w:val="00EE043E"/>
    <w:rsid w:val="00EE074C"/>
    <w:rsid w:val="00EE15CF"/>
    <w:rsid w:val="00EE2457"/>
    <w:rsid w:val="00EE2AB9"/>
    <w:rsid w:val="00EE4244"/>
    <w:rsid w:val="00EE4257"/>
    <w:rsid w:val="00EF327A"/>
    <w:rsid w:val="00EF3F61"/>
    <w:rsid w:val="00EF4C0A"/>
    <w:rsid w:val="00EF56B9"/>
    <w:rsid w:val="00F031C4"/>
    <w:rsid w:val="00F046BA"/>
    <w:rsid w:val="00F046E9"/>
    <w:rsid w:val="00F11160"/>
    <w:rsid w:val="00F14633"/>
    <w:rsid w:val="00F148C4"/>
    <w:rsid w:val="00F148CA"/>
    <w:rsid w:val="00F229F6"/>
    <w:rsid w:val="00F250E8"/>
    <w:rsid w:val="00F260EC"/>
    <w:rsid w:val="00F268E8"/>
    <w:rsid w:val="00F27590"/>
    <w:rsid w:val="00F311F4"/>
    <w:rsid w:val="00F355C9"/>
    <w:rsid w:val="00F364A8"/>
    <w:rsid w:val="00F364BB"/>
    <w:rsid w:val="00F40239"/>
    <w:rsid w:val="00F40A05"/>
    <w:rsid w:val="00F417A1"/>
    <w:rsid w:val="00F5045A"/>
    <w:rsid w:val="00F5076F"/>
    <w:rsid w:val="00F5430A"/>
    <w:rsid w:val="00F55B2B"/>
    <w:rsid w:val="00F64A21"/>
    <w:rsid w:val="00F66683"/>
    <w:rsid w:val="00F713E4"/>
    <w:rsid w:val="00F72D3E"/>
    <w:rsid w:val="00F75D04"/>
    <w:rsid w:val="00F93022"/>
    <w:rsid w:val="00F93C1F"/>
    <w:rsid w:val="00F94474"/>
    <w:rsid w:val="00F97079"/>
    <w:rsid w:val="00FA1EA3"/>
    <w:rsid w:val="00FA38EA"/>
    <w:rsid w:val="00FB1CDE"/>
    <w:rsid w:val="00FB2E2E"/>
    <w:rsid w:val="00FB3B1B"/>
    <w:rsid w:val="00FB48E2"/>
    <w:rsid w:val="00FC0BBF"/>
    <w:rsid w:val="00FC4FC0"/>
    <w:rsid w:val="00FC784E"/>
    <w:rsid w:val="00FD2813"/>
    <w:rsid w:val="00FD32A9"/>
    <w:rsid w:val="00FD358A"/>
    <w:rsid w:val="00FD694B"/>
    <w:rsid w:val="00FE04C1"/>
    <w:rsid w:val="00FE1952"/>
    <w:rsid w:val="00FE3682"/>
    <w:rsid w:val="00FF2CC8"/>
    <w:rsid w:val="00FF4264"/>
    <w:rsid w:val="00FF48DE"/>
    <w:rsid w:val="00FF5F3B"/>
    <w:rsid w:val="00FF65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262BE"/>
  <w15:chartTrackingRefBased/>
  <w15:docId w15:val="{CF7C3FC9-1785-4425-818F-C4519C9CC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d1281theme1_Normal"/>
    <w:qFormat/>
    <w:rsid w:val="00F75D04"/>
    <w:pPr>
      <w:spacing w:before="120" w:after="320" w:line="336" w:lineRule="auto"/>
    </w:pPr>
    <w:rPr>
      <w:rFonts w:ascii="Muli" w:eastAsiaTheme="minorEastAsia" w:hAnsi="Muli"/>
      <w:sz w:val="20"/>
      <w:szCs w:val="20"/>
    </w:rPr>
  </w:style>
  <w:style w:type="paragraph" w:styleId="Heading1">
    <w:name w:val="heading 1"/>
    <w:basedOn w:val="Normal"/>
    <w:next w:val="Normal"/>
    <w:link w:val="Heading1Char"/>
    <w:uiPriority w:val="9"/>
    <w:qFormat/>
    <w:rsid w:val="00F75D04"/>
    <w:pPr>
      <w:spacing w:before="1680" w:after="400"/>
      <w:outlineLvl w:val="0"/>
    </w:pPr>
    <w:rPr>
      <w:b/>
      <w:smallCaps/>
      <w:color w:val="4472C4" w:themeColor="accent1"/>
      <w:spacing w:val="5"/>
      <w:sz w:val="32"/>
      <w:szCs w:val="32"/>
    </w:rPr>
  </w:style>
  <w:style w:type="paragraph" w:styleId="Heading2">
    <w:name w:val="heading 2"/>
    <w:basedOn w:val="Normal"/>
    <w:next w:val="Normal"/>
    <w:link w:val="Heading2Char"/>
    <w:uiPriority w:val="9"/>
    <w:unhideWhenUsed/>
    <w:qFormat/>
    <w:rsid w:val="00F75D04"/>
    <w:pPr>
      <w:tabs>
        <w:tab w:val="left" w:pos="567"/>
      </w:tabs>
      <w:spacing w:before="360" w:after="360"/>
      <w:outlineLvl w:val="1"/>
    </w:pPr>
    <w:rPr>
      <w:b/>
      <w:smallCaps/>
      <w:color w:val="4472C4" w:themeColor="accent1"/>
      <w:spacing w:val="5"/>
      <w:sz w:val="26"/>
      <w:szCs w:val="28"/>
    </w:rPr>
  </w:style>
  <w:style w:type="paragraph" w:styleId="Heading3">
    <w:name w:val="heading 3"/>
    <w:basedOn w:val="Normal"/>
    <w:next w:val="Normal"/>
    <w:link w:val="Heading3Char"/>
    <w:uiPriority w:val="9"/>
    <w:unhideWhenUsed/>
    <w:qFormat/>
    <w:rsid w:val="00F75D04"/>
    <w:pPr>
      <w:tabs>
        <w:tab w:val="left" w:pos="567"/>
      </w:tabs>
      <w:spacing w:after="0"/>
      <w:outlineLvl w:val="2"/>
    </w:pPr>
    <w:rPr>
      <w:b/>
      <w:smallCaps/>
      <w:color w:val="4472C4" w:themeColor="accent1"/>
      <w:spacing w:val="5"/>
      <w:sz w:val="24"/>
      <w:szCs w:val="24"/>
    </w:rPr>
  </w:style>
  <w:style w:type="paragraph" w:styleId="Heading4">
    <w:name w:val="heading 4"/>
    <w:basedOn w:val="TOC3"/>
    <w:next w:val="Normal"/>
    <w:link w:val="Heading4Char"/>
    <w:autoRedefine/>
    <w:uiPriority w:val="9"/>
    <w:unhideWhenUsed/>
    <w:qFormat/>
    <w:rsid w:val="00E2724C"/>
    <w:pPr>
      <w:tabs>
        <w:tab w:val="right" w:leader="dot" w:pos="8664"/>
      </w:tabs>
      <w:ind w:left="0"/>
      <w:outlineLvl w:val="3"/>
    </w:pPr>
    <w:rPr>
      <w:rFonts w:ascii="Muli" w:hAnsi="Muli"/>
      <w:smallCaps/>
      <w:noProof/>
      <w:color w:val="2F5496" w:themeColor="accent1" w:themeShade="BF"/>
      <w:sz w:val="22"/>
    </w:rPr>
  </w:style>
  <w:style w:type="paragraph" w:styleId="Heading5">
    <w:name w:val="heading 5"/>
    <w:basedOn w:val="Normal"/>
    <w:next w:val="Normal"/>
    <w:link w:val="Heading5Char"/>
    <w:uiPriority w:val="9"/>
    <w:unhideWhenUsed/>
    <w:qFormat/>
    <w:rsid w:val="00F75D04"/>
    <w:pPr>
      <w:spacing w:after="0"/>
      <w:outlineLvl w:val="4"/>
    </w:pPr>
    <w:rPr>
      <w:b/>
      <w:smallCaps/>
      <w:color w:val="2F5496" w:themeColor="accent1" w:themeShade="BF"/>
      <w:spacing w:val="10"/>
      <w:sz w:val="18"/>
      <w:szCs w:val="22"/>
    </w:rPr>
  </w:style>
  <w:style w:type="paragraph" w:styleId="Heading6">
    <w:name w:val="heading 6"/>
    <w:basedOn w:val="Normal"/>
    <w:next w:val="Normal"/>
    <w:link w:val="Heading6Char"/>
    <w:uiPriority w:val="9"/>
    <w:unhideWhenUsed/>
    <w:qFormat/>
    <w:rsid w:val="00F75D04"/>
    <w:pPr>
      <w:spacing w:after="0"/>
      <w:outlineLvl w:val="5"/>
    </w:pPr>
    <w:rPr>
      <w:smallCaps/>
      <w:color w:val="70AD47" w:themeColor="accent6"/>
      <w:spacing w:val="5"/>
      <w:sz w:val="22"/>
      <w:szCs w:val="22"/>
    </w:rPr>
  </w:style>
  <w:style w:type="paragraph" w:styleId="Heading7">
    <w:name w:val="heading 7"/>
    <w:basedOn w:val="Normal"/>
    <w:next w:val="Normal"/>
    <w:link w:val="Heading7Char"/>
    <w:uiPriority w:val="9"/>
    <w:unhideWhenUsed/>
    <w:qFormat/>
    <w:rsid w:val="00F75D04"/>
    <w:pPr>
      <w:spacing w:after="0"/>
      <w:outlineLvl w:val="6"/>
    </w:pPr>
    <w:rPr>
      <w:b/>
      <w:bCs/>
      <w:smallCaps/>
      <w:color w:val="70AD47" w:themeColor="accent6"/>
      <w:spacing w:val="10"/>
    </w:rPr>
  </w:style>
  <w:style w:type="paragraph" w:styleId="Heading8">
    <w:name w:val="heading 8"/>
    <w:basedOn w:val="Normal"/>
    <w:next w:val="Normal"/>
    <w:link w:val="Heading8Char"/>
    <w:uiPriority w:val="9"/>
    <w:unhideWhenUsed/>
    <w:qFormat/>
    <w:rsid w:val="00F75D04"/>
    <w:pPr>
      <w:spacing w:after="0"/>
      <w:outlineLvl w:val="7"/>
    </w:pPr>
    <w:rPr>
      <w:b/>
      <w:bCs/>
      <w:i/>
      <w:iCs/>
      <w:smallCaps/>
      <w:color w:val="538135" w:themeColor="accent6" w:themeShade="BF"/>
    </w:rPr>
  </w:style>
  <w:style w:type="paragraph" w:styleId="Heading9">
    <w:name w:val="heading 9"/>
    <w:basedOn w:val="Normal"/>
    <w:next w:val="Normal"/>
    <w:link w:val="Heading9Char"/>
    <w:uiPriority w:val="9"/>
    <w:unhideWhenUsed/>
    <w:qFormat/>
    <w:rsid w:val="00F75D04"/>
    <w:pPr>
      <w:spacing w:after="0"/>
      <w:outlineLvl w:val="8"/>
    </w:pPr>
    <w:rPr>
      <w:b/>
      <w:bCs/>
      <w:i/>
      <w:iCs/>
      <w:smallCaps/>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D04"/>
    <w:rPr>
      <w:rFonts w:ascii="Muli" w:eastAsiaTheme="minorEastAsia" w:hAnsi="Muli"/>
      <w:b/>
      <w:smallCaps/>
      <w:color w:val="4472C4" w:themeColor="accent1"/>
      <w:spacing w:val="5"/>
      <w:sz w:val="32"/>
      <w:szCs w:val="32"/>
    </w:rPr>
  </w:style>
  <w:style w:type="character" w:customStyle="1" w:styleId="Heading2Char">
    <w:name w:val="Heading 2 Char"/>
    <w:basedOn w:val="DefaultParagraphFont"/>
    <w:link w:val="Heading2"/>
    <w:uiPriority w:val="9"/>
    <w:rsid w:val="00F75D04"/>
    <w:rPr>
      <w:rFonts w:ascii="Muli" w:eastAsiaTheme="minorEastAsia" w:hAnsi="Muli"/>
      <w:b/>
      <w:smallCaps/>
      <w:color w:val="4472C4" w:themeColor="accent1"/>
      <w:spacing w:val="5"/>
      <w:sz w:val="26"/>
      <w:szCs w:val="28"/>
    </w:rPr>
  </w:style>
  <w:style w:type="character" w:customStyle="1" w:styleId="Heading3Char">
    <w:name w:val="Heading 3 Char"/>
    <w:basedOn w:val="DefaultParagraphFont"/>
    <w:link w:val="Heading3"/>
    <w:uiPriority w:val="9"/>
    <w:rsid w:val="00F75D04"/>
    <w:rPr>
      <w:rFonts w:ascii="Muli" w:eastAsiaTheme="minorEastAsia" w:hAnsi="Muli"/>
      <w:b/>
      <w:smallCaps/>
      <w:color w:val="4472C4" w:themeColor="accent1"/>
      <w:spacing w:val="5"/>
      <w:sz w:val="24"/>
      <w:szCs w:val="24"/>
    </w:rPr>
  </w:style>
  <w:style w:type="paragraph" w:styleId="TOC3">
    <w:name w:val="toc 3"/>
    <w:basedOn w:val="Normal"/>
    <w:next w:val="Normal"/>
    <w:autoRedefine/>
    <w:uiPriority w:val="39"/>
    <w:unhideWhenUsed/>
    <w:rsid w:val="00F75D04"/>
    <w:pPr>
      <w:spacing w:before="0" w:after="0"/>
      <w:ind w:left="400"/>
    </w:pPr>
    <w:rPr>
      <w:rFonts w:asciiTheme="minorHAnsi" w:hAnsiTheme="minorHAnsi" w:cstheme="minorHAnsi"/>
    </w:rPr>
  </w:style>
  <w:style w:type="character" w:customStyle="1" w:styleId="Heading4Char">
    <w:name w:val="Heading 4 Char"/>
    <w:basedOn w:val="DefaultParagraphFont"/>
    <w:link w:val="Heading4"/>
    <w:uiPriority w:val="9"/>
    <w:rsid w:val="00E2724C"/>
    <w:rPr>
      <w:rFonts w:ascii="Muli" w:eastAsiaTheme="minorEastAsia" w:hAnsi="Muli" w:cstheme="minorHAnsi"/>
      <w:smallCaps/>
      <w:noProof/>
      <w:color w:val="2F5496" w:themeColor="accent1" w:themeShade="BF"/>
      <w:szCs w:val="20"/>
    </w:rPr>
  </w:style>
  <w:style w:type="character" w:customStyle="1" w:styleId="Heading5Char">
    <w:name w:val="Heading 5 Char"/>
    <w:basedOn w:val="DefaultParagraphFont"/>
    <w:link w:val="Heading5"/>
    <w:uiPriority w:val="9"/>
    <w:rsid w:val="00F75D04"/>
    <w:rPr>
      <w:rFonts w:ascii="Muli" w:eastAsiaTheme="minorEastAsia" w:hAnsi="Muli"/>
      <w:b/>
      <w:smallCaps/>
      <w:color w:val="2F5496" w:themeColor="accent1" w:themeShade="BF"/>
      <w:spacing w:val="10"/>
      <w:sz w:val="18"/>
    </w:rPr>
  </w:style>
  <w:style w:type="character" w:customStyle="1" w:styleId="Heading6Char">
    <w:name w:val="Heading 6 Char"/>
    <w:basedOn w:val="DefaultParagraphFont"/>
    <w:link w:val="Heading6"/>
    <w:uiPriority w:val="9"/>
    <w:rsid w:val="00F75D04"/>
    <w:rPr>
      <w:rFonts w:ascii="Muli" w:eastAsiaTheme="minorEastAsia" w:hAnsi="Muli"/>
      <w:smallCaps/>
      <w:color w:val="70AD47" w:themeColor="accent6"/>
      <w:spacing w:val="5"/>
    </w:rPr>
  </w:style>
  <w:style w:type="character" w:customStyle="1" w:styleId="Heading7Char">
    <w:name w:val="Heading 7 Char"/>
    <w:basedOn w:val="DefaultParagraphFont"/>
    <w:link w:val="Heading7"/>
    <w:uiPriority w:val="9"/>
    <w:rsid w:val="00F75D04"/>
    <w:rPr>
      <w:rFonts w:ascii="Muli" w:eastAsiaTheme="minorEastAsia" w:hAnsi="Muli"/>
      <w:b/>
      <w:bCs/>
      <w:smallCaps/>
      <w:color w:val="70AD47" w:themeColor="accent6"/>
      <w:spacing w:val="10"/>
      <w:sz w:val="20"/>
      <w:szCs w:val="20"/>
    </w:rPr>
  </w:style>
  <w:style w:type="character" w:customStyle="1" w:styleId="Heading8Char">
    <w:name w:val="Heading 8 Char"/>
    <w:basedOn w:val="DefaultParagraphFont"/>
    <w:link w:val="Heading8"/>
    <w:uiPriority w:val="9"/>
    <w:rsid w:val="00F75D04"/>
    <w:rPr>
      <w:rFonts w:ascii="Muli" w:eastAsiaTheme="minorEastAsia" w:hAnsi="Muli"/>
      <w:b/>
      <w:bCs/>
      <w:i/>
      <w:iCs/>
      <w:smallCaps/>
      <w:color w:val="538135" w:themeColor="accent6" w:themeShade="BF"/>
      <w:sz w:val="20"/>
      <w:szCs w:val="20"/>
    </w:rPr>
  </w:style>
  <w:style w:type="character" w:customStyle="1" w:styleId="Heading9Char">
    <w:name w:val="Heading 9 Char"/>
    <w:basedOn w:val="DefaultParagraphFont"/>
    <w:link w:val="Heading9"/>
    <w:uiPriority w:val="9"/>
    <w:rsid w:val="00F75D04"/>
    <w:rPr>
      <w:rFonts w:ascii="Muli" w:eastAsiaTheme="minorEastAsia" w:hAnsi="Muli"/>
      <w:b/>
      <w:bCs/>
      <w:i/>
      <w:iCs/>
      <w:smallCaps/>
      <w:color w:val="385623" w:themeColor="accent6" w:themeShade="80"/>
      <w:sz w:val="20"/>
      <w:szCs w:val="20"/>
    </w:rPr>
  </w:style>
  <w:style w:type="paragraph" w:styleId="Caption">
    <w:name w:val="caption"/>
    <w:basedOn w:val="Normal"/>
    <w:next w:val="Normal"/>
    <w:uiPriority w:val="35"/>
    <w:unhideWhenUsed/>
    <w:qFormat/>
    <w:rsid w:val="00F75D04"/>
    <w:rPr>
      <w:b/>
      <w:bCs/>
      <w:caps/>
      <w:sz w:val="16"/>
      <w:szCs w:val="16"/>
    </w:rPr>
  </w:style>
  <w:style w:type="paragraph" w:styleId="Title">
    <w:name w:val="Title"/>
    <w:basedOn w:val="Normal"/>
    <w:next w:val="Normal"/>
    <w:link w:val="TitleChar"/>
    <w:uiPriority w:val="10"/>
    <w:qFormat/>
    <w:rsid w:val="00F75D04"/>
    <w:pPr>
      <w:spacing w:after="120" w:line="240" w:lineRule="auto"/>
    </w:pPr>
    <w:rPr>
      <w:b/>
      <w:smallCaps/>
      <w:color w:val="4472C4" w:themeColor="accent1"/>
      <w:sz w:val="38"/>
      <w:szCs w:val="52"/>
    </w:rPr>
  </w:style>
  <w:style w:type="character" w:customStyle="1" w:styleId="TitleChar">
    <w:name w:val="Title Char"/>
    <w:basedOn w:val="DefaultParagraphFont"/>
    <w:link w:val="Title"/>
    <w:uiPriority w:val="10"/>
    <w:rsid w:val="00F75D04"/>
    <w:rPr>
      <w:rFonts w:ascii="Muli" w:eastAsiaTheme="minorEastAsia" w:hAnsi="Muli"/>
      <w:b/>
      <w:smallCaps/>
      <w:color w:val="4472C4" w:themeColor="accent1"/>
      <w:sz w:val="38"/>
      <w:szCs w:val="52"/>
    </w:rPr>
  </w:style>
  <w:style w:type="paragraph" w:styleId="Subtitle">
    <w:name w:val="Subtitle"/>
    <w:aliases w:val="Figures"/>
    <w:basedOn w:val="Normal"/>
    <w:next w:val="Normal"/>
    <w:link w:val="SubtitleChar"/>
    <w:uiPriority w:val="11"/>
    <w:qFormat/>
    <w:rsid w:val="00F75D04"/>
    <w:pPr>
      <w:tabs>
        <w:tab w:val="left" w:pos="907"/>
      </w:tabs>
      <w:spacing w:after="360" w:line="240" w:lineRule="auto"/>
    </w:pPr>
    <w:rPr>
      <w:rFonts w:ascii="Gill Sans MT" w:eastAsiaTheme="majorEastAsia" w:hAnsi="Gill Sans MT" w:cstheme="majorBidi"/>
      <w:sz w:val="18"/>
    </w:rPr>
  </w:style>
  <w:style w:type="character" w:customStyle="1" w:styleId="SubtitleChar">
    <w:name w:val="Subtitle Char"/>
    <w:aliases w:val="Figures Char"/>
    <w:basedOn w:val="DefaultParagraphFont"/>
    <w:link w:val="Subtitle"/>
    <w:uiPriority w:val="11"/>
    <w:rsid w:val="00F75D04"/>
    <w:rPr>
      <w:rFonts w:ascii="Gill Sans MT" w:eastAsiaTheme="majorEastAsia" w:hAnsi="Gill Sans MT" w:cstheme="majorBidi"/>
      <w:sz w:val="18"/>
      <w:szCs w:val="20"/>
    </w:rPr>
  </w:style>
  <w:style w:type="character" w:styleId="Strong">
    <w:name w:val="Strong"/>
    <w:uiPriority w:val="22"/>
    <w:qFormat/>
    <w:rsid w:val="00F75D04"/>
    <w:rPr>
      <w:b/>
      <w:bCs/>
      <w:color w:val="70AD47" w:themeColor="accent6"/>
    </w:rPr>
  </w:style>
  <w:style w:type="character" w:styleId="Emphasis">
    <w:name w:val="Emphasis"/>
    <w:uiPriority w:val="20"/>
    <w:qFormat/>
    <w:rsid w:val="00F75D04"/>
    <w:rPr>
      <w:b/>
      <w:bCs/>
      <w:i/>
      <w:iCs/>
      <w:spacing w:val="10"/>
    </w:rPr>
  </w:style>
  <w:style w:type="paragraph" w:styleId="NoSpacing">
    <w:name w:val="No Spacing"/>
    <w:uiPriority w:val="1"/>
    <w:qFormat/>
    <w:rsid w:val="00F75D04"/>
    <w:pPr>
      <w:spacing w:after="0" w:line="240" w:lineRule="auto"/>
      <w:jc w:val="both"/>
    </w:pPr>
    <w:rPr>
      <w:rFonts w:eastAsiaTheme="minorEastAsia"/>
      <w:sz w:val="20"/>
      <w:szCs w:val="20"/>
    </w:rPr>
  </w:style>
  <w:style w:type="paragraph" w:styleId="Quote">
    <w:name w:val="Quote"/>
    <w:basedOn w:val="Normal"/>
    <w:next w:val="Normal"/>
    <w:link w:val="QuoteChar"/>
    <w:uiPriority w:val="29"/>
    <w:qFormat/>
    <w:rsid w:val="00F75D04"/>
    <w:rPr>
      <w:i/>
      <w:iCs/>
    </w:rPr>
  </w:style>
  <w:style w:type="character" w:customStyle="1" w:styleId="QuoteChar">
    <w:name w:val="Quote Char"/>
    <w:basedOn w:val="DefaultParagraphFont"/>
    <w:link w:val="Quote"/>
    <w:uiPriority w:val="29"/>
    <w:rsid w:val="00F75D04"/>
    <w:rPr>
      <w:rFonts w:ascii="Muli" w:eastAsiaTheme="minorEastAsia" w:hAnsi="Muli"/>
      <w:i/>
      <w:iCs/>
      <w:sz w:val="20"/>
      <w:szCs w:val="20"/>
    </w:rPr>
  </w:style>
  <w:style w:type="paragraph" w:styleId="IntenseQuote">
    <w:name w:val="Intense Quote"/>
    <w:basedOn w:val="Normal"/>
    <w:next w:val="Normal"/>
    <w:link w:val="IntenseQuoteChar"/>
    <w:uiPriority w:val="30"/>
    <w:qFormat/>
    <w:rsid w:val="00F75D04"/>
    <w:pPr>
      <w:pBdr>
        <w:top w:val="single" w:sz="8" w:space="1" w:color="70AD47"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F75D04"/>
    <w:rPr>
      <w:rFonts w:ascii="Muli" w:eastAsiaTheme="minorEastAsia" w:hAnsi="Muli"/>
      <w:b/>
      <w:bCs/>
      <w:i/>
      <w:iCs/>
      <w:sz w:val="20"/>
      <w:szCs w:val="20"/>
    </w:rPr>
  </w:style>
  <w:style w:type="character" w:styleId="SubtleEmphasis">
    <w:name w:val="Subtle Emphasis"/>
    <w:uiPriority w:val="19"/>
    <w:qFormat/>
    <w:rsid w:val="00F75D04"/>
    <w:rPr>
      <w:i/>
      <w:iCs/>
    </w:rPr>
  </w:style>
  <w:style w:type="character" w:styleId="IntenseEmphasis">
    <w:name w:val="Intense Emphasis"/>
    <w:uiPriority w:val="21"/>
    <w:qFormat/>
    <w:rsid w:val="00F75D04"/>
    <w:rPr>
      <w:b/>
      <w:bCs/>
      <w:i/>
      <w:iCs/>
      <w:color w:val="70AD47" w:themeColor="accent6"/>
      <w:spacing w:val="10"/>
    </w:rPr>
  </w:style>
  <w:style w:type="character" w:styleId="SubtleReference">
    <w:name w:val="Subtle Reference"/>
    <w:uiPriority w:val="31"/>
    <w:qFormat/>
    <w:rsid w:val="00F75D04"/>
    <w:rPr>
      <w:b/>
      <w:bCs/>
    </w:rPr>
  </w:style>
  <w:style w:type="character" w:styleId="IntenseReference">
    <w:name w:val="Intense Reference"/>
    <w:uiPriority w:val="32"/>
    <w:qFormat/>
    <w:rsid w:val="00F75D04"/>
    <w:rPr>
      <w:b/>
      <w:bCs/>
      <w:smallCaps/>
      <w:spacing w:val="5"/>
      <w:sz w:val="22"/>
      <w:szCs w:val="22"/>
      <w:u w:val="single"/>
    </w:rPr>
  </w:style>
  <w:style w:type="character" w:styleId="BookTitle">
    <w:name w:val="Book Title"/>
    <w:uiPriority w:val="33"/>
    <w:qFormat/>
    <w:rsid w:val="00F75D04"/>
    <w:rPr>
      <w:rFonts w:asciiTheme="majorHAnsi" w:eastAsiaTheme="majorEastAsia" w:hAnsiTheme="majorHAnsi" w:cstheme="majorBidi"/>
      <w:i/>
      <w:iCs/>
      <w:sz w:val="20"/>
      <w:szCs w:val="20"/>
    </w:rPr>
  </w:style>
  <w:style w:type="paragraph" w:styleId="TOCHeading">
    <w:name w:val="TOC Heading"/>
    <w:basedOn w:val="Heading1"/>
    <w:next w:val="Normal"/>
    <w:uiPriority w:val="39"/>
    <w:unhideWhenUsed/>
    <w:qFormat/>
    <w:rsid w:val="00F75D04"/>
    <w:pPr>
      <w:outlineLvl w:val="9"/>
    </w:pPr>
  </w:style>
  <w:style w:type="paragraph" w:styleId="ListParagraph">
    <w:name w:val="List Paragraph"/>
    <w:basedOn w:val="Normal"/>
    <w:uiPriority w:val="34"/>
    <w:qFormat/>
    <w:rsid w:val="00F75D04"/>
    <w:pPr>
      <w:ind w:left="720"/>
      <w:contextualSpacing/>
    </w:pPr>
  </w:style>
  <w:style w:type="paragraph" w:styleId="BalloonText">
    <w:name w:val="Balloon Text"/>
    <w:basedOn w:val="Normal"/>
    <w:link w:val="BalloonTextChar"/>
    <w:uiPriority w:val="99"/>
    <w:semiHidden/>
    <w:unhideWhenUsed/>
    <w:rsid w:val="00F75D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5D04"/>
    <w:rPr>
      <w:rFonts w:ascii="Segoe UI" w:eastAsiaTheme="minorEastAsia" w:hAnsi="Segoe UI" w:cs="Segoe UI"/>
      <w:sz w:val="18"/>
      <w:szCs w:val="18"/>
    </w:rPr>
  </w:style>
  <w:style w:type="character" w:styleId="Hyperlink">
    <w:name w:val="Hyperlink"/>
    <w:basedOn w:val="DefaultParagraphFont"/>
    <w:uiPriority w:val="99"/>
    <w:unhideWhenUsed/>
    <w:rsid w:val="00F75D04"/>
    <w:rPr>
      <w:color w:val="0563C1" w:themeColor="hyperlink"/>
      <w:u w:val="single"/>
    </w:rPr>
  </w:style>
  <w:style w:type="paragraph" w:styleId="Header">
    <w:name w:val="header"/>
    <w:basedOn w:val="Normal"/>
    <w:link w:val="HeaderChar"/>
    <w:uiPriority w:val="99"/>
    <w:unhideWhenUsed/>
    <w:rsid w:val="00F75D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5D04"/>
    <w:rPr>
      <w:rFonts w:ascii="Muli" w:eastAsiaTheme="minorEastAsia" w:hAnsi="Muli"/>
      <w:sz w:val="20"/>
      <w:szCs w:val="20"/>
    </w:rPr>
  </w:style>
  <w:style w:type="paragraph" w:styleId="Footer">
    <w:name w:val="footer"/>
    <w:basedOn w:val="Normal"/>
    <w:link w:val="FooterChar"/>
    <w:uiPriority w:val="99"/>
    <w:unhideWhenUsed/>
    <w:rsid w:val="00F75D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5D04"/>
    <w:rPr>
      <w:rFonts w:ascii="Muli" w:eastAsiaTheme="minorEastAsia" w:hAnsi="Muli"/>
      <w:sz w:val="20"/>
      <w:szCs w:val="20"/>
    </w:rPr>
  </w:style>
  <w:style w:type="paragraph" w:styleId="TOC1">
    <w:name w:val="toc 1"/>
    <w:basedOn w:val="Normal"/>
    <w:next w:val="Normal"/>
    <w:autoRedefine/>
    <w:uiPriority w:val="39"/>
    <w:unhideWhenUsed/>
    <w:rsid w:val="00F75D04"/>
    <w:pPr>
      <w:spacing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F75D04"/>
    <w:pPr>
      <w:spacing w:after="0"/>
      <w:ind w:left="200"/>
    </w:pPr>
    <w:rPr>
      <w:rFonts w:asciiTheme="minorHAnsi" w:hAnsiTheme="minorHAnsi" w:cstheme="minorHAnsi"/>
      <w:b/>
      <w:bCs/>
      <w:sz w:val="22"/>
      <w:szCs w:val="22"/>
    </w:rPr>
  </w:style>
  <w:style w:type="paragraph" w:customStyle="1" w:styleId="msonormal0">
    <w:name w:val="msonormal"/>
    <w:basedOn w:val="Normal"/>
    <w:rsid w:val="00F75D0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ectioncontentsblue">
    <w:name w:val="sectioncontentsblue"/>
    <w:basedOn w:val="Normal"/>
    <w:rsid w:val="00F75D0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hesisblue">
    <w:name w:val="thesisblue"/>
    <w:basedOn w:val="Normal"/>
    <w:rsid w:val="00F75D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intextgreen">
    <w:name w:val="maintextgreen"/>
    <w:basedOn w:val="DefaultParagraphFont"/>
    <w:rsid w:val="00F75D04"/>
  </w:style>
  <w:style w:type="character" w:customStyle="1" w:styleId="yellowheader">
    <w:name w:val="yellowheader"/>
    <w:basedOn w:val="DefaultParagraphFont"/>
    <w:rsid w:val="00F75D04"/>
  </w:style>
  <w:style w:type="character" w:customStyle="1" w:styleId="finewhitebigger">
    <w:name w:val="finewhitebigger"/>
    <w:basedOn w:val="DefaultParagraphFont"/>
    <w:rsid w:val="00F75D04"/>
  </w:style>
  <w:style w:type="character" w:customStyle="1" w:styleId="maintextblue">
    <w:name w:val="maintextblue"/>
    <w:basedOn w:val="DefaultParagraphFont"/>
    <w:rsid w:val="00F75D04"/>
  </w:style>
  <w:style w:type="character" w:customStyle="1" w:styleId="yellowmaintext">
    <w:name w:val="yellowmaintext"/>
    <w:basedOn w:val="DefaultParagraphFont"/>
    <w:rsid w:val="00F75D04"/>
  </w:style>
  <w:style w:type="character" w:customStyle="1" w:styleId="maintextpink">
    <w:name w:val="maintextpink"/>
    <w:basedOn w:val="DefaultParagraphFont"/>
    <w:rsid w:val="00F75D04"/>
  </w:style>
  <w:style w:type="character" w:customStyle="1" w:styleId="yellowmaintextqnr">
    <w:name w:val="yellowmaintextqnr"/>
    <w:basedOn w:val="DefaultParagraphFont"/>
    <w:rsid w:val="00F75D04"/>
  </w:style>
  <w:style w:type="paragraph" w:customStyle="1" w:styleId="thesis">
    <w:name w:val="thesis"/>
    <w:basedOn w:val="Normal"/>
    <w:rsid w:val="00F75D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sisblue1">
    <w:name w:val="thesisblue1"/>
    <w:basedOn w:val="DefaultParagraphFont"/>
    <w:rsid w:val="00F75D04"/>
  </w:style>
  <w:style w:type="character" w:customStyle="1" w:styleId="z-TopofFormChar">
    <w:name w:val="z-Top of Form Char"/>
    <w:basedOn w:val="DefaultParagraphFont"/>
    <w:link w:val="z-TopofForm"/>
    <w:uiPriority w:val="99"/>
    <w:semiHidden/>
    <w:rsid w:val="00F75D04"/>
    <w:rPr>
      <w:rFonts w:ascii="Arial" w:eastAsia="Times New Roman" w:hAnsi="Arial" w:cs="Arial"/>
      <w:vanish/>
      <w:sz w:val="16"/>
      <w:szCs w:val="16"/>
      <w:lang w:eastAsia="en-GB"/>
    </w:rPr>
  </w:style>
  <w:style w:type="paragraph" w:styleId="z-TopofForm">
    <w:name w:val="HTML Top of Form"/>
    <w:basedOn w:val="Normal"/>
    <w:next w:val="Normal"/>
    <w:link w:val="z-TopofFormChar"/>
    <w:hidden/>
    <w:uiPriority w:val="99"/>
    <w:semiHidden/>
    <w:unhideWhenUsed/>
    <w:rsid w:val="00F75D04"/>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1">
    <w:name w:val="z-Top of Form Char1"/>
    <w:basedOn w:val="DefaultParagraphFont"/>
    <w:uiPriority w:val="99"/>
    <w:semiHidden/>
    <w:rsid w:val="00F75D04"/>
    <w:rPr>
      <w:rFonts w:ascii="Arial" w:eastAsiaTheme="minorEastAsia" w:hAnsi="Arial" w:cs="Arial"/>
      <w:vanish/>
      <w:sz w:val="16"/>
      <w:szCs w:val="16"/>
    </w:rPr>
  </w:style>
  <w:style w:type="character" w:customStyle="1" w:styleId="maintextbluesubmodal">
    <w:name w:val="maintextbluesubmodal"/>
    <w:basedOn w:val="DefaultParagraphFont"/>
    <w:rsid w:val="00F75D04"/>
  </w:style>
  <w:style w:type="character" w:customStyle="1" w:styleId="z-BottomofFormChar">
    <w:name w:val="z-Bottom of Form Char"/>
    <w:basedOn w:val="DefaultParagraphFont"/>
    <w:link w:val="z-BottomofForm"/>
    <w:uiPriority w:val="99"/>
    <w:semiHidden/>
    <w:rsid w:val="00F75D04"/>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F75D04"/>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1">
    <w:name w:val="z-Bottom of Form Char1"/>
    <w:basedOn w:val="DefaultParagraphFont"/>
    <w:uiPriority w:val="99"/>
    <w:semiHidden/>
    <w:rsid w:val="00F75D04"/>
    <w:rPr>
      <w:rFonts w:ascii="Arial" w:eastAsiaTheme="minorEastAsia" w:hAnsi="Arial" w:cs="Arial"/>
      <w:vanish/>
      <w:sz w:val="16"/>
      <w:szCs w:val="16"/>
    </w:rPr>
  </w:style>
  <w:style w:type="paragraph" w:customStyle="1" w:styleId="maintextbluesubmodal1">
    <w:name w:val="maintextbluesubmodal1"/>
    <w:basedOn w:val="Normal"/>
    <w:rsid w:val="00F75D0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4">
    <w:name w:val="toc 4"/>
    <w:basedOn w:val="Normal"/>
    <w:next w:val="Normal"/>
    <w:autoRedefine/>
    <w:uiPriority w:val="39"/>
    <w:unhideWhenUsed/>
    <w:rsid w:val="00F75D04"/>
    <w:pPr>
      <w:spacing w:before="0" w:after="0"/>
      <w:ind w:left="600"/>
    </w:pPr>
    <w:rPr>
      <w:rFonts w:asciiTheme="minorHAnsi" w:hAnsiTheme="minorHAnsi" w:cstheme="minorHAnsi"/>
    </w:rPr>
  </w:style>
  <w:style w:type="paragraph" w:customStyle="1" w:styleId="yellowmaintextqnr1">
    <w:name w:val="yellowmaintextqnr1"/>
    <w:basedOn w:val="Normal"/>
    <w:rsid w:val="00F75D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inedarkred">
    <w:name w:val="finedarkred"/>
    <w:basedOn w:val="DefaultParagraphFont"/>
    <w:rsid w:val="00F75D04"/>
  </w:style>
  <w:style w:type="character" w:customStyle="1" w:styleId="finewhitetext">
    <w:name w:val="finewhitetext"/>
    <w:basedOn w:val="DefaultParagraphFont"/>
    <w:rsid w:val="00F75D04"/>
  </w:style>
  <w:style w:type="character" w:customStyle="1" w:styleId="finedarkredbigger">
    <w:name w:val="finedarkredbigger"/>
    <w:basedOn w:val="DefaultParagraphFont"/>
    <w:rsid w:val="00F75D04"/>
  </w:style>
  <w:style w:type="character" w:customStyle="1" w:styleId="finegreybigger">
    <w:name w:val="finegreybigger"/>
    <w:basedOn w:val="DefaultParagraphFont"/>
    <w:rsid w:val="00F75D04"/>
  </w:style>
  <w:style w:type="character" w:customStyle="1" w:styleId="finegrey">
    <w:name w:val="finegrey"/>
    <w:basedOn w:val="DefaultParagraphFont"/>
    <w:rsid w:val="00F75D04"/>
  </w:style>
  <w:style w:type="character" w:customStyle="1" w:styleId="keyimagetitletext">
    <w:name w:val="keyimagetitletext"/>
    <w:basedOn w:val="DefaultParagraphFont"/>
    <w:rsid w:val="00F75D04"/>
  </w:style>
  <w:style w:type="character" w:customStyle="1" w:styleId="keyimagetitletextnomargin">
    <w:name w:val="keyimagetitletext_nomargin"/>
    <w:basedOn w:val="DefaultParagraphFont"/>
    <w:rsid w:val="00F75D04"/>
  </w:style>
  <w:style w:type="character" w:customStyle="1" w:styleId="presentation">
    <w:name w:val="presentation"/>
    <w:basedOn w:val="DefaultParagraphFont"/>
    <w:rsid w:val="00F75D04"/>
  </w:style>
  <w:style w:type="paragraph" w:customStyle="1" w:styleId="maintextgreen1">
    <w:name w:val="maintextgreen1"/>
    <w:basedOn w:val="Normal"/>
    <w:rsid w:val="00F75D04"/>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GridTable5Dark-Accent4">
    <w:name w:val="Grid Table 5 Dark Accent 4"/>
    <w:basedOn w:val="TableNormal"/>
    <w:uiPriority w:val="50"/>
    <w:rsid w:val="00F75D04"/>
    <w:pPr>
      <w:spacing w:after="0" w:line="240" w:lineRule="auto"/>
      <w:jc w:val="both"/>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TOC5">
    <w:name w:val="toc 5"/>
    <w:basedOn w:val="Normal"/>
    <w:next w:val="Normal"/>
    <w:autoRedefine/>
    <w:uiPriority w:val="39"/>
    <w:unhideWhenUsed/>
    <w:rsid w:val="00F75D04"/>
    <w:pPr>
      <w:spacing w:before="0" w:after="0"/>
      <w:ind w:left="800"/>
    </w:pPr>
    <w:rPr>
      <w:rFonts w:asciiTheme="minorHAnsi" w:hAnsiTheme="minorHAnsi" w:cstheme="minorHAnsi"/>
    </w:rPr>
  </w:style>
  <w:style w:type="paragraph" w:styleId="TOC6">
    <w:name w:val="toc 6"/>
    <w:basedOn w:val="Normal"/>
    <w:next w:val="Normal"/>
    <w:autoRedefine/>
    <w:uiPriority w:val="39"/>
    <w:unhideWhenUsed/>
    <w:rsid w:val="00F75D04"/>
    <w:pPr>
      <w:spacing w:before="0" w:after="0"/>
      <w:ind w:left="1000"/>
    </w:pPr>
    <w:rPr>
      <w:rFonts w:asciiTheme="minorHAnsi" w:hAnsiTheme="minorHAnsi" w:cstheme="minorHAnsi"/>
    </w:rPr>
  </w:style>
  <w:style w:type="paragraph" w:styleId="TOC7">
    <w:name w:val="toc 7"/>
    <w:basedOn w:val="Normal"/>
    <w:next w:val="Normal"/>
    <w:autoRedefine/>
    <w:uiPriority w:val="39"/>
    <w:unhideWhenUsed/>
    <w:rsid w:val="00F75D04"/>
    <w:pPr>
      <w:spacing w:before="0" w:after="0"/>
      <w:ind w:left="1200"/>
    </w:pPr>
    <w:rPr>
      <w:rFonts w:asciiTheme="minorHAnsi" w:hAnsiTheme="minorHAnsi" w:cstheme="minorHAnsi"/>
    </w:rPr>
  </w:style>
  <w:style w:type="paragraph" w:styleId="TOC8">
    <w:name w:val="toc 8"/>
    <w:basedOn w:val="Normal"/>
    <w:next w:val="Normal"/>
    <w:autoRedefine/>
    <w:uiPriority w:val="39"/>
    <w:unhideWhenUsed/>
    <w:rsid w:val="00F75D04"/>
    <w:pPr>
      <w:spacing w:before="0" w:after="0"/>
      <w:ind w:left="1400"/>
    </w:pPr>
    <w:rPr>
      <w:rFonts w:asciiTheme="minorHAnsi" w:hAnsiTheme="minorHAnsi" w:cstheme="minorHAnsi"/>
    </w:rPr>
  </w:style>
  <w:style w:type="paragraph" w:styleId="TOC9">
    <w:name w:val="toc 9"/>
    <w:basedOn w:val="Normal"/>
    <w:next w:val="Normal"/>
    <w:autoRedefine/>
    <w:uiPriority w:val="39"/>
    <w:unhideWhenUsed/>
    <w:rsid w:val="00F75D04"/>
    <w:pPr>
      <w:spacing w:before="0" w:after="0"/>
      <w:ind w:left="1600"/>
    </w:pPr>
    <w:rPr>
      <w:rFonts w:asciiTheme="minorHAnsi" w:hAnsiTheme="minorHAnsi" w:cstheme="minorHAnsi"/>
    </w:rPr>
  </w:style>
  <w:style w:type="paragraph" w:customStyle="1" w:styleId="Tables">
    <w:name w:val="Tables"/>
    <w:basedOn w:val="Subtitle"/>
    <w:link w:val="TablesChar"/>
    <w:qFormat/>
    <w:rsid w:val="00F75D04"/>
  </w:style>
  <w:style w:type="character" w:customStyle="1" w:styleId="TablesChar">
    <w:name w:val="Tables Char"/>
    <w:basedOn w:val="SubtitleChar"/>
    <w:link w:val="Tables"/>
    <w:rsid w:val="00F75D04"/>
    <w:rPr>
      <w:rFonts w:ascii="Gill Sans MT" w:eastAsiaTheme="majorEastAsia" w:hAnsi="Gill Sans MT" w:cstheme="majorBidi"/>
      <w:sz w:val="18"/>
      <w:szCs w:val="20"/>
    </w:rPr>
  </w:style>
  <w:style w:type="paragraph" w:styleId="EndnoteText">
    <w:name w:val="endnote text"/>
    <w:basedOn w:val="Normal"/>
    <w:link w:val="EndnoteTextChar"/>
    <w:uiPriority w:val="99"/>
    <w:unhideWhenUsed/>
    <w:rsid w:val="00F75D04"/>
    <w:pPr>
      <w:spacing w:before="0" w:after="0" w:line="240" w:lineRule="auto"/>
    </w:pPr>
  </w:style>
  <w:style w:type="character" w:customStyle="1" w:styleId="EndnoteTextChar">
    <w:name w:val="Endnote Text Char"/>
    <w:basedOn w:val="DefaultParagraphFont"/>
    <w:link w:val="EndnoteText"/>
    <w:uiPriority w:val="99"/>
    <w:rsid w:val="00F75D04"/>
    <w:rPr>
      <w:rFonts w:ascii="Muli" w:eastAsiaTheme="minorEastAsia" w:hAnsi="Muli"/>
      <w:sz w:val="20"/>
      <w:szCs w:val="20"/>
    </w:rPr>
  </w:style>
  <w:style w:type="paragraph" w:styleId="TableofFigures">
    <w:name w:val="table of figures"/>
    <w:basedOn w:val="Normal"/>
    <w:next w:val="Normal"/>
    <w:uiPriority w:val="99"/>
    <w:unhideWhenUsed/>
    <w:rsid w:val="00F75D04"/>
    <w:pPr>
      <w:spacing w:before="0" w:after="120"/>
    </w:pPr>
    <w:rPr>
      <w:rFonts w:ascii="Gill Sans MT" w:hAnsi="Gill Sans MT"/>
      <w:sz w:val="18"/>
    </w:rPr>
  </w:style>
  <w:style w:type="character" w:styleId="EndnoteReference">
    <w:name w:val="endnote reference"/>
    <w:basedOn w:val="DefaultParagraphFont"/>
    <w:uiPriority w:val="99"/>
    <w:unhideWhenUsed/>
    <w:rsid w:val="00F75D04"/>
    <w:rPr>
      <w:vertAlign w:val="superscript"/>
    </w:rPr>
  </w:style>
  <w:style w:type="paragraph" w:styleId="FootnoteText">
    <w:name w:val="footnote text"/>
    <w:basedOn w:val="Normal"/>
    <w:link w:val="FootnoteTextChar"/>
    <w:uiPriority w:val="99"/>
    <w:unhideWhenUsed/>
    <w:rsid w:val="00F75D04"/>
    <w:pPr>
      <w:spacing w:before="0" w:after="0" w:line="240" w:lineRule="auto"/>
    </w:pPr>
  </w:style>
  <w:style w:type="character" w:customStyle="1" w:styleId="FootnoteTextChar">
    <w:name w:val="Footnote Text Char"/>
    <w:basedOn w:val="DefaultParagraphFont"/>
    <w:link w:val="FootnoteText"/>
    <w:uiPriority w:val="99"/>
    <w:rsid w:val="00F75D04"/>
    <w:rPr>
      <w:rFonts w:ascii="Muli" w:eastAsiaTheme="minorEastAsia" w:hAnsi="Muli"/>
      <w:sz w:val="20"/>
      <w:szCs w:val="20"/>
    </w:rPr>
  </w:style>
  <w:style w:type="character" w:styleId="FootnoteReference">
    <w:name w:val="footnote reference"/>
    <w:basedOn w:val="DefaultParagraphFont"/>
    <w:uiPriority w:val="99"/>
    <w:unhideWhenUsed/>
    <w:rsid w:val="00F75D04"/>
    <w:rPr>
      <w:vertAlign w:val="superscript"/>
    </w:rPr>
  </w:style>
  <w:style w:type="paragraph" w:customStyle="1" w:styleId="TableVertical">
    <w:name w:val="TableVertical"/>
    <w:basedOn w:val="Normal"/>
    <w:link w:val="TableVerticalChar"/>
    <w:qFormat/>
    <w:rsid w:val="00F75D04"/>
    <w:pPr>
      <w:spacing w:before="0" w:after="0" w:line="240" w:lineRule="auto"/>
    </w:pPr>
    <w:rPr>
      <w:rFonts w:asciiTheme="majorHAnsi" w:eastAsiaTheme="minorHAnsi" w:hAnsiTheme="majorHAnsi" w:cs="Calibri"/>
      <w:color w:val="000000"/>
      <w:sz w:val="18"/>
      <w:szCs w:val="18"/>
    </w:rPr>
  </w:style>
  <w:style w:type="character" w:customStyle="1" w:styleId="TableVerticalChar">
    <w:name w:val="TableVertical Char"/>
    <w:basedOn w:val="DefaultParagraphFont"/>
    <w:link w:val="TableVertical"/>
    <w:rsid w:val="00F75D04"/>
    <w:rPr>
      <w:rFonts w:asciiTheme="majorHAnsi" w:hAnsiTheme="majorHAnsi" w:cs="Calibri"/>
      <w:color w:val="000000"/>
      <w:sz w:val="18"/>
      <w:szCs w:val="18"/>
    </w:rPr>
  </w:style>
  <w:style w:type="paragraph" w:customStyle="1" w:styleId="Subheading">
    <w:name w:val="Subheading"/>
    <w:basedOn w:val="Normal"/>
    <w:next w:val="Normal"/>
    <w:link w:val="SubheadingChar"/>
    <w:rsid w:val="00F75D04"/>
    <w:pPr>
      <w:keepNext/>
      <w:spacing w:before="0" w:after="0" w:line="276" w:lineRule="auto"/>
      <w:jc w:val="both"/>
    </w:pPr>
    <w:rPr>
      <w:rFonts w:ascii="Arial" w:eastAsia="Times New Roman" w:hAnsi="Arial" w:cs="Times New Roman"/>
      <w:b/>
      <w:sz w:val="22"/>
      <w:szCs w:val="22"/>
      <w:lang w:bidi="en-US"/>
    </w:rPr>
  </w:style>
  <w:style w:type="character" w:customStyle="1" w:styleId="SubheadingChar">
    <w:name w:val="Subheading Char"/>
    <w:basedOn w:val="DefaultParagraphFont"/>
    <w:link w:val="Subheading"/>
    <w:rsid w:val="00F75D04"/>
    <w:rPr>
      <w:rFonts w:ascii="Arial" w:eastAsia="Times New Roman" w:hAnsi="Arial" w:cs="Times New Roman"/>
      <w:b/>
      <w:lang w:bidi="en-US"/>
    </w:rPr>
  </w:style>
  <w:style w:type="character" w:customStyle="1" w:styleId="QuoteChar1">
    <w:name w:val="Quote Char1"/>
    <w:basedOn w:val="DefaultParagraphFont"/>
    <w:uiPriority w:val="29"/>
    <w:rsid w:val="00F75D04"/>
    <w:rPr>
      <w:i/>
      <w:iCs/>
    </w:rPr>
  </w:style>
  <w:style w:type="paragraph" w:styleId="ListBullet">
    <w:name w:val="List Bullet"/>
    <w:basedOn w:val="Normal"/>
    <w:uiPriority w:val="99"/>
    <w:semiHidden/>
    <w:unhideWhenUsed/>
    <w:rsid w:val="00F75D04"/>
    <w:pPr>
      <w:numPr>
        <w:numId w:val="10"/>
      </w:numPr>
      <w:spacing w:before="0" w:after="0" w:line="276" w:lineRule="auto"/>
      <w:contextualSpacing/>
      <w:jc w:val="both"/>
    </w:pPr>
    <w:rPr>
      <w:rFonts w:ascii="Arial" w:eastAsia="Times New Roman" w:hAnsi="Arial" w:cs="Times New Roman"/>
      <w:sz w:val="22"/>
      <w:szCs w:val="22"/>
      <w:lang w:bidi="en-US"/>
    </w:rPr>
  </w:style>
  <w:style w:type="paragraph" w:styleId="ListNumber">
    <w:name w:val="List Number"/>
    <w:basedOn w:val="Normal"/>
    <w:uiPriority w:val="99"/>
    <w:semiHidden/>
    <w:unhideWhenUsed/>
    <w:rsid w:val="00F75D04"/>
    <w:pPr>
      <w:numPr>
        <w:numId w:val="11"/>
      </w:numPr>
      <w:spacing w:before="0" w:after="0" w:line="276" w:lineRule="auto"/>
      <w:contextualSpacing/>
      <w:jc w:val="both"/>
    </w:pPr>
    <w:rPr>
      <w:rFonts w:ascii="Arial" w:eastAsia="Times New Roman" w:hAnsi="Arial" w:cs="Times New Roman"/>
      <w:sz w:val="22"/>
      <w:szCs w:val="22"/>
      <w:lang w:bidi="en-US"/>
    </w:rPr>
  </w:style>
  <w:style w:type="character" w:customStyle="1" w:styleId="PlainTextChar">
    <w:name w:val="Plain Text Char"/>
    <w:basedOn w:val="DefaultParagraphFont"/>
    <w:link w:val="PlainText"/>
    <w:uiPriority w:val="99"/>
    <w:semiHidden/>
    <w:rsid w:val="00F75D04"/>
    <w:rPr>
      <w:rFonts w:ascii="Consolas" w:eastAsia="Times New Roman" w:hAnsi="Consolas" w:cs="Times New Roman"/>
      <w:szCs w:val="21"/>
      <w:lang w:bidi="en-US"/>
    </w:rPr>
  </w:style>
  <w:style w:type="paragraph" w:styleId="PlainText">
    <w:name w:val="Plain Text"/>
    <w:basedOn w:val="Normal"/>
    <w:link w:val="PlainTextChar"/>
    <w:uiPriority w:val="99"/>
    <w:semiHidden/>
    <w:unhideWhenUsed/>
    <w:rsid w:val="00F75D04"/>
    <w:pPr>
      <w:spacing w:before="0" w:after="0" w:line="240" w:lineRule="auto"/>
      <w:jc w:val="both"/>
    </w:pPr>
    <w:rPr>
      <w:rFonts w:ascii="Consolas" w:eastAsia="Times New Roman" w:hAnsi="Consolas" w:cs="Times New Roman"/>
      <w:sz w:val="22"/>
      <w:szCs w:val="21"/>
      <w:lang w:bidi="en-US"/>
    </w:rPr>
  </w:style>
  <w:style w:type="character" w:customStyle="1" w:styleId="PlainTextChar1">
    <w:name w:val="Plain Text Char1"/>
    <w:basedOn w:val="DefaultParagraphFont"/>
    <w:uiPriority w:val="99"/>
    <w:semiHidden/>
    <w:rsid w:val="00F75D04"/>
    <w:rPr>
      <w:rFonts w:ascii="Consolas" w:eastAsiaTheme="minorEastAsia" w:hAnsi="Consolas" w:cs="Consolas"/>
      <w:sz w:val="21"/>
      <w:szCs w:val="21"/>
    </w:rPr>
  </w:style>
  <w:style w:type="character" w:customStyle="1" w:styleId="BodyText3Char">
    <w:name w:val="Body Text 3 Char"/>
    <w:basedOn w:val="DefaultParagraphFont"/>
    <w:link w:val="BodyText3"/>
    <w:uiPriority w:val="99"/>
    <w:semiHidden/>
    <w:rsid w:val="00F75D04"/>
    <w:rPr>
      <w:rFonts w:ascii="Arial" w:eastAsia="Times New Roman" w:hAnsi="Arial" w:cs="Times New Roman"/>
      <w:szCs w:val="16"/>
      <w:lang w:bidi="en-US"/>
    </w:rPr>
  </w:style>
  <w:style w:type="paragraph" w:styleId="BodyText3">
    <w:name w:val="Body Text 3"/>
    <w:basedOn w:val="Normal"/>
    <w:link w:val="BodyText3Char"/>
    <w:uiPriority w:val="99"/>
    <w:semiHidden/>
    <w:unhideWhenUsed/>
    <w:rsid w:val="00F75D04"/>
    <w:pPr>
      <w:spacing w:before="0" w:after="120" w:line="276" w:lineRule="auto"/>
      <w:jc w:val="both"/>
    </w:pPr>
    <w:rPr>
      <w:rFonts w:ascii="Arial" w:eastAsia="Times New Roman" w:hAnsi="Arial" w:cs="Times New Roman"/>
      <w:sz w:val="22"/>
      <w:szCs w:val="16"/>
      <w:lang w:bidi="en-US"/>
    </w:rPr>
  </w:style>
  <w:style w:type="character" w:customStyle="1" w:styleId="BodyText3Char1">
    <w:name w:val="Body Text 3 Char1"/>
    <w:basedOn w:val="DefaultParagraphFont"/>
    <w:uiPriority w:val="99"/>
    <w:semiHidden/>
    <w:rsid w:val="00F75D04"/>
    <w:rPr>
      <w:rFonts w:ascii="Muli" w:eastAsiaTheme="minorEastAsia" w:hAnsi="Muli"/>
      <w:sz w:val="16"/>
      <w:szCs w:val="16"/>
    </w:rPr>
  </w:style>
  <w:style w:type="paragraph" w:styleId="BodyText">
    <w:name w:val="Body Text"/>
    <w:basedOn w:val="Normal"/>
    <w:link w:val="BodyTextChar"/>
    <w:uiPriority w:val="99"/>
    <w:semiHidden/>
    <w:unhideWhenUsed/>
    <w:rsid w:val="00F75D04"/>
    <w:pPr>
      <w:spacing w:before="0" w:after="120" w:line="276" w:lineRule="auto"/>
      <w:jc w:val="both"/>
    </w:pPr>
    <w:rPr>
      <w:rFonts w:ascii="Arial" w:eastAsia="Times New Roman" w:hAnsi="Arial" w:cs="Times New Roman"/>
      <w:sz w:val="22"/>
      <w:szCs w:val="22"/>
      <w:lang w:bidi="en-US"/>
    </w:rPr>
  </w:style>
  <w:style w:type="character" w:customStyle="1" w:styleId="BodyTextChar">
    <w:name w:val="Body Text Char"/>
    <w:basedOn w:val="DefaultParagraphFont"/>
    <w:link w:val="BodyText"/>
    <w:uiPriority w:val="99"/>
    <w:semiHidden/>
    <w:rsid w:val="00F75D04"/>
    <w:rPr>
      <w:rFonts w:ascii="Arial" w:eastAsia="Times New Roman" w:hAnsi="Arial" w:cs="Times New Roman"/>
      <w:lang w:bidi="en-US"/>
    </w:rPr>
  </w:style>
  <w:style w:type="paragraph" w:styleId="BodyTextFirstIndent">
    <w:name w:val="Body Text First Indent"/>
    <w:basedOn w:val="BodyText"/>
    <w:link w:val="BodyTextFirstIndentChar"/>
    <w:uiPriority w:val="99"/>
    <w:unhideWhenUsed/>
    <w:rsid w:val="00F75D04"/>
    <w:pPr>
      <w:spacing w:after="320"/>
      <w:ind w:firstLine="360"/>
    </w:pPr>
  </w:style>
  <w:style w:type="character" w:customStyle="1" w:styleId="BodyTextFirstIndentChar">
    <w:name w:val="Body Text First Indent Char"/>
    <w:basedOn w:val="BodyTextChar"/>
    <w:link w:val="BodyTextFirstIndent"/>
    <w:uiPriority w:val="99"/>
    <w:rsid w:val="00F75D04"/>
    <w:rPr>
      <w:rFonts w:ascii="Arial" w:eastAsia="Times New Roman" w:hAnsi="Arial" w:cs="Times New Roman"/>
      <w:lang w:bidi="en-US"/>
    </w:rPr>
  </w:style>
  <w:style w:type="paragraph" w:styleId="BodyTextIndent3">
    <w:name w:val="Body Text Indent 3"/>
    <w:basedOn w:val="Normal"/>
    <w:link w:val="BodyTextIndent3Char"/>
    <w:uiPriority w:val="99"/>
    <w:unhideWhenUsed/>
    <w:rsid w:val="00F75D04"/>
    <w:pPr>
      <w:spacing w:before="0" w:after="120" w:line="276" w:lineRule="auto"/>
      <w:ind w:left="283"/>
      <w:jc w:val="both"/>
    </w:pPr>
    <w:rPr>
      <w:rFonts w:ascii="Arial" w:eastAsia="Times New Roman" w:hAnsi="Arial" w:cs="Times New Roman"/>
      <w:szCs w:val="16"/>
      <w:lang w:bidi="en-US"/>
    </w:rPr>
  </w:style>
  <w:style w:type="character" w:customStyle="1" w:styleId="BodyTextIndent3Char">
    <w:name w:val="Body Text Indent 3 Char"/>
    <w:basedOn w:val="DefaultParagraphFont"/>
    <w:link w:val="BodyTextIndent3"/>
    <w:uiPriority w:val="99"/>
    <w:rsid w:val="00F75D04"/>
    <w:rPr>
      <w:rFonts w:ascii="Arial" w:eastAsia="Times New Roman" w:hAnsi="Arial" w:cs="Times New Roman"/>
      <w:sz w:val="20"/>
      <w:szCs w:val="16"/>
      <w:lang w:bidi="en-US"/>
    </w:rPr>
  </w:style>
  <w:style w:type="character" w:customStyle="1" w:styleId="DocumentMapChar">
    <w:name w:val="Document Map Char"/>
    <w:basedOn w:val="DefaultParagraphFont"/>
    <w:link w:val="DocumentMap"/>
    <w:uiPriority w:val="99"/>
    <w:semiHidden/>
    <w:rsid w:val="00F75D04"/>
    <w:rPr>
      <w:rFonts w:ascii="Arial" w:eastAsia="Times New Roman" w:hAnsi="Arial" w:cs="Tahoma"/>
      <w:szCs w:val="16"/>
      <w:lang w:bidi="en-US"/>
    </w:rPr>
  </w:style>
  <w:style w:type="paragraph" w:styleId="DocumentMap">
    <w:name w:val="Document Map"/>
    <w:basedOn w:val="Normal"/>
    <w:link w:val="DocumentMapChar"/>
    <w:uiPriority w:val="99"/>
    <w:semiHidden/>
    <w:unhideWhenUsed/>
    <w:rsid w:val="00F75D04"/>
    <w:pPr>
      <w:spacing w:before="0" w:after="0" w:line="240" w:lineRule="auto"/>
      <w:jc w:val="both"/>
    </w:pPr>
    <w:rPr>
      <w:rFonts w:ascii="Arial" w:eastAsia="Times New Roman" w:hAnsi="Arial" w:cs="Tahoma"/>
      <w:sz w:val="22"/>
      <w:szCs w:val="16"/>
      <w:lang w:bidi="en-US"/>
    </w:rPr>
  </w:style>
  <w:style w:type="character" w:customStyle="1" w:styleId="DocumentMapChar1">
    <w:name w:val="Document Map Char1"/>
    <w:basedOn w:val="DefaultParagraphFont"/>
    <w:uiPriority w:val="99"/>
    <w:semiHidden/>
    <w:rsid w:val="00F75D04"/>
    <w:rPr>
      <w:rFonts w:ascii="Segoe UI" w:eastAsiaTheme="minorEastAsia" w:hAnsi="Segoe UI" w:cs="Segoe UI"/>
      <w:sz w:val="16"/>
      <w:szCs w:val="16"/>
    </w:rPr>
  </w:style>
  <w:style w:type="character" w:customStyle="1" w:styleId="MessageHeaderChar">
    <w:name w:val="Message Header Char"/>
    <w:basedOn w:val="DefaultParagraphFont"/>
    <w:link w:val="MessageHeader"/>
    <w:uiPriority w:val="99"/>
    <w:semiHidden/>
    <w:rsid w:val="00F75D04"/>
    <w:rPr>
      <w:rFonts w:ascii="Arial" w:eastAsia="Times New Roman" w:hAnsi="Arial" w:cs="Times New Roman"/>
      <w:shd w:val="pct20" w:color="auto" w:fill="auto"/>
      <w:lang w:bidi="en-US"/>
    </w:rPr>
  </w:style>
  <w:style w:type="paragraph" w:styleId="MessageHeader">
    <w:name w:val="Message Header"/>
    <w:basedOn w:val="Normal"/>
    <w:link w:val="MessageHeaderChar"/>
    <w:uiPriority w:val="99"/>
    <w:semiHidden/>
    <w:unhideWhenUsed/>
    <w:rsid w:val="00F75D04"/>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jc w:val="both"/>
    </w:pPr>
    <w:rPr>
      <w:rFonts w:ascii="Arial" w:eastAsia="Times New Roman" w:hAnsi="Arial" w:cs="Times New Roman"/>
      <w:sz w:val="22"/>
      <w:szCs w:val="22"/>
      <w:lang w:bidi="en-US"/>
    </w:rPr>
  </w:style>
  <w:style w:type="character" w:customStyle="1" w:styleId="MessageHeaderChar1">
    <w:name w:val="Message Header Char1"/>
    <w:basedOn w:val="DefaultParagraphFont"/>
    <w:uiPriority w:val="99"/>
    <w:semiHidden/>
    <w:rsid w:val="00F75D04"/>
    <w:rPr>
      <w:rFonts w:asciiTheme="majorHAnsi" w:eastAsiaTheme="majorEastAsia" w:hAnsiTheme="majorHAnsi" w:cstheme="majorBidi"/>
      <w:sz w:val="24"/>
      <w:szCs w:val="24"/>
      <w:shd w:val="pct20" w:color="auto" w:fill="auto"/>
    </w:rPr>
  </w:style>
  <w:style w:type="paragraph" w:styleId="CommentText">
    <w:name w:val="annotation text"/>
    <w:basedOn w:val="Normal"/>
    <w:link w:val="CommentTextChar"/>
    <w:uiPriority w:val="99"/>
    <w:unhideWhenUsed/>
    <w:rsid w:val="00F75D04"/>
    <w:pPr>
      <w:spacing w:before="0" w:after="0" w:line="276" w:lineRule="auto"/>
      <w:jc w:val="both"/>
    </w:pPr>
    <w:rPr>
      <w:rFonts w:ascii="Arial" w:eastAsia="Times New Roman" w:hAnsi="Arial" w:cs="Times New Roman"/>
      <w:lang w:bidi="en-US"/>
    </w:rPr>
  </w:style>
  <w:style w:type="character" w:customStyle="1" w:styleId="CommentTextChar">
    <w:name w:val="Comment Text Char"/>
    <w:basedOn w:val="DefaultParagraphFont"/>
    <w:link w:val="CommentText"/>
    <w:uiPriority w:val="99"/>
    <w:rsid w:val="00F75D04"/>
    <w:rPr>
      <w:rFonts w:ascii="Arial" w:eastAsia="Times New Roman" w:hAnsi="Arial" w:cs="Times New Roman"/>
      <w:sz w:val="20"/>
      <w:szCs w:val="20"/>
      <w:lang w:bidi="en-US"/>
    </w:rPr>
  </w:style>
  <w:style w:type="character" w:customStyle="1" w:styleId="CommentSubjectChar">
    <w:name w:val="Comment Subject Char"/>
    <w:basedOn w:val="CommentTextChar"/>
    <w:link w:val="CommentSubject"/>
    <w:uiPriority w:val="99"/>
    <w:semiHidden/>
    <w:rsid w:val="00F75D04"/>
    <w:rPr>
      <w:rFonts w:ascii="Arial" w:eastAsia="Times New Roman" w:hAnsi="Arial" w:cs="Times New Roman"/>
      <w:b/>
      <w:bCs/>
      <w:sz w:val="20"/>
      <w:szCs w:val="20"/>
      <w:lang w:bidi="en-US"/>
    </w:rPr>
  </w:style>
  <w:style w:type="paragraph" w:styleId="CommentSubject">
    <w:name w:val="annotation subject"/>
    <w:basedOn w:val="CommentText"/>
    <w:next w:val="CommentText"/>
    <w:link w:val="CommentSubjectChar"/>
    <w:uiPriority w:val="99"/>
    <w:semiHidden/>
    <w:unhideWhenUsed/>
    <w:rsid w:val="00F75D04"/>
    <w:rPr>
      <w:b/>
      <w:bCs/>
    </w:rPr>
  </w:style>
  <w:style w:type="character" w:customStyle="1" w:styleId="CommentSubjectChar1">
    <w:name w:val="Comment Subject Char1"/>
    <w:basedOn w:val="CommentTextChar"/>
    <w:uiPriority w:val="99"/>
    <w:semiHidden/>
    <w:rsid w:val="00F75D04"/>
    <w:rPr>
      <w:rFonts w:ascii="Arial" w:eastAsia="Times New Roman" w:hAnsi="Arial" w:cs="Times New Roman"/>
      <w:b/>
      <w:bCs/>
      <w:sz w:val="20"/>
      <w:szCs w:val="20"/>
      <w:lang w:bidi="en-US"/>
    </w:rPr>
  </w:style>
  <w:style w:type="paragraph" w:customStyle="1" w:styleId="Style1">
    <w:name w:val="Style1"/>
    <w:basedOn w:val="Normal"/>
    <w:rsid w:val="00F75D04"/>
    <w:pPr>
      <w:overflowPunct w:val="0"/>
      <w:autoSpaceDE w:val="0"/>
      <w:autoSpaceDN w:val="0"/>
      <w:adjustRightInd w:val="0"/>
      <w:spacing w:before="0" w:after="0" w:line="240" w:lineRule="auto"/>
      <w:textAlignment w:val="baseline"/>
    </w:pPr>
    <w:rPr>
      <w:rFonts w:ascii="Gill Sans MT" w:eastAsia="Times New Roman" w:hAnsi="Gill Sans MT" w:cs="Times New Roman"/>
      <w:sz w:val="24"/>
    </w:rPr>
  </w:style>
  <w:style w:type="character" w:styleId="CommentReference">
    <w:name w:val="annotation reference"/>
    <w:basedOn w:val="DefaultParagraphFont"/>
    <w:uiPriority w:val="99"/>
    <w:semiHidden/>
    <w:unhideWhenUsed/>
    <w:rsid w:val="00F75D04"/>
    <w:rPr>
      <w:sz w:val="16"/>
      <w:szCs w:val="16"/>
    </w:rPr>
  </w:style>
  <w:style w:type="character" w:customStyle="1" w:styleId="UnresolvedMention2">
    <w:name w:val="Unresolved Mention2"/>
    <w:basedOn w:val="DefaultParagraphFont"/>
    <w:uiPriority w:val="99"/>
    <w:unhideWhenUsed/>
    <w:rsid w:val="00F75D04"/>
    <w:rPr>
      <w:color w:val="605E5C"/>
      <w:shd w:val="clear" w:color="auto" w:fill="E1DFDD"/>
    </w:rPr>
  </w:style>
  <w:style w:type="character" w:styleId="LineNumber">
    <w:name w:val="line number"/>
    <w:basedOn w:val="DefaultParagraphFont"/>
    <w:uiPriority w:val="99"/>
    <w:semiHidden/>
    <w:unhideWhenUsed/>
    <w:rsid w:val="00F75D04"/>
  </w:style>
  <w:style w:type="character" w:customStyle="1" w:styleId="UnresolvedMention1">
    <w:name w:val="Unresolved Mention1"/>
    <w:basedOn w:val="DefaultParagraphFont"/>
    <w:uiPriority w:val="99"/>
    <w:semiHidden/>
    <w:unhideWhenUsed/>
    <w:rsid w:val="00884C95"/>
    <w:rPr>
      <w:color w:val="808080"/>
      <w:shd w:val="clear" w:color="auto" w:fill="E6E6E6"/>
    </w:rPr>
  </w:style>
  <w:style w:type="character" w:styleId="FollowedHyperlink">
    <w:name w:val="FollowedHyperlink"/>
    <w:basedOn w:val="DefaultParagraphFont"/>
    <w:uiPriority w:val="99"/>
    <w:semiHidden/>
    <w:unhideWhenUsed/>
    <w:rsid w:val="00884C95"/>
    <w:rPr>
      <w:color w:val="954F72" w:themeColor="followedHyperlink"/>
      <w:u w:val="single"/>
    </w:rPr>
  </w:style>
  <w:style w:type="table" w:styleId="TableGrid">
    <w:name w:val="Table Grid"/>
    <w:basedOn w:val="TableNormal"/>
    <w:uiPriority w:val="59"/>
    <w:rsid w:val="00884C95"/>
    <w:pPr>
      <w:spacing w:after="0" w:line="240" w:lineRule="auto"/>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884C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1">
    <w:name w:val="Grid Table 5 Dark Accent 1"/>
    <w:basedOn w:val="TableNormal"/>
    <w:uiPriority w:val="50"/>
    <w:rsid w:val="00884C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6">
    <w:name w:val="Grid Table 5 Dark Accent 6"/>
    <w:basedOn w:val="TableNormal"/>
    <w:uiPriority w:val="50"/>
    <w:rsid w:val="00884C95"/>
    <w:pPr>
      <w:spacing w:after="0" w:line="240" w:lineRule="auto"/>
      <w:jc w:val="both"/>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1Light-Accent1">
    <w:name w:val="Grid Table 1 Light Accent 1"/>
    <w:basedOn w:val="TableNormal"/>
    <w:uiPriority w:val="46"/>
    <w:rsid w:val="00884C95"/>
    <w:pPr>
      <w:spacing w:after="0" w:line="240" w:lineRule="auto"/>
      <w:jc w:val="both"/>
    </w:pPr>
    <w:rPr>
      <w:rFonts w:eastAsiaTheme="minorEastAsia"/>
      <w:sz w:val="20"/>
      <w:szCs w:val="20"/>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5Dark-Accent2">
    <w:name w:val="Grid Table 5 Dark Accent 2"/>
    <w:basedOn w:val="TableNormal"/>
    <w:uiPriority w:val="50"/>
    <w:rsid w:val="00884C95"/>
    <w:pPr>
      <w:spacing w:after="0" w:line="240" w:lineRule="auto"/>
      <w:jc w:val="both"/>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PlaceholderText">
    <w:name w:val="Placeholder Text"/>
    <w:basedOn w:val="DefaultParagraphFont"/>
    <w:uiPriority w:val="99"/>
    <w:semiHidden/>
    <w:rsid w:val="00884C95"/>
    <w:rPr>
      <w:color w:val="808080"/>
    </w:rPr>
  </w:style>
  <w:style w:type="table" w:styleId="GridTable4-Accent1">
    <w:name w:val="Grid Table 4 Accent 1"/>
    <w:basedOn w:val="TableNormal"/>
    <w:uiPriority w:val="49"/>
    <w:rsid w:val="00884C95"/>
    <w:pPr>
      <w:spacing w:after="0" w:line="240" w:lineRule="auto"/>
      <w:jc w:val="both"/>
    </w:pPr>
    <w:rPr>
      <w:rFonts w:eastAsiaTheme="minorEastAsia"/>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4">
    <w:name w:val="Grid Table 4 Accent 4"/>
    <w:basedOn w:val="TableNormal"/>
    <w:uiPriority w:val="49"/>
    <w:rsid w:val="00884C95"/>
    <w:pPr>
      <w:spacing w:after="0" w:line="240" w:lineRule="auto"/>
      <w:jc w:val="both"/>
    </w:pPr>
    <w:rPr>
      <w:rFonts w:eastAsiaTheme="minorEastAsia"/>
      <w:sz w:val="20"/>
      <w:szCs w:val="20"/>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UnresolvedMention">
    <w:name w:val="Unresolved Mention"/>
    <w:basedOn w:val="DefaultParagraphFont"/>
    <w:uiPriority w:val="99"/>
    <w:unhideWhenUsed/>
    <w:rsid w:val="00884C95"/>
    <w:rPr>
      <w:color w:val="605E5C"/>
      <w:shd w:val="clear" w:color="auto" w:fill="E1DFDD"/>
    </w:rPr>
  </w:style>
  <w:style w:type="table" w:styleId="ListTable7ColourfulAccent1">
    <w:name w:val="List Table 7 Colorful Accent 1"/>
    <w:basedOn w:val="TableNormal"/>
    <w:uiPriority w:val="52"/>
    <w:rsid w:val="00086112"/>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Heading5sub">
    <w:name w:val="Heading 5sub"/>
    <w:basedOn w:val="Heading5"/>
    <w:qFormat/>
    <w:rsid w:val="00300465"/>
    <w:rPr>
      <w:color w:val="8EAADB" w:themeColor="accent1" w:themeTint="99"/>
    </w:rPr>
  </w:style>
  <w:style w:type="table" w:styleId="GridTable7ColourfulAccent5">
    <w:name w:val="Grid Table 7 Colorful Accent 5"/>
    <w:basedOn w:val="TableNormal"/>
    <w:uiPriority w:val="52"/>
    <w:rsid w:val="00EB4ABF"/>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5Dark-Accent3">
    <w:name w:val="Grid Table 5 Dark Accent 3"/>
    <w:basedOn w:val="TableNormal"/>
    <w:uiPriority w:val="50"/>
    <w:rsid w:val="00EB4AB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7ColourfulAccent3">
    <w:name w:val="Grid Table 7 Colorful Accent 3"/>
    <w:basedOn w:val="TableNormal"/>
    <w:uiPriority w:val="52"/>
    <w:rsid w:val="00EB4ABF"/>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ListTable7ColourfulAccent3">
    <w:name w:val="List Table 7 Colorful Accent 3"/>
    <w:basedOn w:val="TableNormal"/>
    <w:uiPriority w:val="52"/>
    <w:rsid w:val="00EB4ABF"/>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urful">
    <w:name w:val="List Table 6 Colorful"/>
    <w:basedOn w:val="TableNormal"/>
    <w:uiPriority w:val="51"/>
    <w:rsid w:val="00B11F8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Accent3">
    <w:name w:val="List Table 6 Colorful Accent 3"/>
    <w:basedOn w:val="TableNormal"/>
    <w:uiPriority w:val="51"/>
    <w:rsid w:val="00B11F89"/>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font9">
    <w:name w:val="font_9"/>
    <w:basedOn w:val="Normal"/>
    <w:rsid w:val="00642C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24">
    <w:name w:val="color_24"/>
    <w:basedOn w:val="DefaultParagraphFont"/>
    <w:rsid w:val="00642C69"/>
  </w:style>
  <w:style w:type="character" w:customStyle="1" w:styleId="wixguard">
    <w:name w:val="wixguard"/>
    <w:basedOn w:val="DefaultParagraphFont"/>
    <w:rsid w:val="00642C69"/>
  </w:style>
  <w:style w:type="paragraph" w:customStyle="1" w:styleId="font8">
    <w:name w:val="font_8"/>
    <w:basedOn w:val="Normal"/>
    <w:rsid w:val="009D54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18">
    <w:name w:val="color_18"/>
    <w:basedOn w:val="DefaultParagraphFont"/>
    <w:rsid w:val="009D5419"/>
  </w:style>
  <w:style w:type="character" w:customStyle="1" w:styleId="color19">
    <w:name w:val="color_19"/>
    <w:basedOn w:val="DefaultParagraphFont"/>
    <w:rsid w:val="004E595B"/>
  </w:style>
  <w:style w:type="character" w:customStyle="1" w:styleId="backcolor16">
    <w:name w:val="backcolor_16"/>
    <w:basedOn w:val="DefaultParagraphFont"/>
    <w:rsid w:val="004103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0799">
      <w:bodyDiv w:val="1"/>
      <w:marLeft w:val="0"/>
      <w:marRight w:val="0"/>
      <w:marTop w:val="0"/>
      <w:marBottom w:val="0"/>
      <w:divBdr>
        <w:top w:val="none" w:sz="0" w:space="0" w:color="auto"/>
        <w:left w:val="none" w:sz="0" w:space="0" w:color="auto"/>
        <w:bottom w:val="none" w:sz="0" w:space="0" w:color="auto"/>
        <w:right w:val="none" w:sz="0" w:space="0" w:color="auto"/>
      </w:divBdr>
    </w:div>
    <w:div w:id="40634012">
      <w:bodyDiv w:val="1"/>
      <w:marLeft w:val="0"/>
      <w:marRight w:val="0"/>
      <w:marTop w:val="0"/>
      <w:marBottom w:val="0"/>
      <w:divBdr>
        <w:top w:val="none" w:sz="0" w:space="0" w:color="auto"/>
        <w:left w:val="none" w:sz="0" w:space="0" w:color="auto"/>
        <w:bottom w:val="none" w:sz="0" w:space="0" w:color="auto"/>
        <w:right w:val="none" w:sz="0" w:space="0" w:color="auto"/>
      </w:divBdr>
    </w:div>
    <w:div w:id="44305609">
      <w:bodyDiv w:val="1"/>
      <w:marLeft w:val="0"/>
      <w:marRight w:val="0"/>
      <w:marTop w:val="0"/>
      <w:marBottom w:val="0"/>
      <w:divBdr>
        <w:top w:val="none" w:sz="0" w:space="0" w:color="auto"/>
        <w:left w:val="none" w:sz="0" w:space="0" w:color="auto"/>
        <w:bottom w:val="none" w:sz="0" w:space="0" w:color="auto"/>
        <w:right w:val="none" w:sz="0" w:space="0" w:color="auto"/>
      </w:divBdr>
    </w:div>
    <w:div w:id="49766611">
      <w:bodyDiv w:val="1"/>
      <w:marLeft w:val="0"/>
      <w:marRight w:val="0"/>
      <w:marTop w:val="0"/>
      <w:marBottom w:val="0"/>
      <w:divBdr>
        <w:top w:val="none" w:sz="0" w:space="0" w:color="auto"/>
        <w:left w:val="none" w:sz="0" w:space="0" w:color="auto"/>
        <w:bottom w:val="none" w:sz="0" w:space="0" w:color="auto"/>
        <w:right w:val="none" w:sz="0" w:space="0" w:color="auto"/>
      </w:divBdr>
    </w:div>
    <w:div w:id="65155732">
      <w:bodyDiv w:val="1"/>
      <w:marLeft w:val="0"/>
      <w:marRight w:val="0"/>
      <w:marTop w:val="0"/>
      <w:marBottom w:val="0"/>
      <w:divBdr>
        <w:top w:val="none" w:sz="0" w:space="0" w:color="auto"/>
        <w:left w:val="none" w:sz="0" w:space="0" w:color="auto"/>
        <w:bottom w:val="none" w:sz="0" w:space="0" w:color="auto"/>
        <w:right w:val="none" w:sz="0" w:space="0" w:color="auto"/>
      </w:divBdr>
    </w:div>
    <w:div w:id="74061888">
      <w:bodyDiv w:val="1"/>
      <w:marLeft w:val="0"/>
      <w:marRight w:val="0"/>
      <w:marTop w:val="0"/>
      <w:marBottom w:val="0"/>
      <w:divBdr>
        <w:top w:val="none" w:sz="0" w:space="0" w:color="auto"/>
        <w:left w:val="none" w:sz="0" w:space="0" w:color="auto"/>
        <w:bottom w:val="none" w:sz="0" w:space="0" w:color="auto"/>
        <w:right w:val="none" w:sz="0" w:space="0" w:color="auto"/>
      </w:divBdr>
    </w:div>
    <w:div w:id="92407505">
      <w:bodyDiv w:val="1"/>
      <w:marLeft w:val="0"/>
      <w:marRight w:val="0"/>
      <w:marTop w:val="0"/>
      <w:marBottom w:val="0"/>
      <w:divBdr>
        <w:top w:val="none" w:sz="0" w:space="0" w:color="auto"/>
        <w:left w:val="none" w:sz="0" w:space="0" w:color="auto"/>
        <w:bottom w:val="none" w:sz="0" w:space="0" w:color="auto"/>
        <w:right w:val="none" w:sz="0" w:space="0" w:color="auto"/>
      </w:divBdr>
    </w:div>
    <w:div w:id="94131365">
      <w:bodyDiv w:val="1"/>
      <w:marLeft w:val="0"/>
      <w:marRight w:val="0"/>
      <w:marTop w:val="0"/>
      <w:marBottom w:val="0"/>
      <w:divBdr>
        <w:top w:val="none" w:sz="0" w:space="0" w:color="auto"/>
        <w:left w:val="none" w:sz="0" w:space="0" w:color="auto"/>
        <w:bottom w:val="none" w:sz="0" w:space="0" w:color="auto"/>
        <w:right w:val="none" w:sz="0" w:space="0" w:color="auto"/>
      </w:divBdr>
    </w:div>
    <w:div w:id="99881979">
      <w:bodyDiv w:val="1"/>
      <w:marLeft w:val="0"/>
      <w:marRight w:val="0"/>
      <w:marTop w:val="0"/>
      <w:marBottom w:val="0"/>
      <w:divBdr>
        <w:top w:val="none" w:sz="0" w:space="0" w:color="auto"/>
        <w:left w:val="none" w:sz="0" w:space="0" w:color="auto"/>
        <w:bottom w:val="none" w:sz="0" w:space="0" w:color="auto"/>
        <w:right w:val="none" w:sz="0" w:space="0" w:color="auto"/>
      </w:divBdr>
    </w:div>
    <w:div w:id="114912436">
      <w:bodyDiv w:val="1"/>
      <w:marLeft w:val="0"/>
      <w:marRight w:val="0"/>
      <w:marTop w:val="0"/>
      <w:marBottom w:val="0"/>
      <w:divBdr>
        <w:top w:val="none" w:sz="0" w:space="0" w:color="auto"/>
        <w:left w:val="none" w:sz="0" w:space="0" w:color="auto"/>
        <w:bottom w:val="none" w:sz="0" w:space="0" w:color="auto"/>
        <w:right w:val="none" w:sz="0" w:space="0" w:color="auto"/>
      </w:divBdr>
    </w:div>
    <w:div w:id="116722014">
      <w:bodyDiv w:val="1"/>
      <w:marLeft w:val="0"/>
      <w:marRight w:val="0"/>
      <w:marTop w:val="0"/>
      <w:marBottom w:val="0"/>
      <w:divBdr>
        <w:top w:val="none" w:sz="0" w:space="0" w:color="auto"/>
        <w:left w:val="none" w:sz="0" w:space="0" w:color="auto"/>
        <w:bottom w:val="none" w:sz="0" w:space="0" w:color="auto"/>
        <w:right w:val="none" w:sz="0" w:space="0" w:color="auto"/>
      </w:divBdr>
    </w:div>
    <w:div w:id="121504986">
      <w:bodyDiv w:val="1"/>
      <w:marLeft w:val="0"/>
      <w:marRight w:val="0"/>
      <w:marTop w:val="0"/>
      <w:marBottom w:val="0"/>
      <w:divBdr>
        <w:top w:val="none" w:sz="0" w:space="0" w:color="auto"/>
        <w:left w:val="none" w:sz="0" w:space="0" w:color="auto"/>
        <w:bottom w:val="none" w:sz="0" w:space="0" w:color="auto"/>
        <w:right w:val="none" w:sz="0" w:space="0" w:color="auto"/>
      </w:divBdr>
    </w:div>
    <w:div w:id="145510733">
      <w:bodyDiv w:val="1"/>
      <w:marLeft w:val="0"/>
      <w:marRight w:val="0"/>
      <w:marTop w:val="0"/>
      <w:marBottom w:val="0"/>
      <w:divBdr>
        <w:top w:val="none" w:sz="0" w:space="0" w:color="auto"/>
        <w:left w:val="none" w:sz="0" w:space="0" w:color="auto"/>
        <w:bottom w:val="none" w:sz="0" w:space="0" w:color="auto"/>
        <w:right w:val="none" w:sz="0" w:space="0" w:color="auto"/>
      </w:divBdr>
    </w:div>
    <w:div w:id="147016734">
      <w:bodyDiv w:val="1"/>
      <w:marLeft w:val="0"/>
      <w:marRight w:val="0"/>
      <w:marTop w:val="0"/>
      <w:marBottom w:val="0"/>
      <w:divBdr>
        <w:top w:val="none" w:sz="0" w:space="0" w:color="auto"/>
        <w:left w:val="none" w:sz="0" w:space="0" w:color="auto"/>
        <w:bottom w:val="none" w:sz="0" w:space="0" w:color="auto"/>
        <w:right w:val="none" w:sz="0" w:space="0" w:color="auto"/>
      </w:divBdr>
    </w:div>
    <w:div w:id="177233088">
      <w:bodyDiv w:val="1"/>
      <w:marLeft w:val="0"/>
      <w:marRight w:val="0"/>
      <w:marTop w:val="0"/>
      <w:marBottom w:val="0"/>
      <w:divBdr>
        <w:top w:val="none" w:sz="0" w:space="0" w:color="auto"/>
        <w:left w:val="none" w:sz="0" w:space="0" w:color="auto"/>
        <w:bottom w:val="none" w:sz="0" w:space="0" w:color="auto"/>
        <w:right w:val="none" w:sz="0" w:space="0" w:color="auto"/>
      </w:divBdr>
    </w:div>
    <w:div w:id="178204725">
      <w:bodyDiv w:val="1"/>
      <w:marLeft w:val="0"/>
      <w:marRight w:val="0"/>
      <w:marTop w:val="0"/>
      <w:marBottom w:val="0"/>
      <w:divBdr>
        <w:top w:val="none" w:sz="0" w:space="0" w:color="auto"/>
        <w:left w:val="none" w:sz="0" w:space="0" w:color="auto"/>
        <w:bottom w:val="none" w:sz="0" w:space="0" w:color="auto"/>
        <w:right w:val="none" w:sz="0" w:space="0" w:color="auto"/>
      </w:divBdr>
    </w:div>
    <w:div w:id="182480929">
      <w:bodyDiv w:val="1"/>
      <w:marLeft w:val="0"/>
      <w:marRight w:val="0"/>
      <w:marTop w:val="0"/>
      <w:marBottom w:val="0"/>
      <w:divBdr>
        <w:top w:val="none" w:sz="0" w:space="0" w:color="auto"/>
        <w:left w:val="none" w:sz="0" w:space="0" w:color="auto"/>
        <w:bottom w:val="none" w:sz="0" w:space="0" w:color="auto"/>
        <w:right w:val="none" w:sz="0" w:space="0" w:color="auto"/>
      </w:divBdr>
    </w:div>
    <w:div w:id="188615488">
      <w:bodyDiv w:val="1"/>
      <w:marLeft w:val="0"/>
      <w:marRight w:val="0"/>
      <w:marTop w:val="0"/>
      <w:marBottom w:val="0"/>
      <w:divBdr>
        <w:top w:val="none" w:sz="0" w:space="0" w:color="auto"/>
        <w:left w:val="none" w:sz="0" w:space="0" w:color="auto"/>
        <w:bottom w:val="none" w:sz="0" w:space="0" w:color="auto"/>
        <w:right w:val="none" w:sz="0" w:space="0" w:color="auto"/>
      </w:divBdr>
    </w:div>
    <w:div w:id="197403055">
      <w:bodyDiv w:val="1"/>
      <w:marLeft w:val="0"/>
      <w:marRight w:val="0"/>
      <w:marTop w:val="0"/>
      <w:marBottom w:val="0"/>
      <w:divBdr>
        <w:top w:val="none" w:sz="0" w:space="0" w:color="auto"/>
        <w:left w:val="none" w:sz="0" w:space="0" w:color="auto"/>
        <w:bottom w:val="none" w:sz="0" w:space="0" w:color="auto"/>
        <w:right w:val="none" w:sz="0" w:space="0" w:color="auto"/>
      </w:divBdr>
    </w:div>
    <w:div w:id="207835573">
      <w:bodyDiv w:val="1"/>
      <w:marLeft w:val="0"/>
      <w:marRight w:val="0"/>
      <w:marTop w:val="0"/>
      <w:marBottom w:val="0"/>
      <w:divBdr>
        <w:top w:val="none" w:sz="0" w:space="0" w:color="auto"/>
        <w:left w:val="none" w:sz="0" w:space="0" w:color="auto"/>
        <w:bottom w:val="none" w:sz="0" w:space="0" w:color="auto"/>
        <w:right w:val="none" w:sz="0" w:space="0" w:color="auto"/>
      </w:divBdr>
    </w:div>
    <w:div w:id="215893676">
      <w:bodyDiv w:val="1"/>
      <w:marLeft w:val="0"/>
      <w:marRight w:val="0"/>
      <w:marTop w:val="0"/>
      <w:marBottom w:val="0"/>
      <w:divBdr>
        <w:top w:val="none" w:sz="0" w:space="0" w:color="auto"/>
        <w:left w:val="none" w:sz="0" w:space="0" w:color="auto"/>
        <w:bottom w:val="none" w:sz="0" w:space="0" w:color="auto"/>
        <w:right w:val="none" w:sz="0" w:space="0" w:color="auto"/>
      </w:divBdr>
    </w:div>
    <w:div w:id="222568385">
      <w:bodyDiv w:val="1"/>
      <w:marLeft w:val="0"/>
      <w:marRight w:val="0"/>
      <w:marTop w:val="0"/>
      <w:marBottom w:val="0"/>
      <w:divBdr>
        <w:top w:val="none" w:sz="0" w:space="0" w:color="auto"/>
        <w:left w:val="none" w:sz="0" w:space="0" w:color="auto"/>
        <w:bottom w:val="none" w:sz="0" w:space="0" w:color="auto"/>
        <w:right w:val="none" w:sz="0" w:space="0" w:color="auto"/>
      </w:divBdr>
    </w:div>
    <w:div w:id="223755804">
      <w:bodyDiv w:val="1"/>
      <w:marLeft w:val="0"/>
      <w:marRight w:val="0"/>
      <w:marTop w:val="0"/>
      <w:marBottom w:val="0"/>
      <w:divBdr>
        <w:top w:val="none" w:sz="0" w:space="0" w:color="auto"/>
        <w:left w:val="none" w:sz="0" w:space="0" w:color="auto"/>
        <w:bottom w:val="none" w:sz="0" w:space="0" w:color="auto"/>
        <w:right w:val="none" w:sz="0" w:space="0" w:color="auto"/>
      </w:divBdr>
    </w:div>
    <w:div w:id="231551685">
      <w:bodyDiv w:val="1"/>
      <w:marLeft w:val="0"/>
      <w:marRight w:val="0"/>
      <w:marTop w:val="0"/>
      <w:marBottom w:val="0"/>
      <w:divBdr>
        <w:top w:val="none" w:sz="0" w:space="0" w:color="auto"/>
        <w:left w:val="none" w:sz="0" w:space="0" w:color="auto"/>
        <w:bottom w:val="none" w:sz="0" w:space="0" w:color="auto"/>
        <w:right w:val="none" w:sz="0" w:space="0" w:color="auto"/>
      </w:divBdr>
    </w:div>
    <w:div w:id="245723527">
      <w:bodyDiv w:val="1"/>
      <w:marLeft w:val="0"/>
      <w:marRight w:val="0"/>
      <w:marTop w:val="0"/>
      <w:marBottom w:val="0"/>
      <w:divBdr>
        <w:top w:val="none" w:sz="0" w:space="0" w:color="auto"/>
        <w:left w:val="none" w:sz="0" w:space="0" w:color="auto"/>
        <w:bottom w:val="none" w:sz="0" w:space="0" w:color="auto"/>
        <w:right w:val="none" w:sz="0" w:space="0" w:color="auto"/>
      </w:divBdr>
    </w:div>
    <w:div w:id="252058614">
      <w:bodyDiv w:val="1"/>
      <w:marLeft w:val="0"/>
      <w:marRight w:val="0"/>
      <w:marTop w:val="0"/>
      <w:marBottom w:val="0"/>
      <w:divBdr>
        <w:top w:val="none" w:sz="0" w:space="0" w:color="auto"/>
        <w:left w:val="none" w:sz="0" w:space="0" w:color="auto"/>
        <w:bottom w:val="none" w:sz="0" w:space="0" w:color="auto"/>
        <w:right w:val="none" w:sz="0" w:space="0" w:color="auto"/>
      </w:divBdr>
    </w:div>
    <w:div w:id="253826100">
      <w:bodyDiv w:val="1"/>
      <w:marLeft w:val="0"/>
      <w:marRight w:val="0"/>
      <w:marTop w:val="0"/>
      <w:marBottom w:val="0"/>
      <w:divBdr>
        <w:top w:val="none" w:sz="0" w:space="0" w:color="auto"/>
        <w:left w:val="none" w:sz="0" w:space="0" w:color="auto"/>
        <w:bottom w:val="none" w:sz="0" w:space="0" w:color="auto"/>
        <w:right w:val="none" w:sz="0" w:space="0" w:color="auto"/>
      </w:divBdr>
    </w:div>
    <w:div w:id="276371436">
      <w:bodyDiv w:val="1"/>
      <w:marLeft w:val="0"/>
      <w:marRight w:val="0"/>
      <w:marTop w:val="0"/>
      <w:marBottom w:val="0"/>
      <w:divBdr>
        <w:top w:val="none" w:sz="0" w:space="0" w:color="auto"/>
        <w:left w:val="none" w:sz="0" w:space="0" w:color="auto"/>
        <w:bottom w:val="none" w:sz="0" w:space="0" w:color="auto"/>
        <w:right w:val="none" w:sz="0" w:space="0" w:color="auto"/>
      </w:divBdr>
    </w:div>
    <w:div w:id="278991489">
      <w:bodyDiv w:val="1"/>
      <w:marLeft w:val="0"/>
      <w:marRight w:val="0"/>
      <w:marTop w:val="0"/>
      <w:marBottom w:val="0"/>
      <w:divBdr>
        <w:top w:val="none" w:sz="0" w:space="0" w:color="auto"/>
        <w:left w:val="none" w:sz="0" w:space="0" w:color="auto"/>
        <w:bottom w:val="none" w:sz="0" w:space="0" w:color="auto"/>
        <w:right w:val="none" w:sz="0" w:space="0" w:color="auto"/>
      </w:divBdr>
    </w:div>
    <w:div w:id="282739052">
      <w:bodyDiv w:val="1"/>
      <w:marLeft w:val="0"/>
      <w:marRight w:val="0"/>
      <w:marTop w:val="0"/>
      <w:marBottom w:val="0"/>
      <w:divBdr>
        <w:top w:val="none" w:sz="0" w:space="0" w:color="auto"/>
        <w:left w:val="none" w:sz="0" w:space="0" w:color="auto"/>
        <w:bottom w:val="none" w:sz="0" w:space="0" w:color="auto"/>
        <w:right w:val="none" w:sz="0" w:space="0" w:color="auto"/>
      </w:divBdr>
    </w:div>
    <w:div w:id="288781943">
      <w:bodyDiv w:val="1"/>
      <w:marLeft w:val="0"/>
      <w:marRight w:val="0"/>
      <w:marTop w:val="0"/>
      <w:marBottom w:val="0"/>
      <w:divBdr>
        <w:top w:val="none" w:sz="0" w:space="0" w:color="auto"/>
        <w:left w:val="none" w:sz="0" w:space="0" w:color="auto"/>
        <w:bottom w:val="none" w:sz="0" w:space="0" w:color="auto"/>
        <w:right w:val="none" w:sz="0" w:space="0" w:color="auto"/>
      </w:divBdr>
    </w:div>
    <w:div w:id="290524563">
      <w:bodyDiv w:val="1"/>
      <w:marLeft w:val="0"/>
      <w:marRight w:val="0"/>
      <w:marTop w:val="0"/>
      <w:marBottom w:val="0"/>
      <w:divBdr>
        <w:top w:val="none" w:sz="0" w:space="0" w:color="auto"/>
        <w:left w:val="none" w:sz="0" w:space="0" w:color="auto"/>
        <w:bottom w:val="none" w:sz="0" w:space="0" w:color="auto"/>
        <w:right w:val="none" w:sz="0" w:space="0" w:color="auto"/>
      </w:divBdr>
    </w:div>
    <w:div w:id="293172536">
      <w:bodyDiv w:val="1"/>
      <w:marLeft w:val="0"/>
      <w:marRight w:val="0"/>
      <w:marTop w:val="0"/>
      <w:marBottom w:val="0"/>
      <w:divBdr>
        <w:top w:val="none" w:sz="0" w:space="0" w:color="auto"/>
        <w:left w:val="none" w:sz="0" w:space="0" w:color="auto"/>
        <w:bottom w:val="none" w:sz="0" w:space="0" w:color="auto"/>
        <w:right w:val="none" w:sz="0" w:space="0" w:color="auto"/>
      </w:divBdr>
    </w:div>
    <w:div w:id="297419224">
      <w:bodyDiv w:val="1"/>
      <w:marLeft w:val="0"/>
      <w:marRight w:val="0"/>
      <w:marTop w:val="0"/>
      <w:marBottom w:val="0"/>
      <w:divBdr>
        <w:top w:val="none" w:sz="0" w:space="0" w:color="auto"/>
        <w:left w:val="none" w:sz="0" w:space="0" w:color="auto"/>
        <w:bottom w:val="none" w:sz="0" w:space="0" w:color="auto"/>
        <w:right w:val="none" w:sz="0" w:space="0" w:color="auto"/>
      </w:divBdr>
    </w:div>
    <w:div w:id="299043179">
      <w:bodyDiv w:val="1"/>
      <w:marLeft w:val="0"/>
      <w:marRight w:val="0"/>
      <w:marTop w:val="0"/>
      <w:marBottom w:val="0"/>
      <w:divBdr>
        <w:top w:val="none" w:sz="0" w:space="0" w:color="auto"/>
        <w:left w:val="none" w:sz="0" w:space="0" w:color="auto"/>
        <w:bottom w:val="none" w:sz="0" w:space="0" w:color="auto"/>
        <w:right w:val="none" w:sz="0" w:space="0" w:color="auto"/>
      </w:divBdr>
    </w:div>
    <w:div w:id="311760627">
      <w:bodyDiv w:val="1"/>
      <w:marLeft w:val="0"/>
      <w:marRight w:val="0"/>
      <w:marTop w:val="0"/>
      <w:marBottom w:val="0"/>
      <w:divBdr>
        <w:top w:val="none" w:sz="0" w:space="0" w:color="auto"/>
        <w:left w:val="none" w:sz="0" w:space="0" w:color="auto"/>
        <w:bottom w:val="none" w:sz="0" w:space="0" w:color="auto"/>
        <w:right w:val="none" w:sz="0" w:space="0" w:color="auto"/>
      </w:divBdr>
    </w:div>
    <w:div w:id="318388785">
      <w:bodyDiv w:val="1"/>
      <w:marLeft w:val="0"/>
      <w:marRight w:val="0"/>
      <w:marTop w:val="0"/>
      <w:marBottom w:val="0"/>
      <w:divBdr>
        <w:top w:val="none" w:sz="0" w:space="0" w:color="auto"/>
        <w:left w:val="none" w:sz="0" w:space="0" w:color="auto"/>
        <w:bottom w:val="none" w:sz="0" w:space="0" w:color="auto"/>
        <w:right w:val="none" w:sz="0" w:space="0" w:color="auto"/>
      </w:divBdr>
    </w:div>
    <w:div w:id="330836035">
      <w:bodyDiv w:val="1"/>
      <w:marLeft w:val="0"/>
      <w:marRight w:val="0"/>
      <w:marTop w:val="0"/>
      <w:marBottom w:val="0"/>
      <w:divBdr>
        <w:top w:val="none" w:sz="0" w:space="0" w:color="auto"/>
        <w:left w:val="none" w:sz="0" w:space="0" w:color="auto"/>
        <w:bottom w:val="none" w:sz="0" w:space="0" w:color="auto"/>
        <w:right w:val="none" w:sz="0" w:space="0" w:color="auto"/>
      </w:divBdr>
    </w:div>
    <w:div w:id="332799589">
      <w:bodyDiv w:val="1"/>
      <w:marLeft w:val="0"/>
      <w:marRight w:val="0"/>
      <w:marTop w:val="0"/>
      <w:marBottom w:val="0"/>
      <w:divBdr>
        <w:top w:val="none" w:sz="0" w:space="0" w:color="auto"/>
        <w:left w:val="none" w:sz="0" w:space="0" w:color="auto"/>
        <w:bottom w:val="none" w:sz="0" w:space="0" w:color="auto"/>
        <w:right w:val="none" w:sz="0" w:space="0" w:color="auto"/>
      </w:divBdr>
    </w:div>
    <w:div w:id="333917783">
      <w:bodyDiv w:val="1"/>
      <w:marLeft w:val="0"/>
      <w:marRight w:val="0"/>
      <w:marTop w:val="0"/>
      <w:marBottom w:val="0"/>
      <w:divBdr>
        <w:top w:val="none" w:sz="0" w:space="0" w:color="auto"/>
        <w:left w:val="none" w:sz="0" w:space="0" w:color="auto"/>
        <w:bottom w:val="none" w:sz="0" w:space="0" w:color="auto"/>
        <w:right w:val="none" w:sz="0" w:space="0" w:color="auto"/>
      </w:divBdr>
    </w:div>
    <w:div w:id="334723262">
      <w:bodyDiv w:val="1"/>
      <w:marLeft w:val="0"/>
      <w:marRight w:val="0"/>
      <w:marTop w:val="0"/>
      <w:marBottom w:val="0"/>
      <w:divBdr>
        <w:top w:val="none" w:sz="0" w:space="0" w:color="auto"/>
        <w:left w:val="none" w:sz="0" w:space="0" w:color="auto"/>
        <w:bottom w:val="none" w:sz="0" w:space="0" w:color="auto"/>
        <w:right w:val="none" w:sz="0" w:space="0" w:color="auto"/>
      </w:divBdr>
    </w:div>
    <w:div w:id="335036483">
      <w:bodyDiv w:val="1"/>
      <w:marLeft w:val="0"/>
      <w:marRight w:val="0"/>
      <w:marTop w:val="0"/>
      <w:marBottom w:val="0"/>
      <w:divBdr>
        <w:top w:val="none" w:sz="0" w:space="0" w:color="auto"/>
        <w:left w:val="none" w:sz="0" w:space="0" w:color="auto"/>
        <w:bottom w:val="none" w:sz="0" w:space="0" w:color="auto"/>
        <w:right w:val="none" w:sz="0" w:space="0" w:color="auto"/>
      </w:divBdr>
    </w:div>
    <w:div w:id="340937309">
      <w:bodyDiv w:val="1"/>
      <w:marLeft w:val="0"/>
      <w:marRight w:val="0"/>
      <w:marTop w:val="0"/>
      <w:marBottom w:val="0"/>
      <w:divBdr>
        <w:top w:val="none" w:sz="0" w:space="0" w:color="auto"/>
        <w:left w:val="none" w:sz="0" w:space="0" w:color="auto"/>
        <w:bottom w:val="none" w:sz="0" w:space="0" w:color="auto"/>
        <w:right w:val="none" w:sz="0" w:space="0" w:color="auto"/>
      </w:divBdr>
    </w:div>
    <w:div w:id="364792347">
      <w:bodyDiv w:val="1"/>
      <w:marLeft w:val="0"/>
      <w:marRight w:val="0"/>
      <w:marTop w:val="0"/>
      <w:marBottom w:val="0"/>
      <w:divBdr>
        <w:top w:val="none" w:sz="0" w:space="0" w:color="auto"/>
        <w:left w:val="none" w:sz="0" w:space="0" w:color="auto"/>
        <w:bottom w:val="none" w:sz="0" w:space="0" w:color="auto"/>
        <w:right w:val="none" w:sz="0" w:space="0" w:color="auto"/>
      </w:divBdr>
    </w:div>
    <w:div w:id="372775666">
      <w:bodyDiv w:val="1"/>
      <w:marLeft w:val="0"/>
      <w:marRight w:val="0"/>
      <w:marTop w:val="0"/>
      <w:marBottom w:val="0"/>
      <w:divBdr>
        <w:top w:val="none" w:sz="0" w:space="0" w:color="auto"/>
        <w:left w:val="none" w:sz="0" w:space="0" w:color="auto"/>
        <w:bottom w:val="none" w:sz="0" w:space="0" w:color="auto"/>
        <w:right w:val="none" w:sz="0" w:space="0" w:color="auto"/>
      </w:divBdr>
    </w:div>
    <w:div w:id="378820618">
      <w:bodyDiv w:val="1"/>
      <w:marLeft w:val="0"/>
      <w:marRight w:val="0"/>
      <w:marTop w:val="0"/>
      <w:marBottom w:val="0"/>
      <w:divBdr>
        <w:top w:val="none" w:sz="0" w:space="0" w:color="auto"/>
        <w:left w:val="none" w:sz="0" w:space="0" w:color="auto"/>
        <w:bottom w:val="none" w:sz="0" w:space="0" w:color="auto"/>
        <w:right w:val="none" w:sz="0" w:space="0" w:color="auto"/>
      </w:divBdr>
    </w:div>
    <w:div w:id="387265109">
      <w:bodyDiv w:val="1"/>
      <w:marLeft w:val="0"/>
      <w:marRight w:val="0"/>
      <w:marTop w:val="0"/>
      <w:marBottom w:val="0"/>
      <w:divBdr>
        <w:top w:val="none" w:sz="0" w:space="0" w:color="auto"/>
        <w:left w:val="none" w:sz="0" w:space="0" w:color="auto"/>
        <w:bottom w:val="none" w:sz="0" w:space="0" w:color="auto"/>
        <w:right w:val="none" w:sz="0" w:space="0" w:color="auto"/>
      </w:divBdr>
    </w:div>
    <w:div w:id="393969058">
      <w:bodyDiv w:val="1"/>
      <w:marLeft w:val="0"/>
      <w:marRight w:val="0"/>
      <w:marTop w:val="0"/>
      <w:marBottom w:val="0"/>
      <w:divBdr>
        <w:top w:val="none" w:sz="0" w:space="0" w:color="auto"/>
        <w:left w:val="none" w:sz="0" w:space="0" w:color="auto"/>
        <w:bottom w:val="none" w:sz="0" w:space="0" w:color="auto"/>
        <w:right w:val="none" w:sz="0" w:space="0" w:color="auto"/>
      </w:divBdr>
    </w:div>
    <w:div w:id="448286102">
      <w:bodyDiv w:val="1"/>
      <w:marLeft w:val="0"/>
      <w:marRight w:val="0"/>
      <w:marTop w:val="0"/>
      <w:marBottom w:val="0"/>
      <w:divBdr>
        <w:top w:val="none" w:sz="0" w:space="0" w:color="auto"/>
        <w:left w:val="none" w:sz="0" w:space="0" w:color="auto"/>
        <w:bottom w:val="none" w:sz="0" w:space="0" w:color="auto"/>
        <w:right w:val="none" w:sz="0" w:space="0" w:color="auto"/>
      </w:divBdr>
    </w:div>
    <w:div w:id="454251348">
      <w:bodyDiv w:val="1"/>
      <w:marLeft w:val="0"/>
      <w:marRight w:val="0"/>
      <w:marTop w:val="0"/>
      <w:marBottom w:val="0"/>
      <w:divBdr>
        <w:top w:val="none" w:sz="0" w:space="0" w:color="auto"/>
        <w:left w:val="none" w:sz="0" w:space="0" w:color="auto"/>
        <w:bottom w:val="none" w:sz="0" w:space="0" w:color="auto"/>
        <w:right w:val="none" w:sz="0" w:space="0" w:color="auto"/>
      </w:divBdr>
    </w:div>
    <w:div w:id="463620756">
      <w:bodyDiv w:val="1"/>
      <w:marLeft w:val="0"/>
      <w:marRight w:val="0"/>
      <w:marTop w:val="0"/>
      <w:marBottom w:val="0"/>
      <w:divBdr>
        <w:top w:val="none" w:sz="0" w:space="0" w:color="auto"/>
        <w:left w:val="none" w:sz="0" w:space="0" w:color="auto"/>
        <w:bottom w:val="none" w:sz="0" w:space="0" w:color="auto"/>
        <w:right w:val="none" w:sz="0" w:space="0" w:color="auto"/>
      </w:divBdr>
    </w:div>
    <w:div w:id="490756103">
      <w:bodyDiv w:val="1"/>
      <w:marLeft w:val="0"/>
      <w:marRight w:val="0"/>
      <w:marTop w:val="0"/>
      <w:marBottom w:val="0"/>
      <w:divBdr>
        <w:top w:val="none" w:sz="0" w:space="0" w:color="auto"/>
        <w:left w:val="none" w:sz="0" w:space="0" w:color="auto"/>
        <w:bottom w:val="none" w:sz="0" w:space="0" w:color="auto"/>
        <w:right w:val="none" w:sz="0" w:space="0" w:color="auto"/>
      </w:divBdr>
    </w:div>
    <w:div w:id="491799688">
      <w:bodyDiv w:val="1"/>
      <w:marLeft w:val="0"/>
      <w:marRight w:val="0"/>
      <w:marTop w:val="0"/>
      <w:marBottom w:val="0"/>
      <w:divBdr>
        <w:top w:val="none" w:sz="0" w:space="0" w:color="auto"/>
        <w:left w:val="none" w:sz="0" w:space="0" w:color="auto"/>
        <w:bottom w:val="none" w:sz="0" w:space="0" w:color="auto"/>
        <w:right w:val="none" w:sz="0" w:space="0" w:color="auto"/>
      </w:divBdr>
    </w:div>
    <w:div w:id="510681845">
      <w:bodyDiv w:val="1"/>
      <w:marLeft w:val="0"/>
      <w:marRight w:val="0"/>
      <w:marTop w:val="0"/>
      <w:marBottom w:val="0"/>
      <w:divBdr>
        <w:top w:val="none" w:sz="0" w:space="0" w:color="auto"/>
        <w:left w:val="none" w:sz="0" w:space="0" w:color="auto"/>
        <w:bottom w:val="none" w:sz="0" w:space="0" w:color="auto"/>
        <w:right w:val="none" w:sz="0" w:space="0" w:color="auto"/>
      </w:divBdr>
    </w:div>
    <w:div w:id="510797388">
      <w:bodyDiv w:val="1"/>
      <w:marLeft w:val="0"/>
      <w:marRight w:val="0"/>
      <w:marTop w:val="0"/>
      <w:marBottom w:val="0"/>
      <w:divBdr>
        <w:top w:val="none" w:sz="0" w:space="0" w:color="auto"/>
        <w:left w:val="none" w:sz="0" w:space="0" w:color="auto"/>
        <w:bottom w:val="none" w:sz="0" w:space="0" w:color="auto"/>
        <w:right w:val="none" w:sz="0" w:space="0" w:color="auto"/>
      </w:divBdr>
    </w:div>
    <w:div w:id="515969912">
      <w:bodyDiv w:val="1"/>
      <w:marLeft w:val="0"/>
      <w:marRight w:val="0"/>
      <w:marTop w:val="0"/>
      <w:marBottom w:val="0"/>
      <w:divBdr>
        <w:top w:val="none" w:sz="0" w:space="0" w:color="auto"/>
        <w:left w:val="none" w:sz="0" w:space="0" w:color="auto"/>
        <w:bottom w:val="none" w:sz="0" w:space="0" w:color="auto"/>
        <w:right w:val="none" w:sz="0" w:space="0" w:color="auto"/>
      </w:divBdr>
    </w:div>
    <w:div w:id="525023833">
      <w:bodyDiv w:val="1"/>
      <w:marLeft w:val="0"/>
      <w:marRight w:val="0"/>
      <w:marTop w:val="0"/>
      <w:marBottom w:val="0"/>
      <w:divBdr>
        <w:top w:val="none" w:sz="0" w:space="0" w:color="auto"/>
        <w:left w:val="none" w:sz="0" w:space="0" w:color="auto"/>
        <w:bottom w:val="none" w:sz="0" w:space="0" w:color="auto"/>
        <w:right w:val="none" w:sz="0" w:space="0" w:color="auto"/>
      </w:divBdr>
    </w:div>
    <w:div w:id="535654124">
      <w:bodyDiv w:val="1"/>
      <w:marLeft w:val="0"/>
      <w:marRight w:val="0"/>
      <w:marTop w:val="0"/>
      <w:marBottom w:val="0"/>
      <w:divBdr>
        <w:top w:val="none" w:sz="0" w:space="0" w:color="auto"/>
        <w:left w:val="none" w:sz="0" w:space="0" w:color="auto"/>
        <w:bottom w:val="none" w:sz="0" w:space="0" w:color="auto"/>
        <w:right w:val="none" w:sz="0" w:space="0" w:color="auto"/>
      </w:divBdr>
    </w:div>
    <w:div w:id="552078133">
      <w:bodyDiv w:val="1"/>
      <w:marLeft w:val="0"/>
      <w:marRight w:val="0"/>
      <w:marTop w:val="0"/>
      <w:marBottom w:val="0"/>
      <w:divBdr>
        <w:top w:val="none" w:sz="0" w:space="0" w:color="auto"/>
        <w:left w:val="none" w:sz="0" w:space="0" w:color="auto"/>
        <w:bottom w:val="none" w:sz="0" w:space="0" w:color="auto"/>
        <w:right w:val="none" w:sz="0" w:space="0" w:color="auto"/>
      </w:divBdr>
    </w:div>
    <w:div w:id="556278872">
      <w:bodyDiv w:val="1"/>
      <w:marLeft w:val="0"/>
      <w:marRight w:val="0"/>
      <w:marTop w:val="0"/>
      <w:marBottom w:val="0"/>
      <w:divBdr>
        <w:top w:val="none" w:sz="0" w:space="0" w:color="auto"/>
        <w:left w:val="none" w:sz="0" w:space="0" w:color="auto"/>
        <w:bottom w:val="none" w:sz="0" w:space="0" w:color="auto"/>
        <w:right w:val="none" w:sz="0" w:space="0" w:color="auto"/>
      </w:divBdr>
    </w:div>
    <w:div w:id="562758837">
      <w:bodyDiv w:val="1"/>
      <w:marLeft w:val="0"/>
      <w:marRight w:val="0"/>
      <w:marTop w:val="0"/>
      <w:marBottom w:val="0"/>
      <w:divBdr>
        <w:top w:val="none" w:sz="0" w:space="0" w:color="auto"/>
        <w:left w:val="none" w:sz="0" w:space="0" w:color="auto"/>
        <w:bottom w:val="none" w:sz="0" w:space="0" w:color="auto"/>
        <w:right w:val="none" w:sz="0" w:space="0" w:color="auto"/>
      </w:divBdr>
    </w:div>
    <w:div w:id="572932238">
      <w:bodyDiv w:val="1"/>
      <w:marLeft w:val="0"/>
      <w:marRight w:val="0"/>
      <w:marTop w:val="0"/>
      <w:marBottom w:val="0"/>
      <w:divBdr>
        <w:top w:val="none" w:sz="0" w:space="0" w:color="auto"/>
        <w:left w:val="none" w:sz="0" w:space="0" w:color="auto"/>
        <w:bottom w:val="none" w:sz="0" w:space="0" w:color="auto"/>
        <w:right w:val="none" w:sz="0" w:space="0" w:color="auto"/>
      </w:divBdr>
    </w:div>
    <w:div w:id="593319816">
      <w:bodyDiv w:val="1"/>
      <w:marLeft w:val="0"/>
      <w:marRight w:val="0"/>
      <w:marTop w:val="0"/>
      <w:marBottom w:val="0"/>
      <w:divBdr>
        <w:top w:val="none" w:sz="0" w:space="0" w:color="auto"/>
        <w:left w:val="none" w:sz="0" w:space="0" w:color="auto"/>
        <w:bottom w:val="none" w:sz="0" w:space="0" w:color="auto"/>
        <w:right w:val="none" w:sz="0" w:space="0" w:color="auto"/>
      </w:divBdr>
    </w:div>
    <w:div w:id="593326035">
      <w:bodyDiv w:val="1"/>
      <w:marLeft w:val="0"/>
      <w:marRight w:val="0"/>
      <w:marTop w:val="0"/>
      <w:marBottom w:val="0"/>
      <w:divBdr>
        <w:top w:val="none" w:sz="0" w:space="0" w:color="auto"/>
        <w:left w:val="none" w:sz="0" w:space="0" w:color="auto"/>
        <w:bottom w:val="none" w:sz="0" w:space="0" w:color="auto"/>
        <w:right w:val="none" w:sz="0" w:space="0" w:color="auto"/>
      </w:divBdr>
    </w:div>
    <w:div w:id="593517612">
      <w:bodyDiv w:val="1"/>
      <w:marLeft w:val="0"/>
      <w:marRight w:val="0"/>
      <w:marTop w:val="0"/>
      <w:marBottom w:val="0"/>
      <w:divBdr>
        <w:top w:val="none" w:sz="0" w:space="0" w:color="auto"/>
        <w:left w:val="none" w:sz="0" w:space="0" w:color="auto"/>
        <w:bottom w:val="none" w:sz="0" w:space="0" w:color="auto"/>
        <w:right w:val="none" w:sz="0" w:space="0" w:color="auto"/>
      </w:divBdr>
    </w:div>
    <w:div w:id="614020889">
      <w:bodyDiv w:val="1"/>
      <w:marLeft w:val="0"/>
      <w:marRight w:val="0"/>
      <w:marTop w:val="0"/>
      <w:marBottom w:val="0"/>
      <w:divBdr>
        <w:top w:val="none" w:sz="0" w:space="0" w:color="auto"/>
        <w:left w:val="none" w:sz="0" w:space="0" w:color="auto"/>
        <w:bottom w:val="none" w:sz="0" w:space="0" w:color="auto"/>
        <w:right w:val="none" w:sz="0" w:space="0" w:color="auto"/>
      </w:divBdr>
    </w:div>
    <w:div w:id="637416417">
      <w:bodyDiv w:val="1"/>
      <w:marLeft w:val="0"/>
      <w:marRight w:val="0"/>
      <w:marTop w:val="0"/>
      <w:marBottom w:val="0"/>
      <w:divBdr>
        <w:top w:val="none" w:sz="0" w:space="0" w:color="auto"/>
        <w:left w:val="none" w:sz="0" w:space="0" w:color="auto"/>
        <w:bottom w:val="none" w:sz="0" w:space="0" w:color="auto"/>
        <w:right w:val="none" w:sz="0" w:space="0" w:color="auto"/>
      </w:divBdr>
    </w:div>
    <w:div w:id="640111262">
      <w:bodyDiv w:val="1"/>
      <w:marLeft w:val="0"/>
      <w:marRight w:val="0"/>
      <w:marTop w:val="0"/>
      <w:marBottom w:val="0"/>
      <w:divBdr>
        <w:top w:val="none" w:sz="0" w:space="0" w:color="auto"/>
        <w:left w:val="none" w:sz="0" w:space="0" w:color="auto"/>
        <w:bottom w:val="none" w:sz="0" w:space="0" w:color="auto"/>
        <w:right w:val="none" w:sz="0" w:space="0" w:color="auto"/>
      </w:divBdr>
    </w:div>
    <w:div w:id="700545971">
      <w:bodyDiv w:val="1"/>
      <w:marLeft w:val="0"/>
      <w:marRight w:val="0"/>
      <w:marTop w:val="0"/>
      <w:marBottom w:val="0"/>
      <w:divBdr>
        <w:top w:val="none" w:sz="0" w:space="0" w:color="auto"/>
        <w:left w:val="none" w:sz="0" w:space="0" w:color="auto"/>
        <w:bottom w:val="none" w:sz="0" w:space="0" w:color="auto"/>
        <w:right w:val="none" w:sz="0" w:space="0" w:color="auto"/>
      </w:divBdr>
    </w:div>
    <w:div w:id="705836207">
      <w:bodyDiv w:val="1"/>
      <w:marLeft w:val="0"/>
      <w:marRight w:val="0"/>
      <w:marTop w:val="0"/>
      <w:marBottom w:val="0"/>
      <w:divBdr>
        <w:top w:val="none" w:sz="0" w:space="0" w:color="auto"/>
        <w:left w:val="none" w:sz="0" w:space="0" w:color="auto"/>
        <w:bottom w:val="none" w:sz="0" w:space="0" w:color="auto"/>
        <w:right w:val="none" w:sz="0" w:space="0" w:color="auto"/>
      </w:divBdr>
    </w:div>
    <w:div w:id="711615812">
      <w:bodyDiv w:val="1"/>
      <w:marLeft w:val="0"/>
      <w:marRight w:val="0"/>
      <w:marTop w:val="0"/>
      <w:marBottom w:val="0"/>
      <w:divBdr>
        <w:top w:val="none" w:sz="0" w:space="0" w:color="auto"/>
        <w:left w:val="none" w:sz="0" w:space="0" w:color="auto"/>
        <w:bottom w:val="none" w:sz="0" w:space="0" w:color="auto"/>
        <w:right w:val="none" w:sz="0" w:space="0" w:color="auto"/>
      </w:divBdr>
    </w:div>
    <w:div w:id="711922483">
      <w:bodyDiv w:val="1"/>
      <w:marLeft w:val="0"/>
      <w:marRight w:val="0"/>
      <w:marTop w:val="0"/>
      <w:marBottom w:val="0"/>
      <w:divBdr>
        <w:top w:val="none" w:sz="0" w:space="0" w:color="auto"/>
        <w:left w:val="none" w:sz="0" w:space="0" w:color="auto"/>
        <w:bottom w:val="none" w:sz="0" w:space="0" w:color="auto"/>
        <w:right w:val="none" w:sz="0" w:space="0" w:color="auto"/>
      </w:divBdr>
    </w:div>
    <w:div w:id="720979332">
      <w:bodyDiv w:val="1"/>
      <w:marLeft w:val="0"/>
      <w:marRight w:val="0"/>
      <w:marTop w:val="0"/>
      <w:marBottom w:val="0"/>
      <w:divBdr>
        <w:top w:val="none" w:sz="0" w:space="0" w:color="auto"/>
        <w:left w:val="none" w:sz="0" w:space="0" w:color="auto"/>
        <w:bottom w:val="none" w:sz="0" w:space="0" w:color="auto"/>
        <w:right w:val="none" w:sz="0" w:space="0" w:color="auto"/>
      </w:divBdr>
    </w:div>
    <w:div w:id="721901260">
      <w:bodyDiv w:val="1"/>
      <w:marLeft w:val="0"/>
      <w:marRight w:val="0"/>
      <w:marTop w:val="0"/>
      <w:marBottom w:val="0"/>
      <w:divBdr>
        <w:top w:val="none" w:sz="0" w:space="0" w:color="auto"/>
        <w:left w:val="none" w:sz="0" w:space="0" w:color="auto"/>
        <w:bottom w:val="none" w:sz="0" w:space="0" w:color="auto"/>
        <w:right w:val="none" w:sz="0" w:space="0" w:color="auto"/>
      </w:divBdr>
    </w:div>
    <w:div w:id="724453590">
      <w:bodyDiv w:val="1"/>
      <w:marLeft w:val="0"/>
      <w:marRight w:val="0"/>
      <w:marTop w:val="0"/>
      <w:marBottom w:val="0"/>
      <w:divBdr>
        <w:top w:val="none" w:sz="0" w:space="0" w:color="auto"/>
        <w:left w:val="none" w:sz="0" w:space="0" w:color="auto"/>
        <w:bottom w:val="none" w:sz="0" w:space="0" w:color="auto"/>
        <w:right w:val="none" w:sz="0" w:space="0" w:color="auto"/>
      </w:divBdr>
    </w:div>
    <w:div w:id="728263859">
      <w:bodyDiv w:val="1"/>
      <w:marLeft w:val="0"/>
      <w:marRight w:val="0"/>
      <w:marTop w:val="0"/>
      <w:marBottom w:val="0"/>
      <w:divBdr>
        <w:top w:val="none" w:sz="0" w:space="0" w:color="auto"/>
        <w:left w:val="none" w:sz="0" w:space="0" w:color="auto"/>
        <w:bottom w:val="none" w:sz="0" w:space="0" w:color="auto"/>
        <w:right w:val="none" w:sz="0" w:space="0" w:color="auto"/>
      </w:divBdr>
    </w:div>
    <w:div w:id="737554623">
      <w:bodyDiv w:val="1"/>
      <w:marLeft w:val="0"/>
      <w:marRight w:val="0"/>
      <w:marTop w:val="0"/>
      <w:marBottom w:val="0"/>
      <w:divBdr>
        <w:top w:val="none" w:sz="0" w:space="0" w:color="auto"/>
        <w:left w:val="none" w:sz="0" w:space="0" w:color="auto"/>
        <w:bottom w:val="none" w:sz="0" w:space="0" w:color="auto"/>
        <w:right w:val="none" w:sz="0" w:space="0" w:color="auto"/>
      </w:divBdr>
    </w:div>
    <w:div w:id="742992789">
      <w:bodyDiv w:val="1"/>
      <w:marLeft w:val="0"/>
      <w:marRight w:val="0"/>
      <w:marTop w:val="0"/>
      <w:marBottom w:val="0"/>
      <w:divBdr>
        <w:top w:val="none" w:sz="0" w:space="0" w:color="auto"/>
        <w:left w:val="none" w:sz="0" w:space="0" w:color="auto"/>
        <w:bottom w:val="none" w:sz="0" w:space="0" w:color="auto"/>
        <w:right w:val="none" w:sz="0" w:space="0" w:color="auto"/>
      </w:divBdr>
    </w:div>
    <w:div w:id="756053098">
      <w:bodyDiv w:val="1"/>
      <w:marLeft w:val="0"/>
      <w:marRight w:val="0"/>
      <w:marTop w:val="0"/>
      <w:marBottom w:val="0"/>
      <w:divBdr>
        <w:top w:val="none" w:sz="0" w:space="0" w:color="auto"/>
        <w:left w:val="none" w:sz="0" w:space="0" w:color="auto"/>
        <w:bottom w:val="none" w:sz="0" w:space="0" w:color="auto"/>
        <w:right w:val="none" w:sz="0" w:space="0" w:color="auto"/>
      </w:divBdr>
    </w:div>
    <w:div w:id="762066685">
      <w:bodyDiv w:val="1"/>
      <w:marLeft w:val="0"/>
      <w:marRight w:val="0"/>
      <w:marTop w:val="0"/>
      <w:marBottom w:val="0"/>
      <w:divBdr>
        <w:top w:val="none" w:sz="0" w:space="0" w:color="auto"/>
        <w:left w:val="none" w:sz="0" w:space="0" w:color="auto"/>
        <w:bottom w:val="none" w:sz="0" w:space="0" w:color="auto"/>
        <w:right w:val="none" w:sz="0" w:space="0" w:color="auto"/>
      </w:divBdr>
    </w:div>
    <w:div w:id="766266797">
      <w:bodyDiv w:val="1"/>
      <w:marLeft w:val="0"/>
      <w:marRight w:val="0"/>
      <w:marTop w:val="0"/>
      <w:marBottom w:val="0"/>
      <w:divBdr>
        <w:top w:val="none" w:sz="0" w:space="0" w:color="auto"/>
        <w:left w:val="none" w:sz="0" w:space="0" w:color="auto"/>
        <w:bottom w:val="none" w:sz="0" w:space="0" w:color="auto"/>
        <w:right w:val="none" w:sz="0" w:space="0" w:color="auto"/>
      </w:divBdr>
    </w:div>
    <w:div w:id="772751347">
      <w:bodyDiv w:val="1"/>
      <w:marLeft w:val="0"/>
      <w:marRight w:val="0"/>
      <w:marTop w:val="0"/>
      <w:marBottom w:val="0"/>
      <w:divBdr>
        <w:top w:val="none" w:sz="0" w:space="0" w:color="auto"/>
        <w:left w:val="none" w:sz="0" w:space="0" w:color="auto"/>
        <w:bottom w:val="none" w:sz="0" w:space="0" w:color="auto"/>
        <w:right w:val="none" w:sz="0" w:space="0" w:color="auto"/>
      </w:divBdr>
    </w:div>
    <w:div w:id="774909140">
      <w:bodyDiv w:val="1"/>
      <w:marLeft w:val="0"/>
      <w:marRight w:val="0"/>
      <w:marTop w:val="0"/>
      <w:marBottom w:val="0"/>
      <w:divBdr>
        <w:top w:val="none" w:sz="0" w:space="0" w:color="auto"/>
        <w:left w:val="none" w:sz="0" w:space="0" w:color="auto"/>
        <w:bottom w:val="none" w:sz="0" w:space="0" w:color="auto"/>
        <w:right w:val="none" w:sz="0" w:space="0" w:color="auto"/>
      </w:divBdr>
    </w:div>
    <w:div w:id="780295689">
      <w:bodyDiv w:val="1"/>
      <w:marLeft w:val="0"/>
      <w:marRight w:val="0"/>
      <w:marTop w:val="0"/>
      <w:marBottom w:val="0"/>
      <w:divBdr>
        <w:top w:val="none" w:sz="0" w:space="0" w:color="auto"/>
        <w:left w:val="none" w:sz="0" w:space="0" w:color="auto"/>
        <w:bottom w:val="none" w:sz="0" w:space="0" w:color="auto"/>
        <w:right w:val="none" w:sz="0" w:space="0" w:color="auto"/>
      </w:divBdr>
    </w:div>
    <w:div w:id="782072759">
      <w:bodyDiv w:val="1"/>
      <w:marLeft w:val="0"/>
      <w:marRight w:val="0"/>
      <w:marTop w:val="0"/>
      <w:marBottom w:val="0"/>
      <w:divBdr>
        <w:top w:val="none" w:sz="0" w:space="0" w:color="auto"/>
        <w:left w:val="none" w:sz="0" w:space="0" w:color="auto"/>
        <w:bottom w:val="none" w:sz="0" w:space="0" w:color="auto"/>
        <w:right w:val="none" w:sz="0" w:space="0" w:color="auto"/>
      </w:divBdr>
    </w:div>
    <w:div w:id="782530387">
      <w:bodyDiv w:val="1"/>
      <w:marLeft w:val="0"/>
      <w:marRight w:val="0"/>
      <w:marTop w:val="0"/>
      <w:marBottom w:val="0"/>
      <w:divBdr>
        <w:top w:val="none" w:sz="0" w:space="0" w:color="auto"/>
        <w:left w:val="none" w:sz="0" w:space="0" w:color="auto"/>
        <w:bottom w:val="none" w:sz="0" w:space="0" w:color="auto"/>
        <w:right w:val="none" w:sz="0" w:space="0" w:color="auto"/>
      </w:divBdr>
    </w:div>
    <w:div w:id="791024652">
      <w:bodyDiv w:val="1"/>
      <w:marLeft w:val="0"/>
      <w:marRight w:val="0"/>
      <w:marTop w:val="0"/>
      <w:marBottom w:val="0"/>
      <w:divBdr>
        <w:top w:val="none" w:sz="0" w:space="0" w:color="auto"/>
        <w:left w:val="none" w:sz="0" w:space="0" w:color="auto"/>
        <w:bottom w:val="none" w:sz="0" w:space="0" w:color="auto"/>
        <w:right w:val="none" w:sz="0" w:space="0" w:color="auto"/>
      </w:divBdr>
    </w:div>
    <w:div w:id="800148531">
      <w:bodyDiv w:val="1"/>
      <w:marLeft w:val="0"/>
      <w:marRight w:val="0"/>
      <w:marTop w:val="0"/>
      <w:marBottom w:val="0"/>
      <w:divBdr>
        <w:top w:val="none" w:sz="0" w:space="0" w:color="auto"/>
        <w:left w:val="none" w:sz="0" w:space="0" w:color="auto"/>
        <w:bottom w:val="none" w:sz="0" w:space="0" w:color="auto"/>
        <w:right w:val="none" w:sz="0" w:space="0" w:color="auto"/>
      </w:divBdr>
    </w:div>
    <w:div w:id="808398846">
      <w:bodyDiv w:val="1"/>
      <w:marLeft w:val="0"/>
      <w:marRight w:val="0"/>
      <w:marTop w:val="0"/>
      <w:marBottom w:val="0"/>
      <w:divBdr>
        <w:top w:val="none" w:sz="0" w:space="0" w:color="auto"/>
        <w:left w:val="none" w:sz="0" w:space="0" w:color="auto"/>
        <w:bottom w:val="none" w:sz="0" w:space="0" w:color="auto"/>
        <w:right w:val="none" w:sz="0" w:space="0" w:color="auto"/>
      </w:divBdr>
    </w:div>
    <w:div w:id="809593262">
      <w:bodyDiv w:val="1"/>
      <w:marLeft w:val="0"/>
      <w:marRight w:val="0"/>
      <w:marTop w:val="0"/>
      <w:marBottom w:val="0"/>
      <w:divBdr>
        <w:top w:val="none" w:sz="0" w:space="0" w:color="auto"/>
        <w:left w:val="none" w:sz="0" w:space="0" w:color="auto"/>
        <w:bottom w:val="none" w:sz="0" w:space="0" w:color="auto"/>
        <w:right w:val="none" w:sz="0" w:space="0" w:color="auto"/>
      </w:divBdr>
    </w:div>
    <w:div w:id="811293057">
      <w:bodyDiv w:val="1"/>
      <w:marLeft w:val="0"/>
      <w:marRight w:val="0"/>
      <w:marTop w:val="0"/>
      <w:marBottom w:val="0"/>
      <w:divBdr>
        <w:top w:val="none" w:sz="0" w:space="0" w:color="auto"/>
        <w:left w:val="none" w:sz="0" w:space="0" w:color="auto"/>
        <w:bottom w:val="none" w:sz="0" w:space="0" w:color="auto"/>
        <w:right w:val="none" w:sz="0" w:space="0" w:color="auto"/>
      </w:divBdr>
    </w:div>
    <w:div w:id="811867754">
      <w:bodyDiv w:val="1"/>
      <w:marLeft w:val="0"/>
      <w:marRight w:val="0"/>
      <w:marTop w:val="0"/>
      <w:marBottom w:val="0"/>
      <w:divBdr>
        <w:top w:val="none" w:sz="0" w:space="0" w:color="auto"/>
        <w:left w:val="none" w:sz="0" w:space="0" w:color="auto"/>
        <w:bottom w:val="none" w:sz="0" w:space="0" w:color="auto"/>
        <w:right w:val="none" w:sz="0" w:space="0" w:color="auto"/>
      </w:divBdr>
    </w:div>
    <w:div w:id="817191292">
      <w:bodyDiv w:val="1"/>
      <w:marLeft w:val="0"/>
      <w:marRight w:val="0"/>
      <w:marTop w:val="0"/>
      <w:marBottom w:val="0"/>
      <w:divBdr>
        <w:top w:val="none" w:sz="0" w:space="0" w:color="auto"/>
        <w:left w:val="none" w:sz="0" w:space="0" w:color="auto"/>
        <w:bottom w:val="none" w:sz="0" w:space="0" w:color="auto"/>
        <w:right w:val="none" w:sz="0" w:space="0" w:color="auto"/>
      </w:divBdr>
    </w:div>
    <w:div w:id="818884208">
      <w:bodyDiv w:val="1"/>
      <w:marLeft w:val="0"/>
      <w:marRight w:val="0"/>
      <w:marTop w:val="0"/>
      <w:marBottom w:val="0"/>
      <w:divBdr>
        <w:top w:val="none" w:sz="0" w:space="0" w:color="auto"/>
        <w:left w:val="none" w:sz="0" w:space="0" w:color="auto"/>
        <w:bottom w:val="none" w:sz="0" w:space="0" w:color="auto"/>
        <w:right w:val="none" w:sz="0" w:space="0" w:color="auto"/>
      </w:divBdr>
    </w:div>
    <w:div w:id="819543970">
      <w:bodyDiv w:val="1"/>
      <w:marLeft w:val="0"/>
      <w:marRight w:val="0"/>
      <w:marTop w:val="0"/>
      <w:marBottom w:val="0"/>
      <w:divBdr>
        <w:top w:val="none" w:sz="0" w:space="0" w:color="auto"/>
        <w:left w:val="none" w:sz="0" w:space="0" w:color="auto"/>
        <w:bottom w:val="none" w:sz="0" w:space="0" w:color="auto"/>
        <w:right w:val="none" w:sz="0" w:space="0" w:color="auto"/>
      </w:divBdr>
    </w:div>
    <w:div w:id="822892111">
      <w:bodyDiv w:val="1"/>
      <w:marLeft w:val="0"/>
      <w:marRight w:val="0"/>
      <w:marTop w:val="0"/>
      <w:marBottom w:val="0"/>
      <w:divBdr>
        <w:top w:val="none" w:sz="0" w:space="0" w:color="auto"/>
        <w:left w:val="none" w:sz="0" w:space="0" w:color="auto"/>
        <w:bottom w:val="none" w:sz="0" w:space="0" w:color="auto"/>
        <w:right w:val="none" w:sz="0" w:space="0" w:color="auto"/>
      </w:divBdr>
    </w:div>
    <w:div w:id="828179304">
      <w:bodyDiv w:val="1"/>
      <w:marLeft w:val="0"/>
      <w:marRight w:val="0"/>
      <w:marTop w:val="0"/>
      <w:marBottom w:val="0"/>
      <w:divBdr>
        <w:top w:val="none" w:sz="0" w:space="0" w:color="auto"/>
        <w:left w:val="none" w:sz="0" w:space="0" w:color="auto"/>
        <w:bottom w:val="none" w:sz="0" w:space="0" w:color="auto"/>
        <w:right w:val="none" w:sz="0" w:space="0" w:color="auto"/>
      </w:divBdr>
    </w:div>
    <w:div w:id="835534621">
      <w:bodyDiv w:val="1"/>
      <w:marLeft w:val="0"/>
      <w:marRight w:val="0"/>
      <w:marTop w:val="0"/>
      <w:marBottom w:val="0"/>
      <w:divBdr>
        <w:top w:val="none" w:sz="0" w:space="0" w:color="auto"/>
        <w:left w:val="none" w:sz="0" w:space="0" w:color="auto"/>
        <w:bottom w:val="none" w:sz="0" w:space="0" w:color="auto"/>
        <w:right w:val="none" w:sz="0" w:space="0" w:color="auto"/>
      </w:divBdr>
    </w:div>
    <w:div w:id="856507775">
      <w:bodyDiv w:val="1"/>
      <w:marLeft w:val="0"/>
      <w:marRight w:val="0"/>
      <w:marTop w:val="0"/>
      <w:marBottom w:val="0"/>
      <w:divBdr>
        <w:top w:val="none" w:sz="0" w:space="0" w:color="auto"/>
        <w:left w:val="none" w:sz="0" w:space="0" w:color="auto"/>
        <w:bottom w:val="none" w:sz="0" w:space="0" w:color="auto"/>
        <w:right w:val="none" w:sz="0" w:space="0" w:color="auto"/>
      </w:divBdr>
    </w:div>
    <w:div w:id="856847807">
      <w:bodyDiv w:val="1"/>
      <w:marLeft w:val="0"/>
      <w:marRight w:val="0"/>
      <w:marTop w:val="0"/>
      <w:marBottom w:val="0"/>
      <w:divBdr>
        <w:top w:val="none" w:sz="0" w:space="0" w:color="auto"/>
        <w:left w:val="none" w:sz="0" w:space="0" w:color="auto"/>
        <w:bottom w:val="none" w:sz="0" w:space="0" w:color="auto"/>
        <w:right w:val="none" w:sz="0" w:space="0" w:color="auto"/>
      </w:divBdr>
    </w:div>
    <w:div w:id="871966421">
      <w:bodyDiv w:val="1"/>
      <w:marLeft w:val="0"/>
      <w:marRight w:val="0"/>
      <w:marTop w:val="0"/>
      <w:marBottom w:val="0"/>
      <w:divBdr>
        <w:top w:val="none" w:sz="0" w:space="0" w:color="auto"/>
        <w:left w:val="none" w:sz="0" w:space="0" w:color="auto"/>
        <w:bottom w:val="none" w:sz="0" w:space="0" w:color="auto"/>
        <w:right w:val="none" w:sz="0" w:space="0" w:color="auto"/>
      </w:divBdr>
    </w:div>
    <w:div w:id="897010442">
      <w:bodyDiv w:val="1"/>
      <w:marLeft w:val="0"/>
      <w:marRight w:val="0"/>
      <w:marTop w:val="0"/>
      <w:marBottom w:val="0"/>
      <w:divBdr>
        <w:top w:val="none" w:sz="0" w:space="0" w:color="auto"/>
        <w:left w:val="none" w:sz="0" w:space="0" w:color="auto"/>
        <w:bottom w:val="none" w:sz="0" w:space="0" w:color="auto"/>
        <w:right w:val="none" w:sz="0" w:space="0" w:color="auto"/>
      </w:divBdr>
    </w:div>
    <w:div w:id="903876218">
      <w:bodyDiv w:val="1"/>
      <w:marLeft w:val="0"/>
      <w:marRight w:val="0"/>
      <w:marTop w:val="0"/>
      <w:marBottom w:val="0"/>
      <w:divBdr>
        <w:top w:val="none" w:sz="0" w:space="0" w:color="auto"/>
        <w:left w:val="none" w:sz="0" w:space="0" w:color="auto"/>
        <w:bottom w:val="none" w:sz="0" w:space="0" w:color="auto"/>
        <w:right w:val="none" w:sz="0" w:space="0" w:color="auto"/>
      </w:divBdr>
    </w:div>
    <w:div w:id="906450783">
      <w:bodyDiv w:val="1"/>
      <w:marLeft w:val="0"/>
      <w:marRight w:val="0"/>
      <w:marTop w:val="0"/>
      <w:marBottom w:val="0"/>
      <w:divBdr>
        <w:top w:val="none" w:sz="0" w:space="0" w:color="auto"/>
        <w:left w:val="none" w:sz="0" w:space="0" w:color="auto"/>
        <w:bottom w:val="none" w:sz="0" w:space="0" w:color="auto"/>
        <w:right w:val="none" w:sz="0" w:space="0" w:color="auto"/>
      </w:divBdr>
    </w:div>
    <w:div w:id="908464809">
      <w:bodyDiv w:val="1"/>
      <w:marLeft w:val="0"/>
      <w:marRight w:val="0"/>
      <w:marTop w:val="0"/>
      <w:marBottom w:val="0"/>
      <w:divBdr>
        <w:top w:val="none" w:sz="0" w:space="0" w:color="auto"/>
        <w:left w:val="none" w:sz="0" w:space="0" w:color="auto"/>
        <w:bottom w:val="none" w:sz="0" w:space="0" w:color="auto"/>
        <w:right w:val="none" w:sz="0" w:space="0" w:color="auto"/>
      </w:divBdr>
    </w:div>
    <w:div w:id="919096420">
      <w:bodyDiv w:val="1"/>
      <w:marLeft w:val="0"/>
      <w:marRight w:val="0"/>
      <w:marTop w:val="0"/>
      <w:marBottom w:val="0"/>
      <w:divBdr>
        <w:top w:val="none" w:sz="0" w:space="0" w:color="auto"/>
        <w:left w:val="none" w:sz="0" w:space="0" w:color="auto"/>
        <w:bottom w:val="none" w:sz="0" w:space="0" w:color="auto"/>
        <w:right w:val="none" w:sz="0" w:space="0" w:color="auto"/>
      </w:divBdr>
    </w:div>
    <w:div w:id="921334029">
      <w:bodyDiv w:val="1"/>
      <w:marLeft w:val="0"/>
      <w:marRight w:val="0"/>
      <w:marTop w:val="0"/>
      <w:marBottom w:val="0"/>
      <w:divBdr>
        <w:top w:val="none" w:sz="0" w:space="0" w:color="auto"/>
        <w:left w:val="none" w:sz="0" w:space="0" w:color="auto"/>
        <w:bottom w:val="none" w:sz="0" w:space="0" w:color="auto"/>
        <w:right w:val="none" w:sz="0" w:space="0" w:color="auto"/>
      </w:divBdr>
    </w:div>
    <w:div w:id="926233516">
      <w:bodyDiv w:val="1"/>
      <w:marLeft w:val="0"/>
      <w:marRight w:val="0"/>
      <w:marTop w:val="0"/>
      <w:marBottom w:val="0"/>
      <w:divBdr>
        <w:top w:val="none" w:sz="0" w:space="0" w:color="auto"/>
        <w:left w:val="none" w:sz="0" w:space="0" w:color="auto"/>
        <w:bottom w:val="none" w:sz="0" w:space="0" w:color="auto"/>
        <w:right w:val="none" w:sz="0" w:space="0" w:color="auto"/>
      </w:divBdr>
    </w:div>
    <w:div w:id="929849718">
      <w:bodyDiv w:val="1"/>
      <w:marLeft w:val="0"/>
      <w:marRight w:val="0"/>
      <w:marTop w:val="0"/>
      <w:marBottom w:val="0"/>
      <w:divBdr>
        <w:top w:val="none" w:sz="0" w:space="0" w:color="auto"/>
        <w:left w:val="none" w:sz="0" w:space="0" w:color="auto"/>
        <w:bottom w:val="none" w:sz="0" w:space="0" w:color="auto"/>
        <w:right w:val="none" w:sz="0" w:space="0" w:color="auto"/>
      </w:divBdr>
    </w:div>
    <w:div w:id="931934927">
      <w:bodyDiv w:val="1"/>
      <w:marLeft w:val="0"/>
      <w:marRight w:val="0"/>
      <w:marTop w:val="0"/>
      <w:marBottom w:val="0"/>
      <w:divBdr>
        <w:top w:val="none" w:sz="0" w:space="0" w:color="auto"/>
        <w:left w:val="none" w:sz="0" w:space="0" w:color="auto"/>
        <w:bottom w:val="none" w:sz="0" w:space="0" w:color="auto"/>
        <w:right w:val="none" w:sz="0" w:space="0" w:color="auto"/>
      </w:divBdr>
    </w:div>
    <w:div w:id="934440665">
      <w:bodyDiv w:val="1"/>
      <w:marLeft w:val="0"/>
      <w:marRight w:val="0"/>
      <w:marTop w:val="0"/>
      <w:marBottom w:val="0"/>
      <w:divBdr>
        <w:top w:val="none" w:sz="0" w:space="0" w:color="auto"/>
        <w:left w:val="none" w:sz="0" w:space="0" w:color="auto"/>
        <w:bottom w:val="none" w:sz="0" w:space="0" w:color="auto"/>
        <w:right w:val="none" w:sz="0" w:space="0" w:color="auto"/>
      </w:divBdr>
    </w:div>
    <w:div w:id="955986307">
      <w:bodyDiv w:val="1"/>
      <w:marLeft w:val="0"/>
      <w:marRight w:val="0"/>
      <w:marTop w:val="0"/>
      <w:marBottom w:val="0"/>
      <w:divBdr>
        <w:top w:val="none" w:sz="0" w:space="0" w:color="auto"/>
        <w:left w:val="none" w:sz="0" w:space="0" w:color="auto"/>
        <w:bottom w:val="none" w:sz="0" w:space="0" w:color="auto"/>
        <w:right w:val="none" w:sz="0" w:space="0" w:color="auto"/>
      </w:divBdr>
    </w:div>
    <w:div w:id="957369316">
      <w:bodyDiv w:val="1"/>
      <w:marLeft w:val="0"/>
      <w:marRight w:val="0"/>
      <w:marTop w:val="0"/>
      <w:marBottom w:val="0"/>
      <w:divBdr>
        <w:top w:val="none" w:sz="0" w:space="0" w:color="auto"/>
        <w:left w:val="none" w:sz="0" w:space="0" w:color="auto"/>
        <w:bottom w:val="none" w:sz="0" w:space="0" w:color="auto"/>
        <w:right w:val="none" w:sz="0" w:space="0" w:color="auto"/>
      </w:divBdr>
    </w:div>
    <w:div w:id="1002052383">
      <w:bodyDiv w:val="1"/>
      <w:marLeft w:val="0"/>
      <w:marRight w:val="0"/>
      <w:marTop w:val="0"/>
      <w:marBottom w:val="0"/>
      <w:divBdr>
        <w:top w:val="none" w:sz="0" w:space="0" w:color="auto"/>
        <w:left w:val="none" w:sz="0" w:space="0" w:color="auto"/>
        <w:bottom w:val="none" w:sz="0" w:space="0" w:color="auto"/>
        <w:right w:val="none" w:sz="0" w:space="0" w:color="auto"/>
      </w:divBdr>
    </w:div>
    <w:div w:id="1028799137">
      <w:bodyDiv w:val="1"/>
      <w:marLeft w:val="0"/>
      <w:marRight w:val="0"/>
      <w:marTop w:val="0"/>
      <w:marBottom w:val="0"/>
      <w:divBdr>
        <w:top w:val="none" w:sz="0" w:space="0" w:color="auto"/>
        <w:left w:val="none" w:sz="0" w:space="0" w:color="auto"/>
        <w:bottom w:val="none" w:sz="0" w:space="0" w:color="auto"/>
        <w:right w:val="none" w:sz="0" w:space="0" w:color="auto"/>
      </w:divBdr>
    </w:div>
    <w:div w:id="1075665793">
      <w:bodyDiv w:val="1"/>
      <w:marLeft w:val="0"/>
      <w:marRight w:val="0"/>
      <w:marTop w:val="0"/>
      <w:marBottom w:val="0"/>
      <w:divBdr>
        <w:top w:val="none" w:sz="0" w:space="0" w:color="auto"/>
        <w:left w:val="none" w:sz="0" w:space="0" w:color="auto"/>
        <w:bottom w:val="none" w:sz="0" w:space="0" w:color="auto"/>
        <w:right w:val="none" w:sz="0" w:space="0" w:color="auto"/>
      </w:divBdr>
    </w:div>
    <w:div w:id="1080441074">
      <w:bodyDiv w:val="1"/>
      <w:marLeft w:val="0"/>
      <w:marRight w:val="0"/>
      <w:marTop w:val="0"/>
      <w:marBottom w:val="0"/>
      <w:divBdr>
        <w:top w:val="none" w:sz="0" w:space="0" w:color="auto"/>
        <w:left w:val="none" w:sz="0" w:space="0" w:color="auto"/>
        <w:bottom w:val="none" w:sz="0" w:space="0" w:color="auto"/>
        <w:right w:val="none" w:sz="0" w:space="0" w:color="auto"/>
      </w:divBdr>
    </w:div>
    <w:div w:id="1087577010">
      <w:bodyDiv w:val="1"/>
      <w:marLeft w:val="0"/>
      <w:marRight w:val="0"/>
      <w:marTop w:val="0"/>
      <w:marBottom w:val="0"/>
      <w:divBdr>
        <w:top w:val="none" w:sz="0" w:space="0" w:color="auto"/>
        <w:left w:val="none" w:sz="0" w:space="0" w:color="auto"/>
        <w:bottom w:val="none" w:sz="0" w:space="0" w:color="auto"/>
        <w:right w:val="none" w:sz="0" w:space="0" w:color="auto"/>
      </w:divBdr>
    </w:div>
    <w:div w:id="1107966973">
      <w:bodyDiv w:val="1"/>
      <w:marLeft w:val="0"/>
      <w:marRight w:val="0"/>
      <w:marTop w:val="0"/>
      <w:marBottom w:val="0"/>
      <w:divBdr>
        <w:top w:val="none" w:sz="0" w:space="0" w:color="auto"/>
        <w:left w:val="none" w:sz="0" w:space="0" w:color="auto"/>
        <w:bottom w:val="none" w:sz="0" w:space="0" w:color="auto"/>
        <w:right w:val="none" w:sz="0" w:space="0" w:color="auto"/>
      </w:divBdr>
    </w:div>
    <w:div w:id="1110399113">
      <w:bodyDiv w:val="1"/>
      <w:marLeft w:val="0"/>
      <w:marRight w:val="0"/>
      <w:marTop w:val="0"/>
      <w:marBottom w:val="0"/>
      <w:divBdr>
        <w:top w:val="none" w:sz="0" w:space="0" w:color="auto"/>
        <w:left w:val="none" w:sz="0" w:space="0" w:color="auto"/>
        <w:bottom w:val="none" w:sz="0" w:space="0" w:color="auto"/>
        <w:right w:val="none" w:sz="0" w:space="0" w:color="auto"/>
      </w:divBdr>
    </w:div>
    <w:div w:id="1116020265">
      <w:bodyDiv w:val="1"/>
      <w:marLeft w:val="0"/>
      <w:marRight w:val="0"/>
      <w:marTop w:val="0"/>
      <w:marBottom w:val="0"/>
      <w:divBdr>
        <w:top w:val="none" w:sz="0" w:space="0" w:color="auto"/>
        <w:left w:val="none" w:sz="0" w:space="0" w:color="auto"/>
        <w:bottom w:val="none" w:sz="0" w:space="0" w:color="auto"/>
        <w:right w:val="none" w:sz="0" w:space="0" w:color="auto"/>
      </w:divBdr>
    </w:div>
    <w:div w:id="1118334933">
      <w:bodyDiv w:val="1"/>
      <w:marLeft w:val="0"/>
      <w:marRight w:val="0"/>
      <w:marTop w:val="0"/>
      <w:marBottom w:val="0"/>
      <w:divBdr>
        <w:top w:val="none" w:sz="0" w:space="0" w:color="auto"/>
        <w:left w:val="none" w:sz="0" w:space="0" w:color="auto"/>
        <w:bottom w:val="none" w:sz="0" w:space="0" w:color="auto"/>
        <w:right w:val="none" w:sz="0" w:space="0" w:color="auto"/>
      </w:divBdr>
    </w:div>
    <w:div w:id="1143741668">
      <w:bodyDiv w:val="1"/>
      <w:marLeft w:val="0"/>
      <w:marRight w:val="0"/>
      <w:marTop w:val="0"/>
      <w:marBottom w:val="0"/>
      <w:divBdr>
        <w:top w:val="none" w:sz="0" w:space="0" w:color="auto"/>
        <w:left w:val="none" w:sz="0" w:space="0" w:color="auto"/>
        <w:bottom w:val="none" w:sz="0" w:space="0" w:color="auto"/>
        <w:right w:val="none" w:sz="0" w:space="0" w:color="auto"/>
      </w:divBdr>
    </w:div>
    <w:div w:id="1143813693">
      <w:bodyDiv w:val="1"/>
      <w:marLeft w:val="0"/>
      <w:marRight w:val="0"/>
      <w:marTop w:val="0"/>
      <w:marBottom w:val="0"/>
      <w:divBdr>
        <w:top w:val="none" w:sz="0" w:space="0" w:color="auto"/>
        <w:left w:val="none" w:sz="0" w:space="0" w:color="auto"/>
        <w:bottom w:val="none" w:sz="0" w:space="0" w:color="auto"/>
        <w:right w:val="none" w:sz="0" w:space="0" w:color="auto"/>
      </w:divBdr>
    </w:div>
    <w:div w:id="1153712954">
      <w:bodyDiv w:val="1"/>
      <w:marLeft w:val="0"/>
      <w:marRight w:val="0"/>
      <w:marTop w:val="0"/>
      <w:marBottom w:val="0"/>
      <w:divBdr>
        <w:top w:val="none" w:sz="0" w:space="0" w:color="auto"/>
        <w:left w:val="none" w:sz="0" w:space="0" w:color="auto"/>
        <w:bottom w:val="none" w:sz="0" w:space="0" w:color="auto"/>
        <w:right w:val="none" w:sz="0" w:space="0" w:color="auto"/>
      </w:divBdr>
    </w:div>
    <w:div w:id="1170559638">
      <w:bodyDiv w:val="1"/>
      <w:marLeft w:val="0"/>
      <w:marRight w:val="0"/>
      <w:marTop w:val="0"/>
      <w:marBottom w:val="0"/>
      <w:divBdr>
        <w:top w:val="none" w:sz="0" w:space="0" w:color="auto"/>
        <w:left w:val="none" w:sz="0" w:space="0" w:color="auto"/>
        <w:bottom w:val="none" w:sz="0" w:space="0" w:color="auto"/>
        <w:right w:val="none" w:sz="0" w:space="0" w:color="auto"/>
      </w:divBdr>
    </w:div>
    <w:div w:id="1222248381">
      <w:bodyDiv w:val="1"/>
      <w:marLeft w:val="0"/>
      <w:marRight w:val="0"/>
      <w:marTop w:val="0"/>
      <w:marBottom w:val="0"/>
      <w:divBdr>
        <w:top w:val="none" w:sz="0" w:space="0" w:color="auto"/>
        <w:left w:val="none" w:sz="0" w:space="0" w:color="auto"/>
        <w:bottom w:val="none" w:sz="0" w:space="0" w:color="auto"/>
        <w:right w:val="none" w:sz="0" w:space="0" w:color="auto"/>
      </w:divBdr>
    </w:div>
    <w:div w:id="1230462198">
      <w:bodyDiv w:val="1"/>
      <w:marLeft w:val="0"/>
      <w:marRight w:val="0"/>
      <w:marTop w:val="0"/>
      <w:marBottom w:val="0"/>
      <w:divBdr>
        <w:top w:val="none" w:sz="0" w:space="0" w:color="auto"/>
        <w:left w:val="none" w:sz="0" w:space="0" w:color="auto"/>
        <w:bottom w:val="none" w:sz="0" w:space="0" w:color="auto"/>
        <w:right w:val="none" w:sz="0" w:space="0" w:color="auto"/>
      </w:divBdr>
    </w:div>
    <w:div w:id="1233354158">
      <w:bodyDiv w:val="1"/>
      <w:marLeft w:val="0"/>
      <w:marRight w:val="0"/>
      <w:marTop w:val="0"/>
      <w:marBottom w:val="0"/>
      <w:divBdr>
        <w:top w:val="none" w:sz="0" w:space="0" w:color="auto"/>
        <w:left w:val="none" w:sz="0" w:space="0" w:color="auto"/>
        <w:bottom w:val="none" w:sz="0" w:space="0" w:color="auto"/>
        <w:right w:val="none" w:sz="0" w:space="0" w:color="auto"/>
      </w:divBdr>
    </w:div>
    <w:div w:id="1237283724">
      <w:bodyDiv w:val="1"/>
      <w:marLeft w:val="0"/>
      <w:marRight w:val="0"/>
      <w:marTop w:val="0"/>
      <w:marBottom w:val="0"/>
      <w:divBdr>
        <w:top w:val="none" w:sz="0" w:space="0" w:color="auto"/>
        <w:left w:val="none" w:sz="0" w:space="0" w:color="auto"/>
        <w:bottom w:val="none" w:sz="0" w:space="0" w:color="auto"/>
        <w:right w:val="none" w:sz="0" w:space="0" w:color="auto"/>
      </w:divBdr>
    </w:div>
    <w:div w:id="1243565508">
      <w:bodyDiv w:val="1"/>
      <w:marLeft w:val="0"/>
      <w:marRight w:val="0"/>
      <w:marTop w:val="0"/>
      <w:marBottom w:val="0"/>
      <w:divBdr>
        <w:top w:val="none" w:sz="0" w:space="0" w:color="auto"/>
        <w:left w:val="none" w:sz="0" w:space="0" w:color="auto"/>
        <w:bottom w:val="none" w:sz="0" w:space="0" w:color="auto"/>
        <w:right w:val="none" w:sz="0" w:space="0" w:color="auto"/>
      </w:divBdr>
    </w:div>
    <w:div w:id="1248152316">
      <w:bodyDiv w:val="1"/>
      <w:marLeft w:val="0"/>
      <w:marRight w:val="0"/>
      <w:marTop w:val="0"/>
      <w:marBottom w:val="0"/>
      <w:divBdr>
        <w:top w:val="none" w:sz="0" w:space="0" w:color="auto"/>
        <w:left w:val="none" w:sz="0" w:space="0" w:color="auto"/>
        <w:bottom w:val="none" w:sz="0" w:space="0" w:color="auto"/>
        <w:right w:val="none" w:sz="0" w:space="0" w:color="auto"/>
      </w:divBdr>
    </w:div>
    <w:div w:id="1262759351">
      <w:bodyDiv w:val="1"/>
      <w:marLeft w:val="0"/>
      <w:marRight w:val="0"/>
      <w:marTop w:val="0"/>
      <w:marBottom w:val="0"/>
      <w:divBdr>
        <w:top w:val="none" w:sz="0" w:space="0" w:color="auto"/>
        <w:left w:val="none" w:sz="0" w:space="0" w:color="auto"/>
        <w:bottom w:val="none" w:sz="0" w:space="0" w:color="auto"/>
        <w:right w:val="none" w:sz="0" w:space="0" w:color="auto"/>
      </w:divBdr>
    </w:div>
    <w:div w:id="1265961626">
      <w:bodyDiv w:val="1"/>
      <w:marLeft w:val="0"/>
      <w:marRight w:val="0"/>
      <w:marTop w:val="0"/>
      <w:marBottom w:val="0"/>
      <w:divBdr>
        <w:top w:val="none" w:sz="0" w:space="0" w:color="auto"/>
        <w:left w:val="none" w:sz="0" w:space="0" w:color="auto"/>
        <w:bottom w:val="none" w:sz="0" w:space="0" w:color="auto"/>
        <w:right w:val="none" w:sz="0" w:space="0" w:color="auto"/>
      </w:divBdr>
    </w:div>
    <w:div w:id="1278171733">
      <w:bodyDiv w:val="1"/>
      <w:marLeft w:val="0"/>
      <w:marRight w:val="0"/>
      <w:marTop w:val="0"/>
      <w:marBottom w:val="0"/>
      <w:divBdr>
        <w:top w:val="none" w:sz="0" w:space="0" w:color="auto"/>
        <w:left w:val="none" w:sz="0" w:space="0" w:color="auto"/>
        <w:bottom w:val="none" w:sz="0" w:space="0" w:color="auto"/>
        <w:right w:val="none" w:sz="0" w:space="0" w:color="auto"/>
      </w:divBdr>
    </w:div>
    <w:div w:id="1290823577">
      <w:bodyDiv w:val="1"/>
      <w:marLeft w:val="0"/>
      <w:marRight w:val="0"/>
      <w:marTop w:val="0"/>
      <w:marBottom w:val="0"/>
      <w:divBdr>
        <w:top w:val="none" w:sz="0" w:space="0" w:color="auto"/>
        <w:left w:val="none" w:sz="0" w:space="0" w:color="auto"/>
        <w:bottom w:val="none" w:sz="0" w:space="0" w:color="auto"/>
        <w:right w:val="none" w:sz="0" w:space="0" w:color="auto"/>
      </w:divBdr>
    </w:div>
    <w:div w:id="1292129006">
      <w:bodyDiv w:val="1"/>
      <w:marLeft w:val="0"/>
      <w:marRight w:val="0"/>
      <w:marTop w:val="0"/>
      <w:marBottom w:val="0"/>
      <w:divBdr>
        <w:top w:val="none" w:sz="0" w:space="0" w:color="auto"/>
        <w:left w:val="none" w:sz="0" w:space="0" w:color="auto"/>
        <w:bottom w:val="none" w:sz="0" w:space="0" w:color="auto"/>
        <w:right w:val="none" w:sz="0" w:space="0" w:color="auto"/>
      </w:divBdr>
    </w:div>
    <w:div w:id="1311013125">
      <w:bodyDiv w:val="1"/>
      <w:marLeft w:val="0"/>
      <w:marRight w:val="0"/>
      <w:marTop w:val="0"/>
      <w:marBottom w:val="0"/>
      <w:divBdr>
        <w:top w:val="none" w:sz="0" w:space="0" w:color="auto"/>
        <w:left w:val="none" w:sz="0" w:space="0" w:color="auto"/>
        <w:bottom w:val="none" w:sz="0" w:space="0" w:color="auto"/>
        <w:right w:val="none" w:sz="0" w:space="0" w:color="auto"/>
      </w:divBdr>
    </w:div>
    <w:div w:id="1313632532">
      <w:bodyDiv w:val="1"/>
      <w:marLeft w:val="0"/>
      <w:marRight w:val="0"/>
      <w:marTop w:val="0"/>
      <w:marBottom w:val="0"/>
      <w:divBdr>
        <w:top w:val="none" w:sz="0" w:space="0" w:color="auto"/>
        <w:left w:val="none" w:sz="0" w:space="0" w:color="auto"/>
        <w:bottom w:val="none" w:sz="0" w:space="0" w:color="auto"/>
        <w:right w:val="none" w:sz="0" w:space="0" w:color="auto"/>
      </w:divBdr>
    </w:div>
    <w:div w:id="1322346900">
      <w:bodyDiv w:val="1"/>
      <w:marLeft w:val="0"/>
      <w:marRight w:val="0"/>
      <w:marTop w:val="0"/>
      <w:marBottom w:val="0"/>
      <w:divBdr>
        <w:top w:val="none" w:sz="0" w:space="0" w:color="auto"/>
        <w:left w:val="none" w:sz="0" w:space="0" w:color="auto"/>
        <w:bottom w:val="none" w:sz="0" w:space="0" w:color="auto"/>
        <w:right w:val="none" w:sz="0" w:space="0" w:color="auto"/>
      </w:divBdr>
    </w:div>
    <w:div w:id="1334797842">
      <w:bodyDiv w:val="1"/>
      <w:marLeft w:val="0"/>
      <w:marRight w:val="0"/>
      <w:marTop w:val="0"/>
      <w:marBottom w:val="0"/>
      <w:divBdr>
        <w:top w:val="none" w:sz="0" w:space="0" w:color="auto"/>
        <w:left w:val="none" w:sz="0" w:space="0" w:color="auto"/>
        <w:bottom w:val="none" w:sz="0" w:space="0" w:color="auto"/>
        <w:right w:val="none" w:sz="0" w:space="0" w:color="auto"/>
      </w:divBdr>
    </w:div>
    <w:div w:id="1339843290">
      <w:bodyDiv w:val="1"/>
      <w:marLeft w:val="0"/>
      <w:marRight w:val="0"/>
      <w:marTop w:val="0"/>
      <w:marBottom w:val="0"/>
      <w:divBdr>
        <w:top w:val="none" w:sz="0" w:space="0" w:color="auto"/>
        <w:left w:val="none" w:sz="0" w:space="0" w:color="auto"/>
        <w:bottom w:val="none" w:sz="0" w:space="0" w:color="auto"/>
        <w:right w:val="none" w:sz="0" w:space="0" w:color="auto"/>
      </w:divBdr>
    </w:div>
    <w:div w:id="1340738684">
      <w:bodyDiv w:val="1"/>
      <w:marLeft w:val="0"/>
      <w:marRight w:val="0"/>
      <w:marTop w:val="0"/>
      <w:marBottom w:val="0"/>
      <w:divBdr>
        <w:top w:val="none" w:sz="0" w:space="0" w:color="auto"/>
        <w:left w:val="none" w:sz="0" w:space="0" w:color="auto"/>
        <w:bottom w:val="none" w:sz="0" w:space="0" w:color="auto"/>
        <w:right w:val="none" w:sz="0" w:space="0" w:color="auto"/>
      </w:divBdr>
    </w:div>
    <w:div w:id="1342200013">
      <w:bodyDiv w:val="1"/>
      <w:marLeft w:val="0"/>
      <w:marRight w:val="0"/>
      <w:marTop w:val="0"/>
      <w:marBottom w:val="0"/>
      <w:divBdr>
        <w:top w:val="none" w:sz="0" w:space="0" w:color="auto"/>
        <w:left w:val="none" w:sz="0" w:space="0" w:color="auto"/>
        <w:bottom w:val="none" w:sz="0" w:space="0" w:color="auto"/>
        <w:right w:val="none" w:sz="0" w:space="0" w:color="auto"/>
      </w:divBdr>
    </w:div>
    <w:div w:id="1359158129">
      <w:bodyDiv w:val="1"/>
      <w:marLeft w:val="0"/>
      <w:marRight w:val="0"/>
      <w:marTop w:val="0"/>
      <w:marBottom w:val="0"/>
      <w:divBdr>
        <w:top w:val="none" w:sz="0" w:space="0" w:color="auto"/>
        <w:left w:val="none" w:sz="0" w:space="0" w:color="auto"/>
        <w:bottom w:val="none" w:sz="0" w:space="0" w:color="auto"/>
        <w:right w:val="none" w:sz="0" w:space="0" w:color="auto"/>
      </w:divBdr>
    </w:div>
    <w:div w:id="1362167872">
      <w:bodyDiv w:val="1"/>
      <w:marLeft w:val="0"/>
      <w:marRight w:val="0"/>
      <w:marTop w:val="0"/>
      <w:marBottom w:val="0"/>
      <w:divBdr>
        <w:top w:val="none" w:sz="0" w:space="0" w:color="auto"/>
        <w:left w:val="none" w:sz="0" w:space="0" w:color="auto"/>
        <w:bottom w:val="none" w:sz="0" w:space="0" w:color="auto"/>
        <w:right w:val="none" w:sz="0" w:space="0" w:color="auto"/>
      </w:divBdr>
    </w:div>
    <w:div w:id="1365986763">
      <w:bodyDiv w:val="1"/>
      <w:marLeft w:val="0"/>
      <w:marRight w:val="0"/>
      <w:marTop w:val="0"/>
      <w:marBottom w:val="0"/>
      <w:divBdr>
        <w:top w:val="none" w:sz="0" w:space="0" w:color="auto"/>
        <w:left w:val="none" w:sz="0" w:space="0" w:color="auto"/>
        <w:bottom w:val="none" w:sz="0" w:space="0" w:color="auto"/>
        <w:right w:val="none" w:sz="0" w:space="0" w:color="auto"/>
      </w:divBdr>
    </w:div>
    <w:div w:id="1369254927">
      <w:bodyDiv w:val="1"/>
      <w:marLeft w:val="0"/>
      <w:marRight w:val="0"/>
      <w:marTop w:val="0"/>
      <w:marBottom w:val="0"/>
      <w:divBdr>
        <w:top w:val="none" w:sz="0" w:space="0" w:color="auto"/>
        <w:left w:val="none" w:sz="0" w:space="0" w:color="auto"/>
        <w:bottom w:val="none" w:sz="0" w:space="0" w:color="auto"/>
        <w:right w:val="none" w:sz="0" w:space="0" w:color="auto"/>
      </w:divBdr>
    </w:div>
    <w:div w:id="1388533787">
      <w:bodyDiv w:val="1"/>
      <w:marLeft w:val="0"/>
      <w:marRight w:val="0"/>
      <w:marTop w:val="0"/>
      <w:marBottom w:val="0"/>
      <w:divBdr>
        <w:top w:val="none" w:sz="0" w:space="0" w:color="auto"/>
        <w:left w:val="none" w:sz="0" w:space="0" w:color="auto"/>
        <w:bottom w:val="none" w:sz="0" w:space="0" w:color="auto"/>
        <w:right w:val="none" w:sz="0" w:space="0" w:color="auto"/>
      </w:divBdr>
    </w:div>
    <w:div w:id="1389112382">
      <w:bodyDiv w:val="1"/>
      <w:marLeft w:val="0"/>
      <w:marRight w:val="0"/>
      <w:marTop w:val="0"/>
      <w:marBottom w:val="0"/>
      <w:divBdr>
        <w:top w:val="none" w:sz="0" w:space="0" w:color="auto"/>
        <w:left w:val="none" w:sz="0" w:space="0" w:color="auto"/>
        <w:bottom w:val="none" w:sz="0" w:space="0" w:color="auto"/>
        <w:right w:val="none" w:sz="0" w:space="0" w:color="auto"/>
      </w:divBdr>
    </w:div>
    <w:div w:id="1391541243">
      <w:bodyDiv w:val="1"/>
      <w:marLeft w:val="0"/>
      <w:marRight w:val="0"/>
      <w:marTop w:val="0"/>
      <w:marBottom w:val="0"/>
      <w:divBdr>
        <w:top w:val="none" w:sz="0" w:space="0" w:color="auto"/>
        <w:left w:val="none" w:sz="0" w:space="0" w:color="auto"/>
        <w:bottom w:val="none" w:sz="0" w:space="0" w:color="auto"/>
        <w:right w:val="none" w:sz="0" w:space="0" w:color="auto"/>
      </w:divBdr>
    </w:div>
    <w:div w:id="1404451514">
      <w:bodyDiv w:val="1"/>
      <w:marLeft w:val="0"/>
      <w:marRight w:val="0"/>
      <w:marTop w:val="0"/>
      <w:marBottom w:val="0"/>
      <w:divBdr>
        <w:top w:val="none" w:sz="0" w:space="0" w:color="auto"/>
        <w:left w:val="none" w:sz="0" w:space="0" w:color="auto"/>
        <w:bottom w:val="none" w:sz="0" w:space="0" w:color="auto"/>
        <w:right w:val="none" w:sz="0" w:space="0" w:color="auto"/>
      </w:divBdr>
    </w:div>
    <w:div w:id="1407849001">
      <w:bodyDiv w:val="1"/>
      <w:marLeft w:val="0"/>
      <w:marRight w:val="0"/>
      <w:marTop w:val="0"/>
      <w:marBottom w:val="0"/>
      <w:divBdr>
        <w:top w:val="none" w:sz="0" w:space="0" w:color="auto"/>
        <w:left w:val="none" w:sz="0" w:space="0" w:color="auto"/>
        <w:bottom w:val="none" w:sz="0" w:space="0" w:color="auto"/>
        <w:right w:val="none" w:sz="0" w:space="0" w:color="auto"/>
      </w:divBdr>
    </w:div>
    <w:div w:id="1413893223">
      <w:bodyDiv w:val="1"/>
      <w:marLeft w:val="0"/>
      <w:marRight w:val="0"/>
      <w:marTop w:val="0"/>
      <w:marBottom w:val="0"/>
      <w:divBdr>
        <w:top w:val="none" w:sz="0" w:space="0" w:color="auto"/>
        <w:left w:val="none" w:sz="0" w:space="0" w:color="auto"/>
        <w:bottom w:val="none" w:sz="0" w:space="0" w:color="auto"/>
        <w:right w:val="none" w:sz="0" w:space="0" w:color="auto"/>
      </w:divBdr>
    </w:div>
    <w:div w:id="1415589535">
      <w:bodyDiv w:val="1"/>
      <w:marLeft w:val="0"/>
      <w:marRight w:val="0"/>
      <w:marTop w:val="0"/>
      <w:marBottom w:val="0"/>
      <w:divBdr>
        <w:top w:val="none" w:sz="0" w:space="0" w:color="auto"/>
        <w:left w:val="none" w:sz="0" w:space="0" w:color="auto"/>
        <w:bottom w:val="none" w:sz="0" w:space="0" w:color="auto"/>
        <w:right w:val="none" w:sz="0" w:space="0" w:color="auto"/>
      </w:divBdr>
    </w:div>
    <w:div w:id="1415666577">
      <w:bodyDiv w:val="1"/>
      <w:marLeft w:val="0"/>
      <w:marRight w:val="0"/>
      <w:marTop w:val="0"/>
      <w:marBottom w:val="0"/>
      <w:divBdr>
        <w:top w:val="none" w:sz="0" w:space="0" w:color="auto"/>
        <w:left w:val="none" w:sz="0" w:space="0" w:color="auto"/>
        <w:bottom w:val="none" w:sz="0" w:space="0" w:color="auto"/>
        <w:right w:val="none" w:sz="0" w:space="0" w:color="auto"/>
      </w:divBdr>
    </w:div>
    <w:div w:id="1425687640">
      <w:bodyDiv w:val="1"/>
      <w:marLeft w:val="0"/>
      <w:marRight w:val="0"/>
      <w:marTop w:val="0"/>
      <w:marBottom w:val="0"/>
      <w:divBdr>
        <w:top w:val="none" w:sz="0" w:space="0" w:color="auto"/>
        <w:left w:val="none" w:sz="0" w:space="0" w:color="auto"/>
        <w:bottom w:val="none" w:sz="0" w:space="0" w:color="auto"/>
        <w:right w:val="none" w:sz="0" w:space="0" w:color="auto"/>
      </w:divBdr>
    </w:div>
    <w:div w:id="1441951541">
      <w:bodyDiv w:val="1"/>
      <w:marLeft w:val="0"/>
      <w:marRight w:val="0"/>
      <w:marTop w:val="0"/>
      <w:marBottom w:val="0"/>
      <w:divBdr>
        <w:top w:val="none" w:sz="0" w:space="0" w:color="auto"/>
        <w:left w:val="none" w:sz="0" w:space="0" w:color="auto"/>
        <w:bottom w:val="none" w:sz="0" w:space="0" w:color="auto"/>
        <w:right w:val="none" w:sz="0" w:space="0" w:color="auto"/>
      </w:divBdr>
    </w:div>
    <w:div w:id="1444567528">
      <w:bodyDiv w:val="1"/>
      <w:marLeft w:val="0"/>
      <w:marRight w:val="0"/>
      <w:marTop w:val="0"/>
      <w:marBottom w:val="0"/>
      <w:divBdr>
        <w:top w:val="none" w:sz="0" w:space="0" w:color="auto"/>
        <w:left w:val="none" w:sz="0" w:space="0" w:color="auto"/>
        <w:bottom w:val="none" w:sz="0" w:space="0" w:color="auto"/>
        <w:right w:val="none" w:sz="0" w:space="0" w:color="auto"/>
      </w:divBdr>
    </w:div>
    <w:div w:id="1472482548">
      <w:bodyDiv w:val="1"/>
      <w:marLeft w:val="0"/>
      <w:marRight w:val="0"/>
      <w:marTop w:val="0"/>
      <w:marBottom w:val="0"/>
      <w:divBdr>
        <w:top w:val="none" w:sz="0" w:space="0" w:color="auto"/>
        <w:left w:val="none" w:sz="0" w:space="0" w:color="auto"/>
        <w:bottom w:val="none" w:sz="0" w:space="0" w:color="auto"/>
        <w:right w:val="none" w:sz="0" w:space="0" w:color="auto"/>
      </w:divBdr>
    </w:div>
    <w:div w:id="1481195485">
      <w:bodyDiv w:val="1"/>
      <w:marLeft w:val="0"/>
      <w:marRight w:val="0"/>
      <w:marTop w:val="0"/>
      <w:marBottom w:val="0"/>
      <w:divBdr>
        <w:top w:val="none" w:sz="0" w:space="0" w:color="auto"/>
        <w:left w:val="none" w:sz="0" w:space="0" w:color="auto"/>
        <w:bottom w:val="none" w:sz="0" w:space="0" w:color="auto"/>
        <w:right w:val="none" w:sz="0" w:space="0" w:color="auto"/>
      </w:divBdr>
    </w:div>
    <w:div w:id="1482621190">
      <w:bodyDiv w:val="1"/>
      <w:marLeft w:val="0"/>
      <w:marRight w:val="0"/>
      <w:marTop w:val="0"/>
      <w:marBottom w:val="0"/>
      <w:divBdr>
        <w:top w:val="none" w:sz="0" w:space="0" w:color="auto"/>
        <w:left w:val="none" w:sz="0" w:space="0" w:color="auto"/>
        <w:bottom w:val="none" w:sz="0" w:space="0" w:color="auto"/>
        <w:right w:val="none" w:sz="0" w:space="0" w:color="auto"/>
      </w:divBdr>
    </w:div>
    <w:div w:id="1498576122">
      <w:bodyDiv w:val="1"/>
      <w:marLeft w:val="0"/>
      <w:marRight w:val="0"/>
      <w:marTop w:val="0"/>
      <w:marBottom w:val="0"/>
      <w:divBdr>
        <w:top w:val="none" w:sz="0" w:space="0" w:color="auto"/>
        <w:left w:val="none" w:sz="0" w:space="0" w:color="auto"/>
        <w:bottom w:val="none" w:sz="0" w:space="0" w:color="auto"/>
        <w:right w:val="none" w:sz="0" w:space="0" w:color="auto"/>
      </w:divBdr>
    </w:div>
    <w:div w:id="1499223845">
      <w:bodyDiv w:val="1"/>
      <w:marLeft w:val="0"/>
      <w:marRight w:val="0"/>
      <w:marTop w:val="0"/>
      <w:marBottom w:val="0"/>
      <w:divBdr>
        <w:top w:val="none" w:sz="0" w:space="0" w:color="auto"/>
        <w:left w:val="none" w:sz="0" w:space="0" w:color="auto"/>
        <w:bottom w:val="none" w:sz="0" w:space="0" w:color="auto"/>
        <w:right w:val="none" w:sz="0" w:space="0" w:color="auto"/>
      </w:divBdr>
    </w:div>
    <w:div w:id="1499425753">
      <w:bodyDiv w:val="1"/>
      <w:marLeft w:val="0"/>
      <w:marRight w:val="0"/>
      <w:marTop w:val="0"/>
      <w:marBottom w:val="0"/>
      <w:divBdr>
        <w:top w:val="none" w:sz="0" w:space="0" w:color="auto"/>
        <w:left w:val="none" w:sz="0" w:space="0" w:color="auto"/>
        <w:bottom w:val="none" w:sz="0" w:space="0" w:color="auto"/>
        <w:right w:val="none" w:sz="0" w:space="0" w:color="auto"/>
      </w:divBdr>
    </w:div>
    <w:div w:id="1503668203">
      <w:bodyDiv w:val="1"/>
      <w:marLeft w:val="0"/>
      <w:marRight w:val="0"/>
      <w:marTop w:val="0"/>
      <w:marBottom w:val="0"/>
      <w:divBdr>
        <w:top w:val="none" w:sz="0" w:space="0" w:color="auto"/>
        <w:left w:val="none" w:sz="0" w:space="0" w:color="auto"/>
        <w:bottom w:val="none" w:sz="0" w:space="0" w:color="auto"/>
        <w:right w:val="none" w:sz="0" w:space="0" w:color="auto"/>
      </w:divBdr>
    </w:div>
    <w:div w:id="1515879875">
      <w:bodyDiv w:val="1"/>
      <w:marLeft w:val="0"/>
      <w:marRight w:val="0"/>
      <w:marTop w:val="0"/>
      <w:marBottom w:val="0"/>
      <w:divBdr>
        <w:top w:val="none" w:sz="0" w:space="0" w:color="auto"/>
        <w:left w:val="none" w:sz="0" w:space="0" w:color="auto"/>
        <w:bottom w:val="none" w:sz="0" w:space="0" w:color="auto"/>
        <w:right w:val="none" w:sz="0" w:space="0" w:color="auto"/>
      </w:divBdr>
    </w:div>
    <w:div w:id="1521747724">
      <w:bodyDiv w:val="1"/>
      <w:marLeft w:val="0"/>
      <w:marRight w:val="0"/>
      <w:marTop w:val="0"/>
      <w:marBottom w:val="0"/>
      <w:divBdr>
        <w:top w:val="none" w:sz="0" w:space="0" w:color="auto"/>
        <w:left w:val="none" w:sz="0" w:space="0" w:color="auto"/>
        <w:bottom w:val="none" w:sz="0" w:space="0" w:color="auto"/>
        <w:right w:val="none" w:sz="0" w:space="0" w:color="auto"/>
      </w:divBdr>
    </w:div>
    <w:div w:id="1524857545">
      <w:bodyDiv w:val="1"/>
      <w:marLeft w:val="0"/>
      <w:marRight w:val="0"/>
      <w:marTop w:val="0"/>
      <w:marBottom w:val="0"/>
      <w:divBdr>
        <w:top w:val="none" w:sz="0" w:space="0" w:color="auto"/>
        <w:left w:val="none" w:sz="0" w:space="0" w:color="auto"/>
        <w:bottom w:val="none" w:sz="0" w:space="0" w:color="auto"/>
        <w:right w:val="none" w:sz="0" w:space="0" w:color="auto"/>
      </w:divBdr>
    </w:div>
    <w:div w:id="1534029598">
      <w:bodyDiv w:val="1"/>
      <w:marLeft w:val="0"/>
      <w:marRight w:val="0"/>
      <w:marTop w:val="0"/>
      <w:marBottom w:val="0"/>
      <w:divBdr>
        <w:top w:val="none" w:sz="0" w:space="0" w:color="auto"/>
        <w:left w:val="none" w:sz="0" w:space="0" w:color="auto"/>
        <w:bottom w:val="none" w:sz="0" w:space="0" w:color="auto"/>
        <w:right w:val="none" w:sz="0" w:space="0" w:color="auto"/>
      </w:divBdr>
    </w:div>
    <w:div w:id="1553082205">
      <w:bodyDiv w:val="1"/>
      <w:marLeft w:val="0"/>
      <w:marRight w:val="0"/>
      <w:marTop w:val="0"/>
      <w:marBottom w:val="0"/>
      <w:divBdr>
        <w:top w:val="none" w:sz="0" w:space="0" w:color="auto"/>
        <w:left w:val="none" w:sz="0" w:space="0" w:color="auto"/>
        <w:bottom w:val="none" w:sz="0" w:space="0" w:color="auto"/>
        <w:right w:val="none" w:sz="0" w:space="0" w:color="auto"/>
      </w:divBdr>
    </w:div>
    <w:div w:id="1554804174">
      <w:bodyDiv w:val="1"/>
      <w:marLeft w:val="0"/>
      <w:marRight w:val="0"/>
      <w:marTop w:val="0"/>
      <w:marBottom w:val="0"/>
      <w:divBdr>
        <w:top w:val="none" w:sz="0" w:space="0" w:color="auto"/>
        <w:left w:val="none" w:sz="0" w:space="0" w:color="auto"/>
        <w:bottom w:val="none" w:sz="0" w:space="0" w:color="auto"/>
        <w:right w:val="none" w:sz="0" w:space="0" w:color="auto"/>
      </w:divBdr>
    </w:div>
    <w:div w:id="1558786025">
      <w:bodyDiv w:val="1"/>
      <w:marLeft w:val="0"/>
      <w:marRight w:val="0"/>
      <w:marTop w:val="0"/>
      <w:marBottom w:val="0"/>
      <w:divBdr>
        <w:top w:val="none" w:sz="0" w:space="0" w:color="auto"/>
        <w:left w:val="none" w:sz="0" w:space="0" w:color="auto"/>
        <w:bottom w:val="none" w:sz="0" w:space="0" w:color="auto"/>
        <w:right w:val="none" w:sz="0" w:space="0" w:color="auto"/>
      </w:divBdr>
    </w:div>
    <w:div w:id="1576278835">
      <w:bodyDiv w:val="1"/>
      <w:marLeft w:val="0"/>
      <w:marRight w:val="0"/>
      <w:marTop w:val="0"/>
      <w:marBottom w:val="0"/>
      <w:divBdr>
        <w:top w:val="none" w:sz="0" w:space="0" w:color="auto"/>
        <w:left w:val="none" w:sz="0" w:space="0" w:color="auto"/>
        <w:bottom w:val="none" w:sz="0" w:space="0" w:color="auto"/>
        <w:right w:val="none" w:sz="0" w:space="0" w:color="auto"/>
      </w:divBdr>
    </w:div>
    <w:div w:id="1578784415">
      <w:bodyDiv w:val="1"/>
      <w:marLeft w:val="0"/>
      <w:marRight w:val="0"/>
      <w:marTop w:val="0"/>
      <w:marBottom w:val="0"/>
      <w:divBdr>
        <w:top w:val="none" w:sz="0" w:space="0" w:color="auto"/>
        <w:left w:val="none" w:sz="0" w:space="0" w:color="auto"/>
        <w:bottom w:val="none" w:sz="0" w:space="0" w:color="auto"/>
        <w:right w:val="none" w:sz="0" w:space="0" w:color="auto"/>
      </w:divBdr>
    </w:div>
    <w:div w:id="1604680872">
      <w:bodyDiv w:val="1"/>
      <w:marLeft w:val="0"/>
      <w:marRight w:val="0"/>
      <w:marTop w:val="0"/>
      <w:marBottom w:val="0"/>
      <w:divBdr>
        <w:top w:val="none" w:sz="0" w:space="0" w:color="auto"/>
        <w:left w:val="none" w:sz="0" w:space="0" w:color="auto"/>
        <w:bottom w:val="none" w:sz="0" w:space="0" w:color="auto"/>
        <w:right w:val="none" w:sz="0" w:space="0" w:color="auto"/>
      </w:divBdr>
    </w:div>
    <w:div w:id="1607151614">
      <w:bodyDiv w:val="1"/>
      <w:marLeft w:val="0"/>
      <w:marRight w:val="0"/>
      <w:marTop w:val="0"/>
      <w:marBottom w:val="0"/>
      <w:divBdr>
        <w:top w:val="none" w:sz="0" w:space="0" w:color="auto"/>
        <w:left w:val="none" w:sz="0" w:space="0" w:color="auto"/>
        <w:bottom w:val="none" w:sz="0" w:space="0" w:color="auto"/>
        <w:right w:val="none" w:sz="0" w:space="0" w:color="auto"/>
      </w:divBdr>
    </w:div>
    <w:div w:id="1618416104">
      <w:bodyDiv w:val="1"/>
      <w:marLeft w:val="0"/>
      <w:marRight w:val="0"/>
      <w:marTop w:val="0"/>
      <w:marBottom w:val="0"/>
      <w:divBdr>
        <w:top w:val="none" w:sz="0" w:space="0" w:color="auto"/>
        <w:left w:val="none" w:sz="0" w:space="0" w:color="auto"/>
        <w:bottom w:val="none" w:sz="0" w:space="0" w:color="auto"/>
        <w:right w:val="none" w:sz="0" w:space="0" w:color="auto"/>
      </w:divBdr>
    </w:div>
    <w:div w:id="1626503002">
      <w:bodyDiv w:val="1"/>
      <w:marLeft w:val="0"/>
      <w:marRight w:val="0"/>
      <w:marTop w:val="0"/>
      <w:marBottom w:val="0"/>
      <w:divBdr>
        <w:top w:val="none" w:sz="0" w:space="0" w:color="auto"/>
        <w:left w:val="none" w:sz="0" w:space="0" w:color="auto"/>
        <w:bottom w:val="none" w:sz="0" w:space="0" w:color="auto"/>
        <w:right w:val="none" w:sz="0" w:space="0" w:color="auto"/>
      </w:divBdr>
    </w:div>
    <w:div w:id="1644962944">
      <w:bodyDiv w:val="1"/>
      <w:marLeft w:val="0"/>
      <w:marRight w:val="0"/>
      <w:marTop w:val="0"/>
      <w:marBottom w:val="0"/>
      <w:divBdr>
        <w:top w:val="none" w:sz="0" w:space="0" w:color="auto"/>
        <w:left w:val="none" w:sz="0" w:space="0" w:color="auto"/>
        <w:bottom w:val="none" w:sz="0" w:space="0" w:color="auto"/>
        <w:right w:val="none" w:sz="0" w:space="0" w:color="auto"/>
      </w:divBdr>
    </w:div>
    <w:div w:id="1661422053">
      <w:bodyDiv w:val="1"/>
      <w:marLeft w:val="0"/>
      <w:marRight w:val="0"/>
      <w:marTop w:val="0"/>
      <w:marBottom w:val="0"/>
      <w:divBdr>
        <w:top w:val="none" w:sz="0" w:space="0" w:color="auto"/>
        <w:left w:val="none" w:sz="0" w:space="0" w:color="auto"/>
        <w:bottom w:val="none" w:sz="0" w:space="0" w:color="auto"/>
        <w:right w:val="none" w:sz="0" w:space="0" w:color="auto"/>
      </w:divBdr>
    </w:div>
    <w:div w:id="1663121034">
      <w:bodyDiv w:val="1"/>
      <w:marLeft w:val="0"/>
      <w:marRight w:val="0"/>
      <w:marTop w:val="0"/>
      <w:marBottom w:val="0"/>
      <w:divBdr>
        <w:top w:val="none" w:sz="0" w:space="0" w:color="auto"/>
        <w:left w:val="none" w:sz="0" w:space="0" w:color="auto"/>
        <w:bottom w:val="none" w:sz="0" w:space="0" w:color="auto"/>
        <w:right w:val="none" w:sz="0" w:space="0" w:color="auto"/>
      </w:divBdr>
    </w:div>
    <w:div w:id="1663972750">
      <w:bodyDiv w:val="1"/>
      <w:marLeft w:val="0"/>
      <w:marRight w:val="0"/>
      <w:marTop w:val="0"/>
      <w:marBottom w:val="0"/>
      <w:divBdr>
        <w:top w:val="none" w:sz="0" w:space="0" w:color="auto"/>
        <w:left w:val="none" w:sz="0" w:space="0" w:color="auto"/>
        <w:bottom w:val="none" w:sz="0" w:space="0" w:color="auto"/>
        <w:right w:val="none" w:sz="0" w:space="0" w:color="auto"/>
      </w:divBdr>
    </w:div>
    <w:div w:id="1665737857">
      <w:bodyDiv w:val="1"/>
      <w:marLeft w:val="0"/>
      <w:marRight w:val="0"/>
      <w:marTop w:val="0"/>
      <w:marBottom w:val="0"/>
      <w:divBdr>
        <w:top w:val="none" w:sz="0" w:space="0" w:color="auto"/>
        <w:left w:val="none" w:sz="0" w:space="0" w:color="auto"/>
        <w:bottom w:val="none" w:sz="0" w:space="0" w:color="auto"/>
        <w:right w:val="none" w:sz="0" w:space="0" w:color="auto"/>
      </w:divBdr>
    </w:div>
    <w:div w:id="1665864340">
      <w:bodyDiv w:val="1"/>
      <w:marLeft w:val="0"/>
      <w:marRight w:val="0"/>
      <w:marTop w:val="0"/>
      <w:marBottom w:val="0"/>
      <w:divBdr>
        <w:top w:val="none" w:sz="0" w:space="0" w:color="auto"/>
        <w:left w:val="none" w:sz="0" w:space="0" w:color="auto"/>
        <w:bottom w:val="none" w:sz="0" w:space="0" w:color="auto"/>
        <w:right w:val="none" w:sz="0" w:space="0" w:color="auto"/>
      </w:divBdr>
    </w:div>
    <w:div w:id="1666974192">
      <w:bodyDiv w:val="1"/>
      <w:marLeft w:val="0"/>
      <w:marRight w:val="0"/>
      <w:marTop w:val="0"/>
      <w:marBottom w:val="0"/>
      <w:divBdr>
        <w:top w:val="none" w:sz="0" w:space="0" w:color="auto"/>
        <w:left w:val="none" w:sz="0" w:space="0" w:color="auto"/>
        <w:bottom w:val="none" w:sz="0" w:space="0" w:color="auto"/>
        <w:right w:val="none" w:sz="0" w:space="0" w:color="auto"/>
      </w:divBdr>
    </w:div>
    <w:div w:id="1671327307">
      <w:bodyDiv w:val="1"/>
      <w:marLeft w:val="0"/>
      <w:marRight w:val="0"/>
      <w:marTop w:val="0"/>
      <w:marBottom w:val="0"/>
      <w:divBdr>
        <w:top w:val="none" w:sz="0" w:space="0" w:color="auto"/>
        <w:left w:val="none" w:sz="0" w:space="0" w:color="auto"/>
        <w:bottom w:val="none" w:sz="0" w:space="0" w:color="auto"/>
        <w:right w:val="none" w:sz="0" w:space="0" w:color="auto"/>
      </w:divBdr>
    </w:div>
    <w:div w:id="1673877397">
      <w:bodyDiv w:val="1"/>
      <w:marLeft w:val="0"/>
      <w:marRight w:val="0"/>
      <w:marTop w:val="0"/>
      <w:marBottom w:val="0"/>
      <w:divBdr>
        <w:top w:val="none" w:sz="0" w:space="0" w:color="auto"/>
        <w:left w:val="none" w:sz="0" w:space="0" w:color="auto"/>
        <w:bottom w:val="none" w:sz="0" w:space="0" w:color="auto"/>
        <w:right w:val="none" w:sz="0" w:space="0" w:color="auto"/>
      </w:divBdr>
    </w:div>
    <w:div w:id="1681617549">
      <w:bodyDiv w:val="1"/>
      <w:marLeft w:val="0"/>
      <w:marRight w:val="0"/>
      <w:marTop w:val="0"/>
      <w:marBottom w:val="0"/>
      <w:divBdr>
        <w:top w:val="none" w:sz="0" w:space="0" w:color="auto"/>
        <w:left w:val="none" w:sz="0" w:space="0" w:color="auto"/>
        <w:bottom w:val="none" w:sz="0" w:space="0" w:color="auto"/>
        <w:right w:val="none" w:sz="0" w:space="0" w:color="auto"/>
      </w:divBdr>
    </w:div>
    <w:div w:id="1690795532">
      <w:bodyDiv w:val="1"/>
      <w:marLeft w:val="0"/>
      <w:marRight w:val="0"/>
      <w:marTop w:val="0"/>
      <w:marBottom w:val="0"/>
      <w:divBdr>
        <w:top w:val="none" w:sz="0" w:space="0" w:color="auto"/>
        <w:left w:val="none" w:sz="0" w:space="0" w:color="auto"/>
        <w:bottom w:val="none" w:sz="0" w:space="0" w:color="auto"/>
        <w:right w:val="none" w:sz="0" w:space="0" w:color="auto"/>
      </w:divBdr>
    </w:div>
    <w:div w:id="1695106060">
      <w:bodyDiv w:val="1"/>
      <w:marLeft w:val="0"/>
      <w:marRight w:val="0"/>
      <w:marTop w:val="0"/>
      <w:marBottom w:val="0"/>
      <w:divBdr>
        <w:top w:val="none" w:sz="0" w:space="0" w:color="auto"/>
        <w:left w:val="none" w:sz="0" w:space="0" w:color="auto"/>
        <w:bottom w:val="none" w:sz="0" w:space="0" w:color="auto"/>
        <w:right w:val="none" w:sz="0" w:space="0" w:color="auto"/>
      </w:divBdr>
    </w:div>
    <w:div w:id="1703171433">
      <w:bodyDiv w:val="1"/>
      <w:marLeft w:val="0"/>
      <w:marRight w:val="0"/>
      <w:marTop w:val="0"/>
      <w:marBottom w:val="0"/>
      <w:divBdr>
        <w:top w:val="none" w:sz="0" w:space="0" w:color="auto"/>
        <w:left w:val="none" w:sz="0" w:space="0" w:color="auto"/>
        <w:bottom w:val="none" w:sz="0" w:space="0" w:color="auto"/>
        <w:right w:val="none" w:sz="0" w:space="0" w:color="auto"/>
      </w:divBdr>
    </w:div>
    <w:div w:id="1706057920">
      <w:bodyDiv w:val="1"/>
      <w:marLeft w:val="0"/>
      <w:marRight w:val="0"/>
      <w:marTop w:val="0"/>
      <w:marBottom w:val="0"/>
      <w:divBdr>
        <w:top w:val="none" w:sz="0" w:space="0" w:color="auto"/>
        <w:left w:val="none" w:sz="0" w:space="0" w:color="auto"/>
        <w:bottom w:val="none" w:sz="0" w:space="0" w:color="auto"/>
        <w:right w:val="none" w:sz="0" w:space="0" w:color="auto"/>
      </w:divBdr>
    </w:div>
    <w:div w:id="1709179214">
      <w:bodyDiv w:val="1"/>
      <w:marLeft w:val="0"/>
      <w:marRight w:val="0"/>
      <w:marTop w:val="0"/>
      <w:marBottom w:val="0"/>
      <w:divBdr>
        <w:top w:val="none" w:sz="0" w:space="0" w:color="auto"/>
        <w:left w:val="none" w:sz="0" w:space="0" w:color="auto"/>
        <w:bottom w:val="none" w:sz="0" w:space="0" w:color="auto"/>
        <w:right w:val="none" w:sz="0" w:space="0" w:color="auto"/>
      </w:divBdr>
    </w:div>
    <w:div w:id="1728608841">
      <w:bodyDiv w:val="1"/>
      <w:marLeft w:val="0"/>
      <w:marRight w:val="0"/>
      <w:marTop w:val="0"/>
      <w:marBottom w:val="0"/>
      <w:divBdr>
        <w:top w:val="none" w:sz="0" w:space="0" w:color="auto"/>
        <w:left w:val="none" w:sz="0" w:space="0" w:color="auto"/>
        <w:bottom w:val="none" w:sz="0" w:space="0" w:color="auto"/>
        <w:right w:val="none" w:sz="0" w:space="0" w:color="auto"/>
      </w:divBdr>
    </w:div>
    <w:div w:id="1732264225">
      <w:bodyDiv w:val="1"/>
      <w:marLeft w:val="0"/>
      <w:marRight w:val="0"/>
      <w:marTop w:val="0"/>
      <w:marBottom w:val="0"/>
      <w:divBdr>
        <w:top w:val="none" w:sz="0" w:space="0" w:color="auto"/>
        <w:left w:val="none" w:sz="0" w:space="0" w:color="auto"/>
        <w:bottom w:val="none" w:sz="0" w:space="0" w:color="auto"/>
        <w:right w:val="none" w:sz="0" w:space="0" w:color="auto"/>
      </w:divBdr>
    </w:div>
    <w:div w:id="1741900677">
      <w:bodyDiv w:val="1"/>
      <w:marLeft w:val="0"/>
      <w:marRight w:val="0"/>
      <w:marTop w:val="0"/>
      <w:marBottom w:val="0"/>
      <w:divBdr>
        <w:top w:val="none" w:sz="0" w:space="0" w:color="auto"/>
        <w:left w:val="none" w:sz="0" w:space="0" w:color="auto"/>
        <w:bottom w:val="none" w:sz="0" w:space="0" w:color="auto"/>
        <w:right w:val="none" w:sz="0" w:space="0" w:color="auto"/>
      </w:divBdr>
    </w:div>
    <w:div w:id="1743258779">
      <w:bodyDiv w:val="1"/>
      <w:marLeft w:val="0"/>
      <w:marRight w:val="0"/>
      <w:marTop w:val="0"/>
      <w:marBottom w:val="0"/>
      <w:divBdr>
        <w:top w:val="none" w:sz="0" w:space="0" w:color="auto"/>
        <w:left w:val="none" w:sz="0" w:space="0" w:color="auto"/>
        <w:bottom w:val="none" w:sz="0" w:space="0" w:color="auto"/>
        <w:right w:val="none" w:sz="0" w:space="0" w:color="auto"/>
      </w:divBdr>
    </w:div>
    <w:div w:id="1746105722">
      <w:bodyDiv w:val="1"/>
      <w:marLeft w:val="0"/>
      <w:marRight w:val="0"/>
      <w:marTop w:val="0"/>
      <w:marBottom w:val="0"/>
      <w:divBdr>
        <w:top w:val="none" w:sz="0" w:space="0" w:color="auto"/>
        <w:left w:val="none" w:sz="0" w:space="0" w:color="auto"/>
        <w:bottom w:val="none" w:sz="0" w:space="0" w:color="auto"/>
        <w:right w:val="none" w:sz="0" w:space="0" w:color="auto"/>
      </w:divBdr>
    </w:div>
    <w:div w:id="1748259985">
      <w:bodyDiv w:val="1"/>
      <w:marLeft w:val="0"/>
      <w:marRight w:val="0"/>
      <w:marTop w:val="0"/>
      <w:marBottom w:val="0"/>
      <w:divBdr>
        <w:top w:val="none" w:sz="0" w:space="0" w:color="auto"/>
        <w:left w:val="none" w:sz="0" w:space="0" w:color="auto"/>
        <w:bottom w:val="none" w:sz="0" w:space="0" w:color="auto"/>
        <w:right w:val="none" w:sz="0" w:space="0" w:color="auto"/>
      </w:divBdr>
    </w:div>
    <w:div w:id="1748840629">
      <w:bodyDiv w:val="1"/>
      <w:marLeft w:val="0"/>
      <w:marRight w:val="0"/>
      <w:marTop w:val="0"/>
      <w:marBottom w:val="0"/>
      <w:divBdr>
        <w:top w:val="none" w:sz="0" w:space="0" w:color="auto"/>
        <w:left w:val="none" w:sz="0" w:space="0" w:color="auto"/>
        <w:bottom w:val="none" w:sz="0" w:space="0" w:color="auto"/>
        <w:right w:val="none" w:sz="0" w:space="0" w:color="auto"/>
      </w:divBdr>
    </w:div>
    <w:div w:id="1767143127">
      <w:bodyDiv w:val="1"/>
      <w:marLeft w:val="0"/>
      <w:marRight w:val="0"/>
      <w:marTop w:val="0"/>
      <w:marBottom w:val="0"/>
      <w:divBdr>
        <w:top w:val="none" w:sz="0" w:space="0" w:color="auto"/>
        <w:left w:val="none" w:sz="0" w:space="0" w:color="auto"/>
        <w:bottom w:val="none" w:sz="0" w:space="0" w:color="auto"/>
        <w:right w:val="none" w:sz="0" w:space="0" w:color="auto"/>
      </w:divBdr>
    </w:div>
    <w:div w:id="1774739806">
      <w:bodyDiv w:val="1"/>
      <w:marLeft w:val="0"/>
      <w:marRight w:val="0"/>
      <w:marTop w:val="0"/>
      <w:marBottom w:val="0"/>
      <w:divBdr>
        <w:top w:val="none" w:sz="0" w:space="0" w:color="auto"/>
        <w:left w:val="none" w:sz="0" w:space="0" w:color="auto"/>
        <w:bottom w:val="none" w:sz="0" w:space="0" w:color="auto"/>
        <w:right w:val="none" w:sz="0" w:space="0" w:color="auto"/>
      </w:divBdr>
    </w:div>
    <w:div w:id="1791362275">
      <w:bodyDiv w:val="1"/>
      <w:marLeft w:val="0"/>
      <w:marRight w:val="0"/>
      <w:marTop w:val="0"/>
      <w:marBottom w:val="0"/>
      <w:divBdr>
        <w:top w:val="none" w:sz="0" w:space="0" w:color="auto"/>
        <w:left w:val="none" w:sz="0" w:space="0" w:color="auto"/>
        <w:bottom w:val="none" w:sz="0" w:space="0" w:color="auto"/>
        <w:right w:val="none" w:sz="0" w:space="0" w:color="auto"/>
      </w:divBdr>
    </w:div>
    <w:div w:id="1797331272">
      <w:bodyDiv w:val="1"/>
      <w:marLeft w:val="0"/>
      <w:marRight w:val="0"/>
      <w:marTop w:val="0"/>
      <w:marBottom w:val="0"/>
      <w:divBdr>
        <w:top w:val="none" w:sz="0" w:space="0" w:color="auto"/>
        <w:left w:val="none" w:sz="0" w:space="0" w:color="auto"/>
        <w:bottom w:val="none" w:sz="0" w:space="0" w:color="auto"/>
        <w:right w:val="none" w:sz="0" w:space="0" w:color="auto"/>
      </w:divBdr>
    </w:div>
    <w:div w:id="1807047629">
      <w:bodyDiv w:val="1"/>
      <w:marLeft w:val="0"/>
      <w:marRight w:val="0"/>
      <w:marTop w:val="0"/>
      <w:marBottom w:val="0"/>
      <w:divBdr>
        <w:top w:val="none" w:sz="0" w:space="0" w:color="auto"/>
        <w:left w:val="none" w:sz="0" w:space="0" w:color="auto"/>
        <w:bottom w:val="none" w:sz="0" w:space="0" w:color="auto"/>
        <w:right w:val="none" w:sz="0" w:space="0" w:color="auto"/>
      </w:divBdr>
    </w:div>
    <w:div w:id="1810316919">
      <w:bodyDiv w:val="1"/>
      <w:marLeft w:val="0"/>
      <w:marRight w:val="0"/>
      <w:marTop w:val="0"/>
      <w:marBottom w:val="0"/>
      <w:divBdr>
        <w:top w:val="none" w:sz="0" w:space="0" w:color="auto"/>
        <w:left w:val="none" w:sz="0" w:space="0" w:color="auto"/>
        <w:bottom w:val="none" w:sz="0" w:space="0" w:color="auto"/>
        <w:right w:val="none" w:sz="0" w:space="0" w:color="auto"/>
      </w:divBdr>
    </w:div>
    <w:div w:id="1838304893">
      <w:bodyDiv w:val="1"/>
      <w:marLeft w:val="0"/>
      <w:marRight w:val="0"/>
      <w:marTop w:val="0"/>
      <w:marBottom w:val="0"/>
      <w:divBdr>
        <w:top w:val="none" w:sz="0" w:space="0" w:color="auto"/>
        <w:left w:val="none" w:sz="0" w:space="0" w:color="auto"/>
        <w:bottom w:val="none" w:sz="0" w:space="0" w:color="auto"/>
        <w:right w:val="none" w:sz="0" w:space="0" w:color="auto"/>
      </w:divBdr>
    </w:div>
    <w:div w:id="1848707634">
      <w:bodyDiv w:val="1"/>
      <w:marLeft w:val="0"/>
      <w:marRight w:val="0"/>
      <w:marTop w:val="0"/>
      <w:marBottom w:val="0"/>
      <w:divBdr>
        <w:top w:val="none" w:sz="0" w:space="0" w:color="auto"/>
        <w:left w:val="none" w:sz="0" w:space="0" w:color="auto"/>
        <w:bottom w:val="none" w:sz="0" w:space="0" w:color="auto"/>
        <w:right w:val="none" w:sz="0" w:space="0" w:color="auto"/>
      </w:divBdr>
    </w:div>
    <w:div w:id="1849439976">
      <w:bodyDiv w:val="1"/>
      <w:marLeft w:val="0"/>
      <w:marRight w:val="0"/>
      <w:marTop w:val="0"/>
      <w:marBottom w:val="0"/>
      <w:divBdr>
        <w:top w:val="none" w:sz="0" w:space="0" w:color="auto"/>
        <w:left w:val="none" w:sz="0" w:space="0" w:color="auto"/>
        <w:bottom w:val="none" w:sz="0" w:space="0" w:color="auto"/>
        <w:right w:val="none" w:sz="0" w:space="0" w:color="auto"/>
      </w:divBdr>
    </w:div>
    <w:div w:id="1855462383">
      <w:bodyDiv w:val="1"/>
      <w:marLeft w:val="0"/>
      <w:marRight w:val="0"/>
      <w:marTop w:val="0"/>
      <w:marBottom w:val="0"/>
      <w:divBdr>
        <w:top w:val="none" w:sz="0" w:space="0" w:color="auto"/>
        <w:left w:val="none" w:sz="0" w:space="0" w:color="auto"/>
        <w:bottom w:val="none" w:sz="0" w:space="0" w:color="auto"/>
        <w:right w:val="none" w:sz="0" w:space="0" w:color="auto"/>
      </w:divBdr>
    </w:div>
    <w:div w:id="1857692890">
      <w:bodyDiv w:val="1"/>
      <w:marLeft w:val="0"/>
      <w:marRight w:val="0"/>
      <w:marTop w:val="0"/>
      <w:marBottom w:val="0"/>
      <w:divBdr>
        <w:top w:val="none" w:sz="0" w:space="0" w:color="auto"/>
        <w:left w:val="none" w:sz="0" w:space="0" w:color="auto"/>
        <w:bottom w:val="none" w:sz="0" w:space="0" w:color="auto"/>
        <w:right w:val="none" w:sz="0" w:space="0" w:color="auto"/>
      </w:divBdr>
    </w:div>
    <w:div w:id="1861312868">
      <w:bodyDiv w:val="1"/>
      <w:marLeft w:val="0"/>
      <w:marRight w:val="0"/>
      <w:marTop w:val="0"/>
      <w:marBottom w:val="0"/>
      <w:divBdr>
        <w:top w:val="none" w:sz="0" w:space="0" w:color="auto"/>
        <w:left w:val="none" w:sz="0" w:space="0" w:color="auto"/>
        <w:bottom w:val="none" w:sz="0" w:space="0" w:color="auto"/>
        <w:right w:val="none" w:sz="0" w:space="0" w:color="auto"/>
      </w:divBdr>
    </w:div>
    <w:div w:id="1864514365">
      <w:bodyDiv w:val="1"/>
      <w:marLeft w:val="0"/>
      <w:marRight w:val="0"/>
      <w:marTop w:val="0"/>
      <w:marBottom w:val="0"/>
      <w:divBdr>
        <w:top w:val="none" w:sz="0" w:space="0" w:color="auto"/>
        <w:left w:val="none" w:sz="0" w:space="0" w:color="auto"/>
        <w:bottom w:val="none" w:sz="0" w:space="0" w:color="auto"/>
        <w:right w:val="none" w:sz="0" w:space="0" w:color="auto"/>
      </w:divBdr>
    </w:div>
    <w:div w:id="1888174416">
      <w:bodyDiv w:val="1"/>
      <w:marLeft w:val="0"/>
      <w:marRight w:val="0"/>
      <w:marTop w:val="0"/>
      <w:marBottom w:val="0"/>
      <w:divBdr>
        <w:top w:val="none" w:sz="0" w:space="0" w:color="auto"/>
        <w:left w:val="none" w:sz="0" w:space="0" w:color="auto"/>
        <w:bottom w:val="none" w:sz="0" w:space="0" w:color="auto"/>
        <w:right w:val="none" w:sz="0" w:space="0" w:color="auto"/>
      </w:divBdr>
    </w:div>
    <w:div w:id="1908153157">
      <w:bodyDiv w:val="1"/>
      <w:marLeft w:val="0"/>
      <w:marRight w:val="0"/>
      <w:marTop w:val="0"/>
      <w:marBottom w:val="0"/>
      <w:divBdr>
        <w:top w:val="none" w:sz="0" w:space="0" w:color="auto"/>
        <w:left w:val="none" w:sz="0" w:space="0" w:color="auto"/>
        <w:bottom w:val="none" w:sz="0" w:space="0" w:color="auto"/>
        <w:right w:val="none" w:sz="0" w:space="0" w:color="auto"/>
      </w:divBdr>
    </w:div>
    <w:div w:id="1924298691">
      <w:bodyDiv w:val="1"/>
      <w:marLeft w:val="0"/>
      <w:marRight w:val="0"/>
      <w:marTop w:val="0"/>
      <w:marBottom w:val="0"/>
      <w:divBdr>
        <w:top w:val="none" w:sz="0" w:space="0" w:color="auto"/>
        <w:left w:val="none" w:sz="0" w:space="0" w:color="auto"/>
        <w:bottom w:val="none" w:sz="0" w:space="0" w:color="auto"/>
        <w:right w:val="none" w:sz="0" w:space="0" w:color="auto"/>
      </w:divBdr>
    </w:div>
    <w:div w:id="1934124885">
      <w:bodyDiv w:val="1"/>
      <w:marLeft w:val="0"/>
      <w:marRight w:val="0"/>
      <w:marTop w:val="0"/>
      <w:marBottom w:val="0"/>
      <w:divBdr>
        <w:top w:val="none" w:sz="0" w:space="0" w:color="auto"/>
        <w:left w:val="none" w:sz="0" w:space="0" w:color="auto"/>
        <w:bottom w:val="none" w:sz="0" w:space="0" w:color="auto"/>
        <w:right w:val="none" w:sz="0" w:space="0" w:color="auto"/>
      </w:divBdr>
    </w:div>
    <w:div w:id="1936282542">
      <w:bodyDiv w:val="1"/>
      <w:marLeft w:val="0"/>
      <w:marRight w:val="0"/>
      <w:marTop w:val="0"/>
      <w:marBottom w:val="0"/>
      <w:divBdr>
        <w:top w:val="none" w:sz="0" w:space="0" w:color="auto"/>
        <w:left w:val="none" w:sz="0" w:space="0" w:color="auto"/>
        <w:bottom w:val="none" w:sz="0" w:space="0" w:color="auto"/>
        <w:right w:val="none" w:sz="0" w:space="0" w:color="auto"/>
      </w:divBdr>
    </w:div>
    <w:div w:id="1943142951">
      <w:bodyDiv w:val="1"/>
      <w:marLeft w:val="0"/>
      <w:marRight w:val="0"/>
      <w:marTop w:val="0"/>
      <w:marBottom w:val="0"/>
      <w:divBdr>
        <w:top w:val="none" w:sz="0" w:space="0" w:color="auto"/>
        <w:left w:val="none" w:sz="0" w:space="0" w:color="auto"/>
        <w:bottom w:val="none" w:sz="0" w:space="0" w:color="auto"/>
        <w:right w:val="none" w:sz="0" w:space="0" w:color="auto"/>
      </w:divBdr>
    </w:div>
    <w:div w:id="1955819805">
      <w:bodyDiv w:val="1"/>
      <w:marLeft w:val="0"/>
      <w:marRight w:val="0"/>
      <w:marTop w:val="0"/>
      <w:marBottom w:val="0"/>
      <w:divBdr>
        <w:top w:val="none" w:sz="0" w:space="0" w:color="auto"/>
        <w:left w:val="none" w:sz="0" w:space="0" w:color="auto"/>
        <w:bottom w:val="none" w:sz="0" w:space="0" w:color="auto"/>
        <w:right w:val="none" w:sz="0" w:space="0" w:color="auto"/>
      </w:divBdr>
    </w:div>
    <w:div w:id="1968118737">
      <w:bodyDiv w:val="1"/>
      <w:marLeft w:val="0"/>
      <w:marRight w:val="0"/>
      <w:marTop w:val="0"/>
      <w:marBottom w:val="0"/>
      <w:divBdr>
        <w:top w:val="none" w:sz="0" w:space="0" w:color="auto"/>
        <w:left w:val="none" w:sz="0" w:space="0" w:color="auto"/>
        <w:bottom w:val="none" w:sz="0" w:space="0" w:color="auto"/>
        <w:right w:val="none" w:sz="0" w:space="0" w:color="auto"/>
      </w:divBdr>
    </w:div>
    <w:div w:id="1985768369">
      <w:bodyDiv w:val="1"/>
      <w:marLeft w:val="0"/>
      <w:marRight w:val="0"/>
      <w:marTop w:val="0"/>
      <w:marBottom w:val="0"/>
      <w:divBdr>
        <w:top w:val="none" w:sz="0" w:space="0" w:color="auto"/>
        <w:left w:val="none" w:sz="0" w:space="0" w:color="auto"/>
        <w:bottom w:val="none" w:sz="0" w:space="0" w:color="auto"/>
        <w:right w:val="none" w:sz="0" w:space="0" w:color="auto"/>
      </w:divBdr>
    </w:div>
    <w:div w:id="1986154171">
      <w:bodyDiv w:val="1"/>
      <w:marLeft w:val="0"/>
      <w:marRight w:val="0"/>
      <w:marTop w:val="0"/>
      <w:marBottom w:val="0"/>
      <w:divBdr>
        <w:top w:val="none" w:sz="0" w:space="0" w:color="auto"/>
        <w:left w:val="none" w:sz="0" w:space="0" w:color="auto"/>
        <w:bottom w:val="none" w:sz="0" w:space="0" w:color="auto"/>
        <w:right w:val="none" w:sz="0" w:space="0" w:color="auto"/>
      </w:divBdr>
    </w:div>
    <w:div w:id="2007317065">
      <w:bodyDiv w:val="1"/>
      <w:marLeft w:val="0"/>
      <w:marRight w:val="0"/>
      <w:marTop w:val="0"/>
      <w:marBottom w:val="0"/>
      <w:divBdr>
        <w:top w:val="none" w:sz="0" w:space="0" w:color="auto"/>
        <w:left w:val="none" w:sz="0" w:space="0" w:color="auto"/>
        <w:bottom w:val="none" w:sz="0" w:space="0" w:color="auto"/>
        <w:right w:val="none" w:sz="0" w:space="0" w:color="auto"/>
      </w:divBdr>
    </w:div>
    <w:div w:id="2011903436">
      <w:bodyDiv w:val="1"/>
      <w:marLeft w:val="0"/>
      <w:marRight w:val="0"/>
      <w:marTop w:val="0"/>
      <w:marBottom w:val="0"/>
      <w:divBdr>
        <w:top w:val="none" w:sz="0" w:space="0" w:color="auto"/>
        <w:left w:val="none" w:sz="0" w:space="0" w:color="auto"/>
        <w:bottom w:val="none" w:sz="0" w:space="0" w:color="auto"/>
        <w:right w:val="none" w:sz="0" w:space="0" w:color="auto"/>
      </w:divBdr>
    </w:div>
    <w:div w:id="2012290288">
      <w:bodyDiv w:val="1"/>
      <w:marLeft w:val="0"/>
      <w:marRight w:val="0"/>
      <w:marTop w:val="0"/>
      <w:marBottom w:val="0"/>
      <w:divBdr>
        <w:top w:val="none" w:sz="0" w:space="0" w:color="auto"/>
        <w:left w:val="none" w:sz="0" w:space="0" w:color="auto"/>
        <w:bottom w:val="none" w:sz="0" w:space="0" w:color="auto"/>
        <w:right w:val="none" w:sz="0" w:space="0" w:color="auto"/>
      </w:divBdr>
    </w:div>
    <w:div w:id="2054110711">
      <w:bodyDiv w:val="1"/>
      <w:marLeft w:val="0"/>
      <w:marRight w:val="0"/>
      <w:marTop w:val="0"/>
      <w:marBottom w:val="0"/>
      <w:divBdr>
        <w:top w:val="none" w:sz="0" w:space="0" w:color="auto"/>
        <w:left w:val="none" w:sz="0" w:space="0" w:color="auto"/>
        <w:bottom w:val="none" w:sz="0" w:space="0" w:color="auto"/>
        <w:right w:val="none" w:sz="0" w:space="0" w:color="auto"/>
      </w:divBdr>
    </w:div>
    <w:div w:id="2071614879">
      <w:bodyDiv w:val="1"/>
      <w:marLeft w:val="0"/>
      <w:marRight w:val="0"/>
      <w:marTop w:val="0"/>
      <w:marBottom w:val="0"/>
      <w:divBdr>
        <w:top w:val="none" w:sz="0" w:space="0" w:color="auto"/>
        <w:left w:val="none" w:sz="0" w:space="0" w:color="auto"/>
        <w:bottom w:val="none" w:sz="0" w:space="0" w:color="auto"/>
        <w:right w:val="none" w:sz="0" w:space="0" w:color="auto"/>
      </w:divBdr>
    </w:div>
    <w:div w:id="2096781295">
      <w:bodyDiv w:val="1"/>
      <w:marLeft w:val="0"/>
      <w:marRight w:val="0"/>
      <w:marTop w:val="0"/>
      <w:marBottom w:val="0"/>
      <w:divBdr>
        <w:top w:val="none" w:sz="0" w:space="0" w:color="auto"/>
        <w:left w:val="none" w:sz="0" w:space="0" w:color="auto"/>
        <w:bottom w:val="none" w:sz="0" w:space="0" w:color="auto"/>
        <w:right w:val="none" w:sz="0" w:space="0" w:color="auto"/>
      </w:divBdr>
    </w:div>
    <w:div w:id="2102604109">
      <w:bodyDiv w:val="1"/>
      <w:marLeft w:val="0"/>
      <w:marRight w:val="0"/>
      <w:marTop w:val="0"/>
      <w:marBottom w:val="0"/>
      <w:divBdr>
        <w:top w:val="none" w:sz="0" w:space="0" w:color="auto"/>
        <w:left w:val="none" w:sz="0" w:space="0" w:color="auto"/>
        <w:bottom w:val="none" w:sz="0" w:space="0" w:color="auto"/>
        <w:right w:val="none" w:sz="0" w:space="0" w:color="auto"/>
      </w:divBdr>
    </w:div>
    <w:div w:id="2110159241">
      <w:bodyDiv w:val="1"/>
      <w:marLeft w:val="0"/>
      <w:marRight w:val="0"/>
      <w:marTop w:val="0"/>
      <w:marBottom w:val="0"/>
      <w:divBdr>
        <w:top w:val="none" w:sz="0" w:space="0" w:color="auto"/>
        <w:left w:val="none" w:sz="0" w:space="0" w:color="auto"/>
        <w:bottom w:val="none" w:sz="0" w:space="0" w:color="auto"/>
        <w:right w:val="none" w:sz="0" w:space="0" w:color="auto"/>
      </w:divBdr>
    </w:div>
    <w:div w:id="2111386547">
      <w:bodyDiv w:val="1"/>
      <w:marLeft w:val="0"/>
      <w:marRight w:val="0"/>
      <w:marTop w:val="0"/>
      <w:marBottom w:val="0"/>
      <w:divBdr>
        <w:top w:val="none" w:sz="0" w:space="0" w:color="auto"/>
        <w:left w:val="none" w:sz="0" w:space="0" w:color="auto"/>
        <w:bottom w:val="none" w:sz="0" w:space="0" w:color="auto"/>
        <w:right w:val="none" w:sz="0" w:space="0" w:color="auto"/>
      </w:divBdr>
    </w:div>
    <w:div w:id="2113864328">
      <w:bodyDiv w:val="1"/>
      <w:marLeft w:val="0"/>
      <w:marRight w:val="0"/>
      <w:marTop w:val="0"/>
      <w:marBottom w:val="0"/>
      <w:divBdr>
        <w:top w:val="none" w:sz="0" w:space="0" w:color="auto"/>
        <w:left w:val="none" w:sz="0" w:space="0" w:color="auto"/>
        <w:bottom w:val="none" w:sz="0" w:space="0" w:color="auto"/>
        <w:right w:val="none" w:sz="0" w:space="0" w:color="auto"/>
      </w:divBdr>
    </w:div>
    <w:div w:id="2118131790">
      <w:bodyDiv w:val="1"/>
      <w:marLeft w:val="0"/>
      <w:marRight w:val="0"/>
      <w:marTop w:val="0"/>
      <w:marBottom w:val="0"/>
      <w:divBdr>
        <w:top w:val="none" w:sz="0" w:space="0" w:color="auto"/>
        <w:left w:val="none" w:sz="0" w:space="0" w:color="auto"/>
        <w:bottom w:val="none" w:sz="0" w:space="0" w:color="auto"/>
        <w:right w:val="none" w:sz="0" w:space="0" w:color="auto"/>
      </w:divBdr>
    </w:div>
    <w:div w:id="2121946574">
      <w:bodyDiv w:val="1"/>
      <w:marLeft w:val="0"/>
      <w:marRight w:val="0"/>
      <w:marTop w:val="0"/>
      <w:marBottom w:val="0"/>
      <w:divBdr>
        <w:top w:val="none" w:sz="0" w:space="0" w:color="auto"/>
        <w:left w:val="none" w:sz="0" w:space="0" w:color="auto"/>
        <w:bottom w:val="none" w:sz="0" w:space="0" w:color="auto"/>
        <w:right w:val="none" w:sz="0" w:space="0" w:color="auto"/>
      </w:divBdr>
    </w:div>
    <w:div w:id="2142729647">
      <w:bodyDiv w:val="1"/>
      <w:marLeft w:val="0"/>
      <w:marRight w:val="0"/>
      <w:marTop w:val="0"/>
      <w:marBottom w:val="0"/>
      <w:divBdr>
        <w:top w:val="none" w:sz="0" w:space="0" w:color="auto"/>
        <w:left w:val="none" w:sz="0" w:space="0" w:color="auto"/>
        <w:bottom w:val="none" w:sz="0" w:space="0" w:color="auto"/>
        <w:right w:val="none" w:sz="0" w:space="0" w:color="auto"/>
      </w:divBdr>
    </w:div>
    <w:div w:id="2146501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file:////Users/andrewdykes/Library/Mobile%20Documents/com~apple~CloudDocs/PhD/10Nov20NewThesisFORSUBMISSION.docx" TargetMode="External"/><Relationship Id="rId42" Type="http://schemas.openxmlformats.org/officeDocument/2006/relationships/header" Target="header2.xml"/><Relationship Id="rId47" Type="http://schemas.openxmlformats.org/officeDocument/2006/relationships/hyperlink" Target="http://www.ad1281.uk/phdthesis_dataanalysis.html" TargetMode="External"/><Relationship Id="rId63" Type="http://schemas.openxmlformats.org/officeDocument/2006/relationships/hyperlink" Target="http://www.inspiration.com/Inspiration" TargetMode="External"/><Relationship Id="rId68" Type="http://schemas.openxmlformats.org/officeDocument/2006/relationships/hyperlink" Target="https://surveyplanet.com" TargetMode="External"/><Relationship Id="rId84" Type="http://schemas.openxmlformats.org/officeDocument/2006/relationships/oleObject" Target="embeddings/oleObject3.bin"/><Relationship Id="rId89" Type="http://schemas.openxmlformats.org/officeDocument/2006/relationships/header" Target="header5.xml"/><Relationship Id="rId16" Type="http://schemas.openxmlformats.org/officeDocument/2006/relationships/hyperlink" Target="file:////Users/andrewdykes/Library/Mobile%20Documents/com~apple~CloudDocs/PhD/10Nov20NewThesisFORSUBMISSION.docx" TargetMode="External"/><Relationship Id="rId11" Type="http://schemas.openxmlformats.org/officeDocument/2006/relationships/hyperlink" Target="file:////Users/andrewdykes/Library/Mobile%20Documents/com~apple~CloudDocs/PhD/10Nov20NewThesisFORSUBMISSION.docx" TargetMode="External"/><Relationship Id="rId32" Type="http://schemas.openxmlformats.org/officeDocument/2006/relationships/hyperlink" Target="http://www.ad1281.uk/phdthesis_theory.html" TargetMode="External"/><Relationship Id="rId37" Type="http://schemas.openxmlformats.org/officeDocument/2006/relationships/image" Target="media/image12.png"/><Relationship Id="rId53" Type="http://schemas.openxmlformats.org/officeDocument/2006/relationships/header" Target="header3.xml"/><Relationship Id="rId58" Type="http://schemas.openxmlformats.org/officeDocument/2006/relationships/hyperlink" Target="http://www.polldaddy.com" TargetMode="External"/><Relationship Id="rId74" Type="http://schemas.openxmlformats.org/officeDocument/2006/relationships/hyperlink" Target="https://www.xerte.org.uk/index.php?lang=en" TargetMode="External"/><Relationship Id="rId79" Type="http://schemas.openxmlformats.org/officeDocument/2006/relationships/image" Target="media/image27.emf"/><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file:////Users/andrewdykes/Library/Mobile%20Documents/com~apple~CloudDocs/PhD/10Nov20NewThesisFORSUBMISSION.docx" TargetMode="External"/><Relationship Id="rId22" Type="http://schemas.openxmlformats.org/officeDocument/2006/relationships/image" Target="media/image1.jpg"/><Relationship Id="rId27" Type="http://schemas.openxmlformats.org/officeDocument/2006/relationships/image" Target="media/image5.jpeg"/><Relationship Id="rId30" Type="http://schemas.openxmlformats.org/officeDocument/2006/relationships/hyperlink" Target="http://www.ad1281.uk/phdthesis_theory.html" TargetMode="External"/><Relationship Id="rId35" Type="http://schemas.openxmlformats.org/officeDocument/2006/relationships/image" Target="media/image10.png"/><Relationship Id="rId43" Type="http://schemas.openxmlformats.org/officeDocument/2006/relationships/image" Target="media/image15.png"/><Relationship Id="rId48" Type="http://schemas.openxmlformats.org/officeDocument/2006/relationships/image" Target="media/image18.png"/><Relationship Id="rId56" Type="http://schemas.openxmlformats.org/officeDocument/2006/relationships/image" Target="media/image25.png"/><Relationship Id="rId64" Type="http://schemas.openxmlformats.org/officeDocument/2006/relationships/hyperlink" Target="http://www.teachpsych.org" TargetMode="External"/><Relationship Id="rId69" Type="http://schemas.openxmlformats.org/officeDocument/2006/relationships/hyperlink" Target="https://www.surveylegend.com" TargetMode="External"/><Relationship Id="rId77" Type="http://schemas.openxmlformats.org/officeDocument/2006/relationships/header" Target="header4.xml"/><Relationship Id="rId8" Type="http://schemas.openxmlformats.org/officeDocument/2006/relationships/hyperlink" Target="http://ad1281.uk/" TargetMode="External"/><Relationship Id="rId51" Type="http://schemas.openxmlformats.org/officeDocument/2006/relationships/image" Target="media/image21.png"/><Relationship Id="rId72" Type="http://schemas.openxmlformats.org/officeDocument/2006/relationships/hyperlink" Target="https://www.work-learning.com" TargetMode="External"/><Relationship Id="rId80" Type="http://schemas.openxmlformats.org/officeDocument/2006/relationships/oleObject" Target="embeddings/oleObject1.bin"/><Relationship Id="rId85" Type="http://schemas.openxmlformats.org/officeDocument/2006/relationships/image" Target="media/image30.emf"/><Relationship Id="rId3" Type="http://schemas.openxmlformats.org/officeDocument/2006/relationships/styles" Target="styles.xml"/><Relationship Id="rId12" Type="http://schemas.openxmlformats.org/officeDocument/2006/relationships/hyperlink" Target="file:////Users/andrewdykes/Library/Mobile%20Documents/com~apple~CloudDocs/PhD/10Nov20NewThesisFORSUBMISSION.docx" TargetMode="External"/><Relationship Id="rId17" Type="http://schemas.openxmlformats.org/officeDocument/2006/relationships/hyperlink" Target="file:////Users/andrewdykes/Library/Mobile%20Documents/com~apple~CloudDocs/PhD/10Nov20NewThesisFORSUBMISSION.docx" TargetMode="External"/><Relationship Id="rId25" Type="http://schemas.openxmlformats.org/officeDocument/2006/relationships/image" Target="media/image3.jpeg"/><Relationship Id="rId33" Type="http://schemas.openxmlformats.org/officeDocument/2006/relationships/hyperlink" Target="http://ad1281.uk/researchQNR.html" TargetMode="External"/><Relationship Id="rId38" Type="http://schemas.openxmlformats.org/officeDocument/2006/relationships/header" Target="header1.xml"/><Relationship Id="rId46" Type="http://schemas.openxmlformats.org/officeDocument/2006/relationships/image" Target="media/image18.jpeg"/><Relationship Id="rId59" Type="http://schemas.openxmlformats.org/officeDocument/2006/relationships/hyperlink" Target="https://bdadyslexia.org.uk/dyslexic" TargetMode="External"/><Relationship Id="rId67" Type="http://schemas.openxmlformats.org/officeDocument/2006/relationships/hyperlink" Target="http://studyscan.com" TargetMode="External"/><Relationship Id="rId20" Type="http://schemas.openxmlformats.org/officeDocument/2006/relationships/hyperlink" Target="file:////Users/andrewdykes/Library/Mobile%20Documents/com~apple~CloudDocs/PhD/10Nov20NewThesisFORSUBMISSION.docx" TargetMode="External"/><Relationship Id="rId41" Type="http://schemas.openxmlformats.org/officeDocument/2006/relationships/hyperlink" Target="http://ad1281.uk/dyslexia_dimensionsQNR.html" TargetMode="External"/><Relationship Id="rId54" Type="http://schemas.openxmlformats.org/officeDocument/2006/relationships/image" Target="media/image23.png"/><Relationship Id="rId62" Type="http://schemas.openxmlformats.org/officeDocument/2006/relationships/hyperlink" Target="https://docs.google.com/forms/u/0/" TargetMode="External"/><Relationship Id="rId70" Type="http://schemas.openxmlformats.org/officeDocument/2006/relationships/hyperlink" Target="https://www.surveymonkey.co.uk" TargetMode="External"/><Relationship Id="rId75" Type="http://schemas.openxmlformats.org/officeDocument/2006/relationships/hyperlink" Target="https://www.surveynuts.com/en" TargetMode="External"/><Relationship Id="rId83" Type="http://schemas.openxmlformats.org/officeDocument/2006/relationships/image" Target="media/image29.emf"/><Relationship Id="rId88" Type="http://schemas.openxmlformats.org/officeDocument/2006/relationships/oleObject" Target="embeddings/oleObject5.bin"/><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Users/andrewdykes/Library/Mobile%20Documents/com~apple~CloudDocs/PhD/10Nov20NewThesisFORSUBMISSION.docx" TargetMode="External"/><Relationship Id="rId23" Type="http://schemas.openxmlformats.org/officeDocument/2006/relationships/image" Target="media/image2.jpeg"/><Relationship Id="rId28" Type="http://schemas.openxmlformats.org/officeDocument/2006/relationships/image" Target="media/image6.jpeg"/><Relationship Id="rId36" Type="http://schemas.openxmlformats.org/officeDocument/2006/relationships/image" Target="media/image11.png"/><Relationship Id="rId49" Type="http://schemas.openxmlformats.org/officeDocument/2006/relationships/image" Target="media/image20.png"/><Relationship Id="rId57" Type="http://schemas.openxmlformats.org/officeDocument/2006/relationships/hyperlink" Target="https://articulate.com/360" TargetMode="External"/><Relationship Id="rId10" Type="http://schemas.openxmlformats.org/officeDocument/2006/relationships/hyperlink" Target="file:////Users/andrewdykes/Library/Mobile%20Documents/com~apple~CloudDocs/PhD/10Nov20NewThesisFORSUBMISSION.docx" TargetMode="External"/><Relationship Id="rId31" Type="http://schemas.openxmlformats.org/officeDocument/2006/relationships/image" Target="media/image8.jpeg"/><Relationship Id="rId44" Type="http://schemas.openxmlformats.org/officeDocument/2006/relationships/image" Target="media/image16.png"/><Relationship Id="rId52" Type="http://schemas.openxmlformats.org/officeDocument/2006/relationships/image" Target="media/image22.png"/><Relationship Id="rId60" Type="http://schemas.openxmlformats.org/officeDocument/2006/relationships/hyperlink" Target="https://bdadyslexia.org.uk/about/campaigns/disabled-students-allowance-s" TargetMode="External"/><Relationship Id="rId65" Type="http://schemas.openxmlformats.org/officeDocument/2006/relationships/hyperlink" Target="https://www.mindgenius.com/mind-mapping.aspx" TargetMode="External"/><Relationship Id="rId73" Type="http://schemas.openxmlformats.org/officeDocument/2006/relationships/hyperlink" Target="https://www.surveygizmo.com" TargetMode="External"/><Relationship Id="rId78" Type="http://schemas.openxmlformats.org/officeDocument/2006/relationships/image" Target="media/image26.png"/><Relationship Id="rId81" Type="http://schemas.openxmlformats.org/officeDocument/2006/relationships/image" Target="media/image28.emf"/><Relationship Id="rId86"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yperlink" Target="file:////Users/andrewdykes/Library/Mobile%20Documents/com~apple~CloudDocs/PhD/10Nov20NewThesisFORSUBMISSION.docx" TargetMode="External"/><Relationship Id="rId13" Type="http://schemas.openxmlformats.org/officeDocument/2006/relationships/hyperlink" Target="file:////Users/andrewdykes/Library/Mobile%20Documents/com~apple~CloudDocs/PhD/10Nov20NewThesisFORSUBMISSION.docx" TargetMode="External"/><Relationship Id="rId18" Type="http://schemas.openxmlformats.org/officeDocument/2006/relationships/hyperlink" Target="file:////Users/andrewdykes/Library/Mobile%20Documents/com~apple~CloudDocs/PhD/10Nov20NewThesisFORSUBMISSION.docx" TargetMode="External"/><Relationship Id="rId39" Type="http://schemas.openxmlformats.org/officeDocument/2006/relationships/image" Target="media/image13.png"/><Relationship Id="rId34" Type="http://schemas.openxmlformats.org/officeDocument/2006/relationships/image" Target="media/image9.png"/><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hyperlink" Target="https://zoho.com/survey/" TargetMode="External"/><Relationship Id="rId7" Type="http://schemas.openxmlformats.org/officeDocument/2006/relationships/endnotes" Target="endnotes.xml"/><Relationship Id="rId71" Type="http://schemas.openxmlformats.org/officeDocument/2006/relationships/hyperlink" Target="https://www.texthelp.com/en-gb/default.aspx" TargetMode="External"/><Relationship Id="rId2" Type="http://schemas.openxmlformats.org/officeDocument/2006/relationships/numbering" Target="numbering.xml"/><Relationship Id="rId29" Type="http://schemas.openxmlformats.org/officeDocument/2006/relationships/image" Target="media/image7.jpeg"/><Relationship Id="rId24" Type="http://schemas.openxmlformats.org/officeDocument/2006/relationships/hyperlink" Target="http://www.ad1281.uk/phdthesis_theory.html" TargetMode="External"/><Relationship Id="rId40" Type="http://schemas.openxmlformats.org/officeDocument/2006/relationships/image" Target="media/image14.jpg"/><Relationship Id="rId45" Type="http://schemas.openxmlformats.org/officeDocument/2006/relationships/image" Target="media/image17.jpg"/><Relationship Id="rId66" Type="http://schemas.openxmlformats.org/officeDocument/2006/relationships/hyperlink" Target="http://www.futurelearn.com" TargetMode="External"/><Relationship Id="rId87" Type="http://schemas.openxmlformats.org/officeDocument/2006/relationships/image" Target="media/image31.emf"/><Relationship Id="rId61" Type="http://schemas.openxmlformats.org/officeDocument/2006/relationships/hyperlink" Target="https://www.clarosoftware.com/portfolio/claroread" TargetMode="External"/><Relationship Id="rId82" Type="http://schemas.openxmlformats.org/officeDocument/2006/relationships/oleObject" Target="embeddings/oleObject2.bin"/><Relationship Id="rId19" Type="http://schemas.openxmlformats.org/officeDocument/2006/relationships/hyperlink" Target="file:////Users/andrewdykes/Library/Mobile%20Documents/com~apple~CloudDocs/PhD/10Nov20NewThesisFORSUBMISSION.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EECB7-954D-CA41-8718-5D47BA9D5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284</Pages>
  <Words>105880</Words>
  <Characters>603520</Characters>
  <Application>Microsoft Office Word</Application>
  <DocSecurity>0</DocSecurity>
  <Lines>5029</Lines>
  <Paragraphs>1415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 1305</dc:creator>
  <cp:keywords/>
  <dc:description/>
  <cp:lastModifiedBy>ad 1305</cp:lastModifiedBy>
  <cp:revision>2</cp:revision>
  <cp:lastPrinted>2020-11-23T14:16:00Z</cp:lastPrinted>
  <dcterms:created xsi:type="dcterms:W3CDTF">2020-11-24T10:36:00Z</dcterms:created>
  <dcterms:modified xsi:type="dcterms:W3CDTF">2020-11-24T10:36:00Z</dcterms:modified>
</cp:coreProperties>
</file>